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9.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21"/>
      </w:tblGrid>
      <w:tr w:rsidR="00F757B0" w14:paraId="448CC401" w14:textId="77777777" w:rsidTr="00355E7A">
        <w:trPr>
          <w:trHeight w:hRule="exact" w:val="6670"/>
        </w:trPr>
        <w:tc>
          <w:tcPr>
            <w:tcW w:w="9421" w:type="dxa"/>
          </w:tcPr>
          <w:p w14:paraId="268B2EBD" w14:textId="77777777" w:rsidR="00F757B0" w:rsidRDefault="00F757B0" w:rsidP="00A76027"/>
        </w:tc>
        <w:bookmarkStart w:id="0" w:name="_Ref499880747"/>
        <w:bookmarkStart w:id="1" w:name="_Ref499880791"/>
        <w:bookmarkEnd w:id="0"/>
        <w:bookmarkEnd w:id="1"/>
      </w:tr>
      <w:tr w:rsidR="00F757B0" w14:paraId="228B4696" w14:textId="77777777" w:rsidTr="00E12240">
        <w:trPr>
          <w:trHeight w:hRule="exact" w:val="4423"/>
        </w:trPr>
        <w:tc>
          <w:tcPr>
            <w:tcW w:w="9421" w:type="dxa"/>
          </w:tcPr>
          <w:p w14:paraId="67482ECE" w14:textId="77777777" w:rsidR="009E443F" w:rsidRDefault="009E443F" w:rsidP="00F757B0">
            <w:pPr>
              <w:pStyle w:val="Documenttitle"/>
            </w:pPr>
          </w:p>
          <w:p w14:paraId="573889DF" w14:textId="339D0D84" w:rsidR="00F757B0" w:rsidRDefault="0008081F" w:rsidP="00F757B0">
            <w:pPr>
              <w:pStyle w:val="Documenttitle"/>
            </w:pPr>
            <w:r>
              <w:t xml:space="preserve">The economic contribution of the </w:t>
            </w:r>
            <w:r w:rsidR="00A64334">
              <w:t>Maritime S</w:t>
            </w:r>
            <w:r w:rsidR="00790207">
              <w:t xml:space="preserve">ector </w:t>
            </w:r>
            <w:r w:rsidR="00C35496">
              <w:t xml:space="preserve">in </w:t>
            </w:r>
            <w:r w:rsidR="00F71F0C">
              <w:t>the Solent</w:t>
            </w:r>
            <w:r w:rsidR="003F1679">
              <w:t xml:space="preserve"> LEP</w:t>
            </w:r>
          </w:p>
          <w:p w14:paraId="2F0E2593" w14:textId="77777777" w:rsidR="00F757B0" w:rsidRDefault="0008081F" w:rsidP="00F757B0">
            <w:pPr>
              <w:pStyle w:val="Documentsubtitle"/>
            </w:pPr>
            <w:r>
              <w:t xml:space="preserve">A report for </w:t>
            </w:r>
            <w:r w:rsidR="00C35496">
              <w:t xml:space="preserve">the Solent LEP and </w:t>
            </w:r>
            <w:r>
              <w:t>Maritime UK</w:t>
            </w:r>
          </w:p>
          <w:p w14:paraId="4CC45204" w14:textId="264E1D67" w:rsidR="00F757B0" w:rsidRDefault="005E2C32" w:rsidP="005920FA">
            <w:pPr>
              <w:pStyle w:val="Documentoutline"/>
            </w:pPr>
            <w:r>
              <w:t xml:space="preserve">September </w:t>
            </w:r>
            <w:r w:rsidR="00F604FD">
              <w:t>2019</w:t>
            </w:r>
          </w:p>
        </w:tc>
      </w:tr>
    </w:tbl>
    <w:p w14:paraId="541FA7E1" w14:textId="77777777" w:rsidR="0008458B" w:rsidRDefault="0008458B">
      <w:r>
        <w:br w:type="page"/>
      </w:r>
    </w:p>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21"/>
      </w:tblGrid>
      <w:tr w:rsidR="00424F1F" w14:paraId="57B237BA" w14:textId="77777777" w:rsidTr="00424F1F">
        <w:trPr>
          <w:trHeight w:val="12765"/>
        </w:trPr>
        <w:tc>
          <w:tcPr>
            <w:tcW w:w="9421" w:type="dxa"/>
            <w:vAlign w:val="bottom"/>
          </w:tcPr>
          <w:p w14:paraId="5D785634" w14:textId="77777777" w:rsidR="00424F1F" w:rsidRPr="007A2119" w:rsidRDefault="00424F1F" w:rsidP="00424F1F">
            <w:pPr>
              <w:pStyle w:val="Disclaimer"/>
              <w:rPr>
                <w:b/>
                <w:bCs/>
              </w:rPr>
            </w:pPr>
            <w:r w:rsidRPr="007A2119">
              <w:rPr>
                <w:b/>
                <w:bCs/>
              </w:rPr>
              <w:lastRenderedPageBreak/>
              <w:t>Disclaimer</w:t>
            </w:r>
          </w:p>
          <w:p w14:paraId="625B0B15" w14:textId="77777777" w:rsidR="00A64334" w:rsidRDefault="00A64334" w:rsidP="00A64334">
            <w:pPr>
              <w:pStyle w:val="Disclaimer"/>
            </w:pPr>
            <w:r>
              <w:t>Whilst every effort has been made to ensure the accuracy of the material in this document, neither Centre for Economics and Business Research Ltd nor the report’s authors will be liable for any loss or damages incurred through the use of the report.</w:t>
            </w:r>
          </w:p>
          <w:p w14:paraId="7A7938AD" w14:textId="0AACE280" w:rsidR="00A64334" w:rsidRPr="00A64334" w:rsidRDefault="00A64334" w:rsidP="00A64334">
            <w:pPr>
              <w:pStyle w:val="Disclaimer"/>
              <w:spacing w:after="0"/>
              <w:rPr>
                <w:i/>
              </w:rPr>
            </w:pPr>
            <w:r w:rsidRPr="00A64334">
              <w:rPr>
                <w:i/>
              </w:rPr>
              <w:t>Authorship and acknowledgements</w:t>
            </w:r>
          </w:p>
          <w:p w14:paraId="17805191" w14:textId="77777777" w:rsidR="00A64334" w:rsidRDefault="00A64334" w:rsidP="00A64334">
            <w:pPr>
              <w:pStyle w:val="Disclaimer"/>
            </w:pPr>
            <w:r>
              <w:t>This report has been produced by Cebr, an independent economics and business research consultancy established in 1992. The views expressed herein are those of the authors only and are based upon independent research by them.</w:t>
            </w:r>
          </w:p>
          <w:p w14:paraId="30C5DFF3" w14:textId="77777777" w:rsidR="00A64334" w:rsidRDefault="00A64334" w:rsidP="00A64334">
            <w:pPr>
              <w:pStyle w:val="Disclaimer"/>
            </w:pPr>
            <w:r>
              <w:rPr>
                <w:color w:val="000000"/>
              </w:rPr>
              <w:t>The industry figures making up the broad Maritime sector are not always additive because some of the reports have been customised to cater for the overlap between certain industries. Simply adding together the industries would therefore produce a degree of double counting. Nonetheless, the broad Maritime report has had this double counting stripped out. Cebr believes fundamentally in the thoroughness and robustness of its approach and, as such, we stand by our own unbiased and fresh examination of the role of the Maritime sector and its constituent industries in the UK.</w:t>
            </w:r>
          </w:p>
          <w:p w14:paraId="322D3090" w14:textId="77777777" w:rsidR="00A64334" w:rsidRDefault="00A64334" w:rsidP="00A64334">
            <w:pPr>
              <w:pStyle w:val="Disclaimer"/>
              <w:tabs>
                <w:tab w:val="right" w:pos="9356"/>
              </w:tabs>
            </w:pPr>
            <w:r>
              <w:t>The report does not necessarily reflect the views of Maritime UK. The report does not necessarily reflect the views of Maritime UK.</w:t>
            </w:r>
          </w:p>
          <w:p w14:paraId="673FE797" w14:textId="58BC7BDC" w:rsidR="00F957C1" w:rsidRDefault="0008081F" w:rsidP="0008081F">
            <w:pPr>
              <w:pStyle w:val="Disclaimer"/>
              <w:tabs>
                <w:tab w:val="right" w:pos="9356"/>
              </w:tabs>
            </w:pPr>
            <w:r>
              <w:tab/>
            </w:r>
          </w:p>
          <w:p w14:paraId="19A485EB" w14:textId="42BD8C41" w:rsidR="00424F1F" w:rsidRPr="00C3444C" w:rsidRDefault="0008081F" w:rsidP="005E2C32">
            <w:pPr>
              <w:pStyle w:val="Disclaimer"/>
              <w:tabs>
                <w:tab w:val="right" w:pos="9356"/>
              </w:tabs>
              <w:jc w:val="right"/>
              <w:rPr>
                <w:b/>
              </w:rPr>
            </w:pPr>
            <w:r w:rsidRPr="00C3444C">
              <w:rPr>
                <w:b/>
              </w:rPr>
              <w:t xml:space="preserve">London, </w:t>
            </w:r>
            <w:r w:rsidR="005E2C32">
              <w:rPr>
                <w:b/>
              </w:rPr>
              <w:t>September</w:t>
            </w:r>
            <w:r w:rsidR="00F604FD">
              <w:rPr>
                <w:b/>
              </w:rPr>
              <w:t xml:space="preserve"> </w:t>
            </w:r>
            <w:r w:rsidRPr="00C3444C">
              <w:rPr>
                <w:b/>
              </w:rPr>
              <w:t>201</w:t>
            </w:r>
            <w:r w:rsidR="00F604FD">
              <w:rPr>
                <w:b/>
              </w:rPr>
              <w:t>9</w:t>
            </w:r>
          </w:p>
        </w:tc>
      </w:tr>
    </w:tbl>
    <w:p w14:paraId="6B10AC9D" w14:textId="77777777" w:rsidR="007A2119" w:rsidRDefault="007A2119" w:rsidP="007A2119">
      <w:pPr>
        <w:pStyle w:val="Disclaimer"/>
        <w:tabs>
          <w:tab w:val="right" w:pos="9412"/>
        </w:tabs>
      </w:pPr>
      <w:r>
        <w:br w:type="page"/>
      </w:r>
    </w:p>
    <w:p w14:paraId="79BAFF43" w14:textId="77777777" w:rsidR="007A2119" w:rsidRDefault="00773CE3" w:rsidP="00D43EC4">
      <w:pPr>
        <w:pStyle w:val="Contentstitle"/>
      </w:pPr>
      <w:r>
        <w:lastRenderedPageBreak/>
        <w:t>Contents</w:t>
      </w:r>
    </w:p>
    <w:p w14:paraId="6756EF37" w14:textId="77777777" w:rsidR="00D17FEA" w:rsidRDefault="00F6094A">
      <w:pPr>
        <w:pStyle w:val="TOC3"/>
        <w:rPr>
          <w:rFonts w:cstheme="minorBidi"/>
          <w:b w:val="0"/>
          <w:noProof/>
          <w:sz w:val="22"/>
          <w:szCs w:val="22"/>
          <w:lang w:eastAsia="en-GB"/>
        </w:rPr>
      </w:pPr>
      <w:r>
        <w:rPr>
          <w:color w:val="000000" w:themeColor="text1"/>
        </w:rPr>
        <w:fldChar w:fldCharType="begin"/>
      </w:r>
      <w:r>
        <w:instrText xml:space="preserve"> TOC \h \z \t "Heading 1,3,Heading 2,4,Section title,1,Subsection title,2" </w:instrText>
      </w:r>
      <w:r>
        <w:rPr>
          <w:color w:val="000000" w:themeColor="text1"/>
        </w:rPr>
        <w:fldChar w:fldCharType="separate"/>
      </w:r>
      <w:hyperlink w:anchor="_Toc20139716" w:history="1">
        <w:r w:rsidR="00D17FEA" w:rsidRPr="006C4768">
          <w:rPr>
            <w:rStyle w:val="Hyperlink"/>
            <w:noProof/>
          </w:rPr>
          <w:t>Executive Summary</w:t>
        </w:r>
        <w:r w:rsidR="00D17FEA">
          <w:rPr>
            <w:noProof/>
            <w:webHidden/>
          </w:rPr>
          <w:tab/>
        </w:r>
        <w:r w:rsidR="00D17FEA">
          <w:rPr>
            <w:noProof/>
            <w:webHidden/>
          </w:rPr>
          <w:fldChar w:fldCharType="begin"/>
        </w:r>
        <w:r w:rsidR="00D17FEA">
          <w:rPr>
            <w:noProof/>
            <w:webHidden/>
          </w:rPr>
          <w:instrText xml:space="preserve"> PAGEREF _Toc20139716 \h </w:instrText>
        </w:r>
        <w:r w:rsidR="00D17FEA">
          <w:rPr>
            <w:noProof/>
            <w:webHidden/>
          </w:rPr>
        </w:r>
        <w:r w:rsidR="00D17FEA">
          <w:rPr>
            <w:noProof/>
            <w:webHidden/>
          </w:rPr>
          <w:fldChar w:fldCharType="separate"/>
        </w:r>
        <w:r w:rsidR="00D17FEA">
          <w:rPr>
            <w:noProof/>
            <w:webHidden/>
          </w:rPr>
          <w:t>5</w:t>
        </w:r>
        <w:r w:rsidR="00D17FEA">
          <w:rPr>
            <w:noProof/>
            <w:webHidden/>
          </w:rPr>
          <w:fldChar w:fldCharType="end"/>
        </w:r>
      </w:hyperlink>
    </w:p>
    <w:p w14:paraId="0D23EEB8" w14:textId="77777777" w:rsidR="00D17FEA" w:rsidRDefault="001C79ED">
      <w:pPr>
        <w:pStyle w:val="TOC2"/>
        <w:rPr>
          <w:rFonts w:cstheme="minorBidi"/>
          <w:noProof/>
          <w:sz w:val="22"/>
          <w:szCs w:val="22"/>
          <w:lang w:eastAsia="en-GB"/>
        </w:rPr>
      </w:pPr>
      <w:hyperlink w:anchor="_Toc20139717" w:history="1">
        <w:r w:rsidR="00D17FEA" w:rsidRPr="006C4768">
          <w:rPr>
            <w:rStyle w:val="Hyperlink"/>
            <w:noProof/>
          </w:rPr>
          <w:t>Report purpose and scope</w:t>
        </w:r>
        <w:r w:rsidR="00D17FEA">
          <w:rPr>
            <w:noProof/>
            <w:webHidden/>
          </w:rPr>
          <w:tab/>
        </w:r>
        <w:r w:rsidR="00D17FEA">
          <w:rPr>
            <w:noProof/>
            <w:webHidden/>
          </w:rPr>
          <w:fldChar w:fldCharType="begin"/>
        </w:r>
        <w:r w:rsidR="00D17FEA">
          <w:rPr>
            <w:noProof/>
            <w:webHidden/>
          </w:rPr>
          <w:instrText xml:space="preserve"> PAGEREF _Toc20139717 \h </w:instrText>
        </w:r>
        <w:r w:rsidR="00D17FEA">
          <w:rPr>
            <w:noProof/>
            <w:webHidden/>
          </w:rPr>
        </w:r>
        <w:r w:rsidR="00D17FEA">
          <w:rPr>
            <w:noProof/>
            <w:webHidden/>
          </w:rPr>
          <w:fldChar w:fldCharType="separate"/>
        </w:r>
        <w:r w:rsidR="00D17FEA">
          <w:rPr>
            <w:noProof/>
            <w:webHidden/>
          </w:rPr>
          <w:t>5</w:t>
        </w:r>
        <w:r w:rsidR="00D17FEA">
          <w:rPr>
            <w:noProof/>
            <w:webHidden/>
          </w:rPr>
          <w:fldChar w:fldCharType="end"/>
        </w:r>
      </w:hyperlink>
    </w:p>
    <w:p w14:paraId="3689C53D" w14:textId="77777777" w:rsidR="00D17FEA" w:rsidRDefault="001C79ED">
      <w:pPr>
        <w:pStyle w:val="TOC2"/>
        <w:rPr>
          <w:rFonts w:cstheme="minorBidi"/>
          <w:noProof/>
          <w:sz w:val="22"/>
          <w:szCs w:val="22"/>
          <w:lang w:eastAsia="en-GB"/>
        </w:rPr>
      </w:pPr>
      <w:hyperlink w:anchor="_Toc20139718" w:history="1">
        <w:r w:rsidR="00D17FEA" w:rsidRPr="006C4768">
          <w:rPr>
            <w:rStyle w:val="Hyperlink"/>
            <w:noProof/>
          </w:rPr>
          <w:t>Providing a vital international gateway and broad downstream impacts</w:t>
        </w:r>
        <w:r w:rsidR="00D17FEA">
          <w:rPr>
            <w:noProof/>
            <w:webHidden/>
          </w:rPr>
          <w:tab/>
        </w:r>
        <w:r w:rsidR="00D17FEA">
          <w:rPr>
            <w:noProof/>
            <w:webHidden/>
          </w:rPr>
          <w:fldChar w:fldCharType="begin"/>
        </w:r>
        <w:r w:rsidR="00D17FEA">
          <w:rPr>
            <w:noProof/>
            <w:webHidden/>
          </w:rPr>
          <w:instrText xml:space="preserve"> PAGEREF _Toc20139718 \h </w:instrText>
        </w:r>
        <w:r w:rsidR="00D17FEA">
          <w:rPr>
            <w:noProof/>
            <w:webHidden/>
          </w:rPr>
        </w:r>
        <w:r w:rsidR="00D17FEA">
          <w:rPr>
            <w:noProof/>
            <w:webHidden/>
          </w:rPr>
          <w:fldChar w:fldCharType="separate"/>
        </w:r>
        <w:r w:rsidR="00D17FEA">
          <w:rPr>
            <w:noProof/>
            <w:webHidden/>
          </w:rPr>
          <w:t>5</w:t>
        </w:r>
        <w:r w:rsidR="00D17FEA">
          <w:rPr>
            <w:noProof/>
            <w:webHidden/>
          </w:rPr>
          <w:fldChar w:fldCharType="end"/>
        </w:r>
      </w:hyperlink>
    </w:p>
    <w:p w14:paraId="5E607812" w14:textId="77777777" w:rsidR="00D17FEA" w:rsidRDefault="001C79ED">
      <w:pPr>
        <w:pStyle w:val="TOC2"/>
        <w:rPr>
          <w:rFonts w:cstheme="minorBidi"/>
          <w:noProof/>
          <w:sz w:val="22"/>
          <w:szCs w:val="22"/>
          <w:lang w:eastAsia="en-GB"/>
        </w:rPr>
      </w:pPr>
      <w:hyperlink w:anchor="_Toc20139719" w:history="1">
        <w:r w:rsidR="00D17FEA" w:rsidRPr="006C4768">
          <w:rPr>
            <w:rStyle w:val="Hyperlink"/>
            <w:noProof/>
          </w:rPr>
          <w:t>The economic footprint of the Solent-based Maritime sector</w:t>
        </w:r>
        <w:r w:rsidR="00D17FEA">
          <w:rPr>
            <w:noProof/>
            <w:webHidden/>
          </w:rPr>
          <w:tab/>
        </w:r>
        <w:r w:rsidR="00D17FEA">
          <w:rPr>
            <w:noProof/>
            <w:webHidden/>
          </w:rPr>
          <w:fldChar w:fldCharType="begin"/>
        </w:r>
        <w:r w:rsidR="00D17FEA">
          <w:rPr>
            <w:noProof/>
            <w:webHidden/>
          </w:rPr>
          <w:instrText xml:space="preserve"> PAGEREF _Toc20139719 \h </w:instrText>
        </w:r>
        <w:r w:rsidR="00D17FEA">
          <w:rPr>
            <w:noProof/>
            <w:webHidden/>
          </w:rPr>
        </w:r>
        <w:r w:rsidR="00D17FEA">
          <w:rPr>
            <w:noProof/>
            <w:webHidden/>
          </w:rPr>
          <w:fldChar w:fldCharType="separate"/>
        </w:r>
        <w:r w:rsidR="00D17FEA">
          <w:rPr>
            <w:noProof/>
            <w:webHidden/>
          </w:rPr>
          <w:t>6</w:t>
        </w:r>
        <w:r w:rsidR="00D17FEA">
          <w:rPr>
            <w:noProof/>
            <w:webHidden/>
          </w:rPr>
          <w:fldChar w:fldCharType="end"/>
        </w:r>
      </w:hyperlink>
    </w:p>
    <w:p w14:paraId="35EB2C3F" w14:textId="77777777" w:rsidR="00D17FEA" w:rsidRDefault="001C79ED">
      <w:pPr>
        <w:pStyle w:val="TOC3"/>
        <w:rPr>
          <w:rFonts w:cstheme="minorBidi"/>
          <w:b w:val="0"/>
          <w:noProof/>
          <w:sz w:val="22"/>
          <w:szCs w:val="22"/>
          <w:lang w:eastAsia="en-GB"/>
        </w:rPr>
      </w:pPr>
      <w:hyperlink w:anchor="_Toc20139720" w:history="1">
        <w:r w:rsidR="00D17FEA" w:rsidRPr="006C4768">
          <w:rPr>
            <w:rStyle w:val="Hyperlink"/>
            <w:noProof/>
          </w:rPr>
          <w:t>1</w:t>
        </w:r>
        <w:r w:rsidR="00D17FEA">
          <w:rPr>
            <w:rFonts w:cstheme="minorBidi"/>
            <w:b w:val="0"/>
            <w:noProof/>
            <w:sz w:val="22"/>
            <w:szCs w:val="22"/>
            <w:lang w:eastAsia="en-GB"/>
          </w:rPr>
          <w:tab/>
        </w:r>
        <w:r w:rsidR="00D17FEA" w:rsidRPr="006C4768">
          <w:rPr>
            <w:rStyle w:val="Hyperlink"/>
            <w:noProof/>
          </w:rPr>
          <w:t>Introduction</w:t>
        </w:r>
        <w:r w:rsidR="00D17FEA">
          <w:rPr>
            <w:noProof/>
            <w:webHidden/>
          </w:rPr>
          <w:tab/>
        </w:r>
        <w:r w:rsidR="00D17FEA">
          <w:rPr>
            <w:noProof/>
            <w:webHidden/>
          </w:rPr>
          <w:fldChar w:fldCharType="begin"/>
        </w:r>
        <w:r w:rsidR="00D17FEA">
          <w:rPr>
            <w:noProof/>
            <w:webHidden/>
          </w:rPr>
          <w:instrText xml:space="preserve"> PAGEREF _Toc20139720 \h </w:instrText>
        </w:r>
        <w:r w:rsidR="00D17FEA">
          <w:rPr>
            <w:noProof/>
            <w:webHidden/>
          </w:rPr>
        </w:r>
        <w:r w:rsidR="00D17FEA">
          <w:rPr>
            <w:noProof/>
            <w:webHidden/>
          </w:rPr>
          <w:fldChar w:fldCharType="separate"/>
        </w:r>
        <w:r w:rsidR="00D17FEA">
          <w:rPr>
            <w:noProof/>
            <w:webHidden/>
          </w:rPr>
          <w:t>7</w:t>
        </w:r>
        <w:r w:rsidR="00D17FEA">
          <w:rPr>
            <w:noProof/>
            <w:webHidden/>
          </w:rPr>
          <w:fldChar w:fldCharType="end"/>
        </w:r>
      </w:hyperlink>
    </w:p>
    <w:p w14:paraId="1A0D4155" w14:textId="77777777" w:rsidR="00D17FEA" w:rsidRDefault="001C79ED">
      <w:pPr>
        <w:pStyle w:val="TOC4"/>
        <w:rPr>
          <w:rFonts w:cstheme="minorBidi"/>
          <w:noProof/>
          <w:color w:val="auto"/>
          <w:sz w:val="22"/>
          <w:szCs w:val="22"/>
          <w:lang w:eastAsia="en-GB"/>
        </w:rPr>
      </w:pPr>
      <w:hyperlink w:anchor="_Toc20139721" w:history="1">
        <w:r w:rsidR="00D17FEA" w:rsidRPr="006C4768">
          <w:rPr>
            <w:rStyle w:val="Hyperlink"/>
            <w:noProof/>
          </w:rPr>
          <w:t>1.1</w:t>
        </w:r>
        <w:r w:rsidR="00D17FEA">
          <w:rPr>
            <w:rFonts w:cstheme="minorBidi"/>
            <w:noProof/>
            <w:color w:val="auto"/>
            <w:sz w:val="22"/>
            <w:szCs w:val="22"/>
            <w:lang w:eastAsia="en-GB"/>
          </w:rPr>
          <w:tab/>
        </w:r>
        <w:r w:rsidR="00D17FEA" w:rsidRPr="006C4768">
          <w:rPr>
            <w:rStyle w:val="Hyperlink"/>
            <w:noProof/>
          </w:rPr>
          <w:t>About the Solent LEP</w:t>
        </w:r>
        <w:r w:rsidR="00D17FEA">
          <w:rPr>
            <w:noProof/>
            <w:webHidden/>
          </w:rPr>
          <w:tab/>
        </w:r>
        <w:r w:rsidR="00D17FEA">
          <w:rPr>
            <w:noProof/>
            <w:webHidden/>
          </w:rPr>
          <w:fldChar w:fldCharType="begin"/>
        </w:r>
        <w:r w:rsidR="00D17FEA">
          <w:rPr>
            <w:noProof/>
            <w:webHidden/>
          </w:rPr>
          <w:instrText xml:space="preserve"> PAGEREF _Toc20139721 \h </w:instrText>
        </w:r>
        <w:r w:rsidR="00D17FEA">
          <w:rPr>
            <w:noProof/>
            <w:webHidden/>
          </w:rPr>
        </w:r>
        <w:r w:rsidR="00D17FEA">
          <w:rPr>
            <w:noProof/>
            <w:webHidden/>
          </w:rPr>
          <w:fldChar w:fldCharType="separate"/>
        </w:r>
        <w:r w:rsidR="00D17FEA">
          <w:rPr>
            <w:noProof/>
            <w:webHidden/>
          </w:rPr>
          <w:t>7</w:t>
        </w:r>
        <w:r w:rsidR="00D17FEA">
          <w:rPr>
            <w:noProof/>
            <w:webHidden/>
          </w:rPr>
          <w:fldChar w:fldCharType="end"/>
        </w:r>
      </w:hyperlink>
    </w:p>
    <w:p w14:paraId="0990288F" w14:textId="77777777" w:rsidR="00D17FEA" w:rsidRDefault="001C79ED">
      <w:pPr>
        <w:pStyle w:val="TOC4"/>
        <w:rPr>
          <w:rFonts w:cstheme="minorBidi"/>
          <w:noProof/>
          <w:color w:val="auto"/>
          <w:sz w:val="22"/>
          <w:szCs w:val="22"/>
          <w:lang w:eastAsia="en-GB"/>
        </w:rPr>
      </w:pPr>
      <w:hyperlink w:anchor="_Toc20139722" w:history="1">
        <w:r w:rsidR="00D17FEA" w:rsidRPr="006C4768">
          <w:rPr>
            <w:rStyle w:val="Hyperlink"/>
            <w:noProof/>
          </w:rPr>
          <w:t>1.2</w:t>
        </w:r>
        <w:r w:rsidR="00D17FEA">
          <w:rPr>
            <w:rFonts w:cstheme="minorBidi"/>
            <w:noProof/>
            <w:color w:val="auto"/>
            <w:sz w:val="22"/>
            <w:szCs w:val="22"/>
            <w:lang w:eastAsia="en-GB"/>
          </w:rPr>
          <w:tab/>
        </w:r>
        <w:r w:rsidR="00D17FEA" w:rsidRPr="006C4768">
          <w:rPr>
            <w:rStyle w:val="Hyperlink"/>
            <w:noProof/>
          </w:rPr>
          <w:t>About Maritime UK</w:t>
        </w:r>
        <w:r w:rsidR="00D17FEA">
          <w:rPr>
            <w:noProof/>
            <w:webHidden/>
          </w:rPr>
          <w:tab/>
        </w:r>
        <w:r w:rsidR="00D17FEA">
          <w:rPr>
            <w:noProof/>
            <w:webHidden/>
          </w:rPr>
          <w:fldChar w:fldCharType="begin"/>
        </w:r>
        <w:r w:rsidR="00D17FEA">
          <w:rPr>
            <w:noProof/>
            <w:webHidden/>
          </w:rPr>
          <w:instrText xml:space="preserve"> PAGEREF _Toc20139722 \h </w:instrText>
        </w:r>
        <w:r w:rsidR="00D17FEA">
          <w:rPr>
            <w:noProof/>
            <w:webHidden/>
          </w:rPr>
        </w:r>
        <w:r w:rsidR="00D17FEA">
          <w:rPr>
            <w:noProof/>
            <w:webHidden/>
          </w:rPr>
          <w:fldChar w:fldCharType="separate"/>
        </w:r>
        <w:r w:rsidR="00D17FEA">
          <w:rPr>
            <w:noProof/>
            <w:webHidden/>
          </w:rPr>
          <w:t>7</w:t>
        </w:r>
        <w:r w:rsidR="00D17FEA">
          <w:rPr>
            <w:noProof/>
            <w:webHidden/>
          </w:rPr>
          <w:fldChar w:fldCharType="end"/>
        </w:r>
      </w:hyperlink>
    </w:p>
    <w:p w14:paraId="7A709EC8" w14:textId="77777777" w:rsidR="00D17FEA" w:rsidRDefault="001C79ED">
      <w:pPr>
        <w:pStyle w:val="TOC4"/>
        <w:rPr>
          <w:rFonts w:cstheme="minorBidi"/>
          <w:noProof/>
          <w:color w:val="auto"/>
          <w:sz w:val="22"/>
          <w:szCs w:val="22"/>
          <w:lang w:eastAsia="en-GB"/>
        </w:rPr>
      </w:pPr>
      <w:hyperlink w:anchor="_Toc20139723" w:history="1">
        <w:r w:rsidR="00D17FEA" w:rsidRPr="006C4768">
          <w:rPr>
            <w:rStyle w:val="Hyperlink"/>
            <w:noProof/>
          </w:rPr>
          <w:t>1.3</w:t>
        </w:r>
        <w:r w:rsidR="00D17FEA">
          <w:rPr>
            <w:rFonts w:cstheme="minorBidi"/>
            <w:noProof/>
            <w:color w:val="auto"/>
            <w:sz w:val="22"/>
            <w:szCs w:val="22"/>
            <w:lang w:eastAsia="en-GB"/>
          </w:rPr>
          <w:tab/>
        </w:r>
        <w:r w:rsidR="00D17FEA" w:rsidRPr="006C4768">
          <w:rPr>
            <w:rStyle w:val="Hyperlink"/>
            <w:noProof/>
          </w:rPr>
          <w:t>Purpose of this report</w:t>
        </w:r>
        <w:r w:rsidR="00D17FEA">
          <w:rPr>
            <w:noProof/>
            <w:webHidden/>
          </w:rPr>
          <w:tab/>
        </w:r>
        <w:r w:rsidR="00D17FEA">
          <w:rPr>
            <w:noProof/>
            <w:webHidden/>
          </w:rPr>
          <w:fldChar w:fldCharType="begin"/>
        </w:r>
        <w:r w:rsidR="00D17FEA">
          <w:rPr>
            <w:noProof/>
            <w:webHidden/>
          </w:rPr>
          <w:instrText xml:space="preserve"> PAGEREF _Toc20139723 \h </w:instrText>
        </w:r>
        <w:r w:rsidR="00D17FEA">
          <w:rPr>
            <w:noProof/>
            <w:webHidden/>
          </w:rPr>
        </w:r>
        <w:r w:rsidR="00D17FEA">
          <w:rPr>
            <w:noProof/>
            <w:webHidden/>
          </w:rPr>
          <w:fldChar w:fldCharType="separate"/>
        </w:r>
        <w:r w:rsidR="00D17FEA">
          <w:rPr>
            <w:noProof/>
            <w:webHidden/>
          </w:rPr>
          <w:t>7</w:t>
        </w:r>
        <w:r w:rsidR="00D17FEA">
          <w:rPr>
            <w:noProof/>
            <w:webHidden/>
          </w:rPr>
          <w:fldChar w:fldCharType="end"/>
        </w:r>
      </w:hyperlink>
    </w:p>
    <w:p w14:paraId="4D885EA2" w14:textId="77777777" w:rsidR="00D17FEA" w:rsidRDefault="001C79ED">
      <w:pPr>
        <w:pStyle w:val="TOC4"/>
        <w:rPr>
          <w:rFonts w:cstheme="minorBidi"/>
          <w:noProof/>
          <w:color w:val="auto"/>
          <w:sz w:val="22"/>
          <w:szCs w:val="22"/>
          <w:lang w:eastAsia="en-GB"/>
        </w:rPr>
      </w:pPr>
      <w:hyperlink w:anchor="_Toc20139724" w:history="1">
        <w:r w:rsidR="00D17FEA" w:rsidRPr="006C4768">
          <w:rPr>
            <w:rStyle w:val="Hyperlink"/>
            <w:noProof/>
          </w:rPr>
          <w:t>1.4</w:t>
        </w:r>
        <w:r w:rsidR="00D17FEA">
          <w:rPr>
            <w:rFonts w:cstheme="minorBidi"/>
            <w:noProof/>
            <w:color w:val="auto"/>
            <w:sz w:val="22"/>
            <w:szCs w:val="22"/>
            <w:lang w:eastAsia="en-GB"/>
          </w:rPr>
          <w:tab/>
        </w:r>
        <w:r w:rsidR="00D17FEA" w:rsidRPr="006C4768">
          <w:rPr>
            <w:rStyle w:val="Hyperlink"/>
            <w:noProof/>
          </w:rPr>
          <w:t>Overview of the study and methodology</w:t>
        </w:r>
        <w:r w:rsidR="00D17FEA">
          <w:rPr>
            <w:noProof/>
            <w:webHidden/>
          </w:rPr>
          <w:tab/>
        </w:r>
        <w:r w:rsidR="00D17FEA">
          <w:rPr>
            <w:noProof/>
            <w:webHidden/>
          </w:rPr>
          <w:fldChar w:fldCharType="begin"/>
        </w:r>
        <w:r w:rsidR="00D17FEA">
          <w:rPr>
            <w:noProof/>
            <w:webHidden/>
          </w:rPr>
          <w:instrText xml:space="preserve"> PAGEREF _Toc20139724 \h </w:instrText>
        </w:r>
        <w:r w:rsidR="00D17FEA">
          <w:rPr>
            <w:noProof/>
            <w:webHidden/>
          </w:rPr>
        </w:r>
        <w:r w:rsidR="00D17FEA">
          <w:rPr>
            <w:noProof/>
            <w:webHidden/>
          </w:rPr>
          <w:fldChar w:fldCharType="separate"/>
        </w:r>
        <w:r w:rsidR="00D17FEA">
          <w:rPr>
            <w:noProof/>
            <w:webHidden/>
          </w:rPr>
          <w:t>7</w:t>
        </w:r>
        <w:r w:rsidR="00D17FEA">
          <w:rPr>
            <w:noProof/>
            <w:webHidden/>
          </w:rPr>
          <w:fldChar w:fldCharType="end"/>
        </w:r>
      </w:hyperlink>
    </w:p>
    <w:p w14:paraId="03A34FFC" w14:textId="77777777" w:rsidR="00D17FEA" w:rsidRDefault="001C79ED">
      <w:pPr>
        <w:pStyle w:val="TOC3"/>
        <w:rPr>
          <w:rFonts w:cstheme="minorBidi"/>
          <w:b w:val="0"/>
          <w:noProof/>
          <w:sz w:val="22"/>
          <w:szCs w:val="22"/>
          <w:lang w:eastAsia="en-GB"/>
        </w:rPr>
      </w:pPr>
      <w:hyperlink w:anchor="_Toc20139725" w:history="1">
        <w:r w:rsidR="00D17FEA" w:rsidRPr="006C4768">
          <w:rPr>
            <w:rStyle w:val="Hyperlink"/>
            <w:noProof/>
          </w:rPr>
          <w:t>2</w:t>
        </w:r>
        <w:r w:rsidR="00D17FEA">
          <w:rPr>
            <w:rFonts w:cstheme="minorBidi"/>
            <w:b w:val="0"/>
            <w:noProof/>
            <w:sz w:val="22"/>
            <w:szCs w:val="22"/>
            <w:lang w:eastAsia="en-GB"/>
          </w:rPr>
          <w:tab/>
        </w:r>
        <w:r w:rsidR="00D17FEA" w:rsidRPr="006C4768">
          <w:rPr>
            <w:rStyle w:val="Hyperlink"/>
            <w:noProof/>
          </w:rPr>
          <w:t>Macroeconomic trends in the Solent LEP region</w:t>
        </w:r>
        <w:r w:rsidR="00D17FEA">
          <w:rPr>
            <w:noProof/>
            <w:webHidden/>
          </w:rPr>
          <w:tab/>
        </w:r>
        <w:r w:rsidR="00D17FEA">
          <w:rPr>
            <w:noProof/>
            <w:webHidden/>
          </w:rPr>
          <w:fldChar w:fldCharType="begin"/>
        </w:r>
        <w:r w:rsidR="00D17FEA">
          <w:rPr>
            <w:noProof/>
            <w:webHidden/>
          </w:rPr>
          <w:instrText xml:space="preserve"> PAGEREF _Toc20139725 \h </w:instrText>
        </w:r>
        <w:r w:rsidR="00D17FEA">
          <w:rPr>
            <w:noProof/>
            <w:webHidden/>
          </w:rPr>
        </w:r>
        <w:r w:rsidR="00D17FEA">
          <w:rPr>
            <w:noProof/>
            <w:webHidden/>
          </w:rPr>
          <w:fldChar w:fldCharType="separate"/>
        </w:r>
        <w:r w:rsidR="00D17FEA">
          <w:rPr>
            <w:noProof/>
            <w:webHidden/>
          </w:rPr>
          <w:t>11</w:t>
        </w:r>
        <w:r w:rsidR="00D17FEA">
          <w:rPr>
            <w:noProof/>
            <w:webHidden/>
          </w:rPr>
          <w:fldChar w:fldCharType="end"/>
        </w:r>
      </w:hyperlink>
    </w:p>
    <w:p w14:paraId="2B4035F0" w14:textId="77777777" w:rsidR="00D17FEA" w:rsidRDefault="001C79ED">
      <w:pPr>
        <w:pStyle w:val="TOC4"/>
        <w:rPr>
          <w:rFonts w:cstheme="minorBidi"/>
          <w:noProof/>
          <w:color w:val="auto"/>
          <w:sz w:val="22"/>
          <w:szCs w:val="22"/>
          <w:lang w:eastAsia="en-GB"/>
        </w:rPr>
      </w:pPr>
      <w:hyperlink w:anchor="_Toc20139726" w:history="1">
        <w:r w:rsidR="00D17FEA" w:rsidRPr="006C4768">
          <w:rPr>
            <w:rStyle w:val="Hyperlink"/>
            <w:noProof/>
          </w:rPr>
          <w:t>2.1</w:t>
        </w:r>
        <w:r w:rsidR="00D17FEA">
          <w:rPr>
            <w:rFonts w:cstheme="minorBidi"/>
            <w:noProof/>
            <w:color w:val="auto"/>
            <w:sz w:val="22"/>
            <w:szCs w:val="22"/>
            <w:lang w:eastAsia="en-GB"/>
          </w:rPr>
          <w:tab/>
        </w:r>
        <w:r w:rsidR="00D17FEA" w:rsidRPr="006C4768">
          <w:rPr>
            <w:rStyle w:val="Hyperlink"/>
            <w:noProof/>
          </w:rPr>
          <w:t>Geographical location of the Solent LEP region</w:t>
        </w:r>
        <w:r w:rsidR="00D17FEA">
          <w:rPr>
            <w:noProof/>
            <w:webHidden/>
          </w:rPr>
          <w:tab/>
        </w:r>
        <w:r w:rsidR="00D17FEA">
          <w:rPr>
            <w:noProof/>
            <w:webHidden/>
          </w:rPr>
          <w:fldChar w:fldCharType="begin"/>
        </w:r>
        <w:r w:rsidR="00D17FEA">
          <w:rPr>
            <w:noProof/>
            <w:webHidden/>
          </w:rPr>
          <w:instrText xml:space="preserve"> PAGEREF _Toc20139726 \h </w:instrText>
        </w:r>
        <w:r w:rsidR="00D17FEA">
          <w:rPr>
            <w:noProof/>
            <w:webHidden/>
          </w:rPr>
        </w:r>
        <w:r w:rsidR="00D17FEA">
          <w:rPr>
            <w:noProof/>
            <w:webHidden/>
          </w:rPr>
          <w:fldChar w:fldCharType="separate"/>
        </w:r>
        <w:r w:rsidR="00D17FEA">
          <w:rPr>
            <w:noProof/>
            <w:webHidden/>
          </w:rPr>
          <w:t>11</w:t>
        </w:r>
        <w:r w:rsidR="00D17FEA">
          <w:rPr>
            <w:noProof/>
            <w:webHidden/>
          </w:rPr>
          <w:fldChar w:fldCharType="end"/>
        </w:r>
      </w:hyperlink>
    </w:p>
    <w:p w14:paraId="5962054A" w14:textId="77777777" w:rsidR="00D17FEA" w:rsidRDefault="001C79ED">
      <w:pPr>
        <w:pStyle w:val="TOC4"/>
        <w:rPr>
          <w:rFonts w:cstheme="minorBidi"/>
          <w:noProof/>
          <w:color w:val="auto"/>
          <w:sz w:val="22"/>
          <w:szCs w:val="22"/>
          <w:lang w:eastAsia="en-GB"/>
        </w:rPr>
      </w:pPr>
      <w:hyperlink w:anchor="_Toc20139727" w:history="1">
        <w:r w:rsidR="00D17FEA" w:rsidRPr="006C4768">
          <w:rPr>
            <w:rStyle w:val="Hyperlink"/>
            <w:noProof/>
          </w:rPr>
          <w:t>2.2</w:t>
        </w:r>
        <w:r w:rsidR="00D17FEA">
          <w:rPr>
            <w:rFonts w:cstheme="minorBidi"/>
            <w:noProof/>
            <w:color w:val="auto"/>
            <w:sz w:val="22"/>
            <w:szCs w:val="22"/>
            <w:lang w:eastAsia="en-GB"/>
          </w:rPr>
          <w:tab/>
        </w:r>
        <w:r w:rsidR="00D17FEA" w:rsidRPr="006C4768">
          <w:rPr>
            <w:rStyle w:val="Hyperlink"/>
            <w:noProof/>
          </w:rPr>
          <w:t>Macroeconomic trends in the Solent LEP region</w:t>
        </w:r>
        <w:r w:rsidR="00D17FEA">
          <w:rPr>
            <w:noProof/>
            <w:webHidden/>
          </w:rPr>
          <w:tab/>
        </w:r>
        <w:r w:rsidR="00D17FEA">
          <w:rPr>
            <w:noProof/>
            <w:webHidden/>
          </w:rPr>
          <w:fldChar w:fldCharType="begin"/>
        </w:r>
        <w:r w:rsidR="00D17FEA">
          <w:rPr>
            <w:noProof/>
            <w:webHidden/>
          </w:rPr>
          <w:instrText xml:space="preserve"> PAGEREF _Toc20139727 \h </w:instrText>
        </w:r>
        <w:r w:rsidR="00D17FEA">
          <w:rPr>
            <w:noProof/>
            <w:webHidden/>
          </w:rPr>
        </w:r>
        <w:r w:rsidR="00D17FEA">
          <w:rPr>
            <w:noProof/>
            <w:webHidden/>
          </w:rPr>
          <w:fldChar w:fldCharType="separate"/>
        </w:r>
        <w:r w:rsidR="00D17FEA">
          <w:rPr>
            <w:noProof/>
            <w:webHidden/>
          </w:rPr>
          <w:t>11</w:t>
        </w:r>
        <w:r w:rsidR="00D17FEA">
          <w:rPr>
            <w:noProof/>
            <w:webHidden/>
          </w:rPr>
          <w:fldChar w:fldCharType="end"/>
        </w:r>
      </w:hyperlink>
    </w:p>
    <w:p w14:paraId="2071BE34" w14:textId="77777777" w:rsidR="00D17FEA" w:rsidRDefault="001C79ED">
      <w:pPr>
        <w:pStyle w:val="TOC3"/>
        <w:rPr>
          <w:rFonts w:cstheme="minorBidi"/>
          <w:b w:val="0"/>
          <w:noProof/>
          <w:sz w:val="22"/>
          <w:szCs w:val="22"/>
          <w:lang w:eastAsia="en-GB"/>
        </w:rPr>
      </w:pPr>
      <w:hyperlink w:anchor="_Toc20139728" w:history="1">
        <w:r w:rsidR="00D17FEA" w:rsidRPr="006C4768">
          <w:rPr>
            <w:rStyle w:val="Hyperlink"/>
            <w:noProof/>
          </w:rPr>
          <w:t>3</w:t>
        </w:r>
        <w:r w:rsidR="00D17FEA">
          <w:rPr>
            <w:rFonts w:cstheme="minorBidi"/>
            <w:b w:val="0"/>
            <w:noProof/>
            <w:sz w:val="22"/>
            <w:szCs w:val="22"/>
            <w:lang w:eastAsia="en-GB"/>
          </w:rPr>
          <w:tab/>
        </w:r>
        <w:r w:rsidR="00D17FEA" w:rsidRPr="006C4768">
          <w:rPr>
            <w:rStyle w:val="Hyperlink"/>
            <w:noProof/>
          </w:rPr>
          <w:t>Providing a vital international gateway</w:t>
        </w:r>
        <w:r w:rsidR="00D17FEA">
          <w:rPr>
            <w:noProof/>
            <w:webHidden/>
          </w:rPr>
          <w:tab/>
        </w:r>
        <w:r w:rsidR="00D17FEA">
          <w:rPr>
            <w:noProof/>
            <w:webHidden/>
          </w:rPr>
          <w:fldChar w:fldCharType="begin"/>
        </w:r>
        <w:r w:rsidR="00D17FEA">
          <w:rPr>
            <w:noProof/>
            <w:webHidden/>
          </w:rPr>
          <w:instrText xml:space="preserve"> PAGEREF _Toc20139728 \h </w:instrText>
        </w:r>
        <w:r w:rsidR="00D17FEA">
          <w:rPr>
            <w:noProof/>
            <w:webHidden/>
          </w:rPr>
        </w:r>
        <w:r w:rsidR="00D17FEA">
          <w:rPr>
            <w:noProof/>
            <w:webHidden/>
          </w:rPr>
          <w:fldChar w:fldCharType="separate"/>
        </w:r>
        <w:r w:rsidR="00D17FEA">
          <w:rPr>
            <w:noProof/>
            <w:webHidden/>
          </w:rPr>
          <w:t>14</w:t>
        </w:r>
        <w:r w:rsidR="00D17FEA">
          <w:rPr>
            <w:noProof/>
            <w:webHidden/>
          </w:rPr>
          <w:fldChar w:fldCharType="end"/>
        </w:r>
      </w:hyperlink>
    </w:p>
    <w:p w14:paraId="469A8DF5" w14:textId="77777777" w:rsidR="00D17FEA" w:rsidRDefault="001C79ED">
      <w:pPr>
        <w:pStyle w:val="TOC4"/>
        <w:rPr>
          <w:rFonts w:cstheme="minorBidi"/>
          <w:noProof/>
          <w:color w:val="auto"/>
          <w:sz w:val="22"/>
          <w:szCs w:val="22"/>
          <w:lang w:eastAsia="en-GB"/>
        </w:rPr>
      </w:pPr>
      <w:hyperlink w:anchor="_Toc20139729" w:history="1">
        <w:r w:rsidR="00D17FEA" w:rsidRPr="006C4768">
          <w:rPr>
            <w:rStyle w:val="Hyperlink"/>
            <w:noProof/>
          </w:rPr>
          <w:t>3.1</w:t>
        </w:r>
        <w:r w:rsidR="00D17FEA">
          <w:rPr>
            <w:rFonts w:cstheme="minorBidi"/>
            <w:noProof/>
            <w:color w:val="auto"/>
            <w:sz w:val="22"/>
            <w:szCs w:val="22"/>
            <w:lang w:eastAsia="en-GB"/>
          </w:rPr>
          <w:tab/>
        </w:r>
        <w:r w:rsidR="00D17FEA" w:rsidRPr="006C4768">
          <w:rPr>
            <w:rStyle w:val="Hyperlink"/>
            <w:noProof/>
          </w:rPr>
          <w:t>The importance of trade and enabling role of maritime</w:t>
        </w:r>
        <w:r w:rsidR="00D17FEA">
          <w:rPr>
            <w:noProof/>
            <w:webHidden/>
          </w:rPr>
          <w:tab/>
        </w:r>
        <w:r w:rsidR="00D17FEA">
          <w:rPr>
            <w:noProof/>
            <w:webHidden/>
          </w:rPr>
          <w:fldChar w:fldCharType="begin"/>
        </w:r>
        <w:r w:rsidR="00D17FEA">
          <w:rPr>
            <w:noProof/>
            <w:webHidden/>
          </w:rPr>
          <w:instrText xml:space="preserve"> PAGEREF _Toc20139729 \h </w:instrText>
        </w:r>
        <w:r w:rsidR="00D17FEA">
          <w:rPr>
            <w:noProof/>
            <w:webHidden/>
          </w:rPr>
        </w:r>
        <w:r w:rsidR="00D17FEA">
          <w:rPr>
            <w:noProof/>
            <w:webHidden/>
          </w:rPr>
          <w:fldChar w:fldCharType="separate"/>
        </w:r>
        <w:r w:rsidR="00D17FEA">
          <w:rPr>
            <w:noProof/>
            <w:webHidden/>
          </w:rPr>
          <w:t>14</w:t>
        </w:r>
        <w:r w:rsidR="00D17FEA">
          <w:rPr>
            <w:noProof/>
            <w:webHidden/>
          </w:rPr>
          <w:fldChar w:fldCharType="end"/>
        </w:r>
      </w:hyperlink>
    </w:p>
    <w:p w14:paraId="3244CB45" w14:textId="77777777" w:rsidR="00D17FEA" w:rsidRDefault="001C79ED">
      <w:pPr>
        <w:pStyle w:val="TOC4"/>
        <w:rPr>
          <w:rFonts w:cstheme="minorBidi"/>
          <w:noProof/>
          <w:color w:val="auto"/>
          <w:sz w:val="22"/>
          <w:szCs w:val="22"/>
          <w:lang w:eastAsia="en-GB"/>
        </w:rPr>
      </w:pPr>
      <w:hyperlink w:anchor="_Toc20139730" w:history="1">
        <w:r w:rsidR="00D17FEA" w:rsidRPr="006C4768">
          <w:rPr>
            <w:rStyle w:val="Hyperlink"/>
            <w:noProof/>
          </w:rPr>
          <w:t>3.2</w:t>
        </w:r>
        <w:r w:rsidR="00D17FEA">
          <w:rPr>
            <w:rFonts w:cstheme="minorBidi"/>
            <w:noProof/>
            <w:color w:val="auto"/>
            <w:sz w:val="22"/>
            <w:szCs w:val="22"/>
            <w:lang w:eastAsia="en-GB"/>
          </w:rPr>
          <w:tab/>
        </w:r>
        <w:r w:rsidR="00D17FEA" w:rsidRPr="006C4768">
          <w:rPr>
            <w:rStyle w:val="Hyperlink"/>
            <w:noProof/>
          </w:rPr>
          <w:t>The Solent’s share of freight volumes through seaports</w:t>
        </w:r>
        <w:r w:rsidR="00D17FEA">
          <w:rPr>
            <w:noProof/>
            <w:webHidden/>
          </w:rPr>
          <w:tab/>
        </w:r>
        <w:r w:rsidR="00D17FEA">
          <w:rPr>
            <w:noProof/>
            <w:webHidden/>
          </w:rPr>
          <w:fldChar w:fldCharType="begin"/>
        </w:r>
        <w:r w:rsidR="00D17FEA">
          <w:rPr>
            <w:noProof/>
            <w:webHidden/>
          </w:rPr>
          <w:instrText xml:space="preserve"> PAGEREF _Toc20139730 \h </w:instrText>
        </w:r>
        <w:r w:rsidR="00D17FEA">
          <w:rPr>
            <w:noProof/>
            <w:webHidden/>
          </w:rPr>
        </w:r>
        <w:r w:rsidR="00D17FEA">
          <w:rPr>
            <w:noProof/>
            <w:webHidden/>
          </w:rPr>
          <w:fldChar w:fldCharType="separate"/>
        </w:r>
        <w:r w:rsidR="00D17FEA">
          <w:rPr>
            <w:noProof/>
            <w:webHidden/>
          </w:rPr>
          <w:t>15</w:t>
        </w:r>
        <w:r w:rsidR="00D17FEA">
          <w:rPr>
            <w:noProof/>
            <w:webHidden/>
          </w:rPr>
          <w:fldChar w:fldCharType="end"/>
        </w:r>
      </w:hyperlink>
    </w:p>
    <w:p w14:paraId="1436D2B0" w14:textId="77777777" w:rsidR="00D17FEA" w:rsidRDefault="001C79ED">
      <w:pPr>
        <w:pStyle w:val="TOC4"/>
        <w:rPr>
          <w:rFonts w:cstheme="minorBidi"/>
          <w:noProof/>
          <w:color w:val="auto"/>
          <w:sz w:val="22"/>
          <w:szCs w:val="22"/>
          <w:lang w:eastAsia="en-GB"/>
        </w:rPr>
      </w:pPr>
      <w:hyperlink w:anchor="_Toc20139731" w:history="1">
        <w:r w:rsidR="00D17FEA" w:rsidRPr="006C4768">
          <w:rPr>
            <w:rStyle w:val="Hyperlink"/>
            <w:noProof/>
          </w:rPr>
          <w:t>3.3</w:t>
        </w:r>
        <w:r w:rsidR="00D17FEA">
          <w:rPr>
            <w:rFonts w:cstheme="minorBidi"/>
            <w:noProof/>
            <w:color w:val="auto"/>
            <w:sz w:val="22"/>
            <w:szCs w:val="22"/>
            <w:lang w:eastAsia="en-GB"/>
          </w:rPr>
          <w:tab/>
        </w:r>
        <w:r w:rsidR="00D17FEA" w:rsidRPr="006C4768">
          <w:rPr>
            <w:rStyle w:val="Hyperlink"/>
            <w:noProof/>
          </w:rPr>
          <w:t>The share of all Non-EU, UK trade facilitated by the Solent Maritime sector</w:t>
        </w:r>
        <w:r w:rsidR="00D17FEA">
          <w:rPr>
            <w:noProof/>
            <w:webHidden/>
          </w:rPr>
          <w:tab/>
        </w:r>
        <w:r w:rsidR="00D17FEA">
          <w:rPr>
            <w:noProof/>
            <w:webHidden/>
          </w:rPr>
          <w:fldChar w:fldCharType="begin"/>
        </w:r>
        <w:r w:rsidR="00D17FEA">
          <w:rPr>
            <w:noProof/>
            <w:webHidden/>
          </w:rPr>
          <w:instrText xml:space="preserve"> PAGEREF _Toc20139731 \h </w:instrText>
        </w:r>
        <w:r w:rsidR="00D17FEA">
          <w:rPr>
            <w:noProof/>
            <w:webHidden/>
          </w:rPr>
        </w:r>
        <w:r w:rsidR="00D17FEA">
          <w:rPr>
            <w:noProof/>
            <w:webHidden/>
          </w:rPr>
          <w:fldChar w:fldCharType="separate"/>
        </w:r>
        <w:r w:rsidR="00D17FEA">
          <w:rPr>
            <w:noProof/>
            <w:webHidden/>
          </w:rPr>
          <w:t>16</w:t>
        </w:r>
        <w:r w:rsidR="00D17FEA">
          <w:rPr>
            <w:noProof/>
            <w:webHidden/>
          </w:rPr>
          <w:fldChar w:fldCharType="end"/>
        </w:r>
      </w:hyperlink>
    </w:p>
    <w:p w14:paraId="163D5B65" w14:textId="77777777" w:rsidR="00D17FEA" w:rsidRDefault="001C79ED">
      <w:pPr>
        <w:pStyle w:val="TOC4"/>
        <w:rPr>
          <w:rFonts w:cstheme="minorBidi"/>
          <w:noProof/>
          <w:color w:val="auto"/>
          <w:sz w:val="22"/>
          <w:szCs w:val="22"/>
          <w:lang w:eastAsia="en-GB"/>
        </w:rPr>
      </w:pPr>
      <w:hyperlink w:anchor="_Toc20139732" w:history="1">
        <w:r w:rsidR="00D17FEA" w:rsidRPr="006C4768">
          <w:rPr>
            <w:rStyle w:val="Hyperlink"/>
            <w:noProof/>
          </w:rPr>
          <w:t>3.4</w:t>
        </w:r>
        <w:r w:rsidR="00D17FEA">
          <w:rPr>
            <w:rFonts w:cstheme="minorBidi"/>
            <w:noProof/>
            <w:color w:val="auto"/>
            <w:sz w:val="22"/>
            <w:szCs w:val="22"/>
            <w:lang w:eastAsia="en-GB"/>
          </w:rPr>
          <w:tab/>
        </w:r>
        <w:r w:rsidR="00D17FEA" w:rsidRPr="006C4768">
          <w:rPr>
            <w:rStyle w:val="Hyperlink"/>
            <w:noProof/>
          </w:rPr>
          <w:t>The key Non-EU exporting sectors that depend on the Solent Maritime sector</w:t>
        </w:r>
        <w:r w:rsidR="00D17FEA">
          <w:rPr>
            <w:noProof/>
            <w:webHidden/>
          </w:rPr>
          <w:tab/>
        </w:r>
        <w:r w:rsidR="00D17FEA">
          <w:rPr>
            <w:noProof/>
            <w:webHidden/>
          </w:rPr>
          <w:fldChar w:fldCharType="begin"/>
        </w:r>
        <w:r w:rsidR="00D17FEA">
          <w:rPr>
            <w:noProof/>
            <w:webHidden/>
          </w:rPr>
          <w:instrText xml:space="preserve"> PAGEREF _Toc20139732 \h </w:instrText>
        </w:r>
        <w:r w:rsidR="00D17FEA">
          <w:rPr>
            <w:noProof/>
            <w:webHidden/>
          </w:rPr>
        </w:r>
        <w:r w:rsidR="00D17FEA">
          <w:rPr>
            <w:noProof/>
            <w:webHidden/>
          </w:rPr>
          <w:fldChar w:fldCharType="separate"/>
        </w:r>
        <w:r w:rsidR="00D17FEA">
          <w:rPr>
            <w:noProof/>
            <w:webHidden/>
          </w:rPr>
          <w:t>20</w:t>
        </w:r>
        <w:r w:rsidR="00D17FEA">
          <w:rPr>
            <w:noProof/>
            <w:webHidden/>
          </w:rPr>
          <w:fldChar w:fldCharType="end"/>
        </w:r>
      </w:hyperlink>
    </w:p>
    <w:p w14:paraId="4AE7E0AC" w14:textId="77777777" w:rsidR="00D17FEA" w:rsidRDefault="001C79ED">
      <w:pPr>
        <w:pStyle w:val="TOC4"/>
        <w:rPr>
          <w:rFonts w:cstheme="minorBidi"/>
          <w:noProof/>
          <w:color w:val="auto"/>
          <w:sz w:val="22"/>
          <w:szCs w:val="22"/>
          <w:lang w:eastAsia="en-GB"/>
        </w:rPr>
      </w:pPr>
      <w:hyperlink w:anchor="_Toc20139733" w:history="1">
        <w:r w:rsidR="00D17FEA" w:rsidRPr="006C4768">
          <w:rPr>
            <w:rStyle w:val="Hyperlink"/>
            <w:noProof/>
          </w:rPr>
          <w:t>3.5</w:t>
        </w:r>
        <w:r w:rsidR="00D17FEA">
          <w:rPr>
            <w:rFonts w:cstheme="minorBidi"/>
            <w:noProof/>
            <w:color w:val="auto"/>
            <w:sz w:val="22"/>
            <w:szCs w:val="22"/>
            <w:lang w:eastAsia="en-GB"/>
          </w:rPr>
          <w:tab/>
        </w:r>
        <w:r w:rsidR="00D17FEA" w:rsidRPr="006C4768">
          <w:rPr>
            <w:rStyle w:val="Hyperlink"/>
            <w:noProof/>
          </w:rPr>
          <w:t>The key imports facilitated by the Solent maritime sector from Non-EU countries</w:t>
        </w:r>
        <w:r w:rsidR="00D17FEA">
          <w:rPr>
            <w:noProof/>
            <w:webHidden/>
          </w:rPr>
          <w:tab/>
        </w:r>
        <w:r w:rsidR="00D17FEA">
          <w:rPr>
            <w:noProof/>
            <w:webHidden/>
          </w:rPr>
          <w:fldChar w:fldCharType="begin"/>
        </w:r>
        <w:r w:rsidR="00D17FEA">
          <w:rPr>
            <w:noProof/>
            <w:webHidden/>
          </w:rPr>
          <w:instrText xml:space="preserve"> PAGEREF _Toc20139733 \h </w:instrText>
        </w:r>
        <w:r w:rsidR="00D17FEA">
          <w:rPr>
            <w:noProof/>
            <w:webHidden/>
          </w:rPr>
        </w:r>
        <w:r w:rsidR="00D17FEA">
          <w:rPr>
            <w:noProof/>
            <w:webHidden/>
          </w:rPr>
          <w:fldChar w:fldCharType="separate"/>
        </w:r>
        <w:r w:rsidR="00D17FEA">
          <w:rPr>
            <w:noProof/>
            <w:webHidden/>
          </w:rPr>
          <w:t>23</w:t>
        </w:r>
        <w:r w:rsidR="00D17FEA">
          <w:rPr>
            <w:noProof/>
            <w:webHidden/>
          </w:rPr>
          <w:fldChar w:fldCharType="end"/>
        </w:r>
      </w:hyperlink>
    </w:p>
    <w:p w14:paraId="3CA2FC0E" w14:textId="77777777" w:rsidR="00D17FEA" w:rsidRDefault="001C79ED">
      <w:pPr>
        <w:pStyle w:val="TOC4"/>
        <w:rPr>
          <w:rFonts w:cstheme="minorBidi"/>
          <w:noProof/>
          <w:color w:val="auto"/>
          <w:sz w:val="22"/>
          <w:szCs w:val="22"/>
          <w:lang w:eastAsia="en-GB"/>
        </w:rPr>
      </w:pPr>
      <w:hyperlink w:anchor="_Toc20139734" w:history="1">
        <w:r w:rsidR="00D17FEA" w:rsidRPr="006C4768">
          <w:rPr>
            <w:rStyle w:val="Hyperlink"/>
            <w:noProof/>
          </w:rPr>
          <w:t>3.6</w:t>
        </w:r>
        <w:r w:rsidR="00D17FEA">
          <w:rPr>
            <w:rFonts w:cstheme="minorBidi"/>
            <w:noProof/>
            <w:color w:val="auto"/>
            <w:sz w:val="22"/>
            <w:szCs w:val="22"/>
            <w:lang w:eastAsia="en-GB"/>
          </w:rPr>
          <w:tab/>
        </w:r>
        <w:r w:rsidR="00D17FEA" w:rsidRPr="006C4768">
          <w:rPr>
            <w:rStyle w:val="Hyperlink"/>
            <w:noProof/>
          </w:rPr>
          <w:t>The Solent’s facilitation of EU trade</w:t>
        </w:r>
        <w:r w:rsidR="00D17FEA">
          <w:rPr>
            <w:noProof/>
            <w:webHidden/>
          </w:rPr>
          <w:tab/>
        </w:r>
        <w:r w:rsidR="00D17FEA">
          <w:rPr>
            <w:noProof/>
            <w:webHidden/>
          </w:rPr>
          <w:fldChar w:fldCharType="begin"/>
        </w:r>
        <w:r w:rsidR="00D17FEA">
          <w:rPr>
            <w:noProof/>
            <w:webHidden/>
          </w:rPr>
          <w:instrText xml:space="preserve"> PAGEREF _Toc20139734 \h </w:instrText>
        </w:r>
        <w:r w:rsidR="00D17FEA">
          <w:rPr>
            <w:noProof/>
            <w:webHidden/>
          </w:rPr>
        </w:r>
        <w:r w:rsidR="00D17FEA">
          <w:rPr>
            <w:noProof/>
            <w:webHidden/>
          </w:rPr>
          <w:fldChar w:fldCharType="separate"/>
        </w:r>
        <w:r w:rsidR="00D17FEA">
          <w:rPr>
            <w:noProof/>
            <w:webHidden/>
          </w:rPr>
          <w:t>26</w:t>
        </w:r>
        <w:r w:rsidR="00D17FEA">
          <w:rPr>
            <w:noProof/>
            <w:webHidden/>
          </w:rPr>
          <w:fldChar w:fldCharType="end"/>
        </w:r>
      </w:hyperlink>
    </w:p>
    <w:p w14:paraId="53AC6932" w14:textId="77777777" w:rsidR="00D17FEA" w:rsidRDefault="001C79ED">
      <w:pPr>
        <w:pStyle w:val="TOC4"/>
        <w:rPr>
          <w:rFonts w:cstheme="minorBidi"/>
          <w:noProof/>
          <w:color w:val="auto"/>
          <w:sz w:val="22"/>
          <w:szCs w:val="22"/>
          <w:lang w:eastAsia="en-GB"/>
        </w:rPr>
      </w:pPr>
      <w:hyperlink w:anchor="_Toc20139735" w:history="1">
        <w:r w:rsidR="00D17FEA" w:rsidRPr="006C4768">
          <w:rPr>
            <w:rStyle w:val="Hyperlink"/>
            <w:noProof/>
          </w:rPr>
          <w:t>3.7</w:t>
        </w:r>
        <w:r w:rsidR="00D17FEA">
          <w:rPr>
            <w:rFonts w:cstheme="minorBidi"/>
            <w:noProof/>
            <w:color w:val="auto"/>
            <w:sz w:val="22"/>
            <w:szCs w:val="22"/>
            <w:lang w:eastAsia="en-GB"/>
          </w:rPr>
          <w:tab/>
        </w:r>
        <w:r w:rsidR="00D17FEA" w:rsidRPr="006C4768">
          <w:rPr>
            <w:rStyle w:val="Hyperlink"/>
            <w:noProof/>
          </w:rPr>
          <w:t>The Solent’s facilitation of total UK trade</w:t>
        </w:r>
        <w:r w:rsidR="00D17FEA">
          <w:rPr>
            <w:noProof/>
            <w:webHidden/>
          </w:rPr>
          <w:tab/>
        </w:r>
        <w:r w:rsidR="00D17FEA">
          <w:rPr>
            <w:noProof/>
            <w:webHidden/>
          </w:rPr>
          <w:fldChar w:fldCharType="begin"/>
        </w:r>
        <w:r w:rsidR="00D17FEA">
          <w:rPr>
            <w:noProof/>
            <w:webHidden/>
          </w:rPr>
          <w:instrText xml:space="preserve"> PAGEREF _Toc20139735 \h </w:instrText>
        </w:r>
        <w:r w:rsidR="00D17FEA">
          <w:rPr>
            <w:noProof/>
            <w:webHidden/>
          </w:rPr>
        </w:r>
        <w:r w:rsidR="00D17FEA">
          <w:rPr>
            <w:noProof/>
            <w:webHidden/>
          </w:rPr>
          <w:fldChar w:fldCharType="separate"/>
        </w:r>
        <w:r w:rsidR="00D17FEA">
          <w:rPr>
            <w:noProof/>
            <w:webHidden/>
          </w:rPr>
          <w:t>28</w:t>
        </w:r>
        <w:r w:rsidR="00D17FEA">
          <w:rPr>
            <w:noProof/>
            <w:webHidden/>
          </w:rPr>
          <w:fldChar w:fldCharType="end"/>
        </w:r>
      </w:hyperlink>
    </w:p>
    <w:p w14:paraId="184C8147" w14:textId="77777777" w:rsidR="00D17FEA" w:rsidRDefault="001C79ED">
      <w:pPr>
        <w:pStyle w:val="TOC4"/>
        <w:rPr>
          <w:rFonts w:cstheme="minorBidi"/>
          <w:noProof/>
          <w:color w:val="auto"/>
          <w:sz w:val="22"/>
          <w:szCs w:val="22"/>
          <w:lang w:eastAsia="en-GB"/>
        </w:rPr>
      </w:pPr>
      <w:hyperlink w:anchor="_Toc20139736" w:history="1">
        <w:r w:rsidR="00D17FEA" w:rsidRPr="006C4768">
          <w:rPr>
            <w:rStyle w:val="Hyperlink"/>
            <w:noProof/>
          </w:rPr>
          <w:t>3.8</w:t>
        </w:r>
        <w:r w:rsidR="00D17FEA">
          <w:rPr>
            <w:rFonts w:cstheme="minorBidi"/>
            <w:noProof/>
            <w:color w:val="auto"/>
            <w:sz w:val="22"/>
            <w:szCs w:val="22"/>
            <w:lang w:eastAsia="en-GB"/>
          </w:rPr>
          <w:tab/>
        </w:r>
        <w:r w:rsidR="00D17FEA" w:rsidRPr="006C4768">
          <w:rPr>
            <w:rStyle w:val="Hyperlink"/>
            <w:noProof/>
          </w:rPr>
          <w:t>A Gateway for international tourism</w:t>
        </w:r>
        <w:r w:rsidR="00D17FEA">
          <w:rPr>
            <w:noProof/>
            <w:webHidden/>
          </w:rPr>
          <w:tab/>
        </w:r>
        <w:r w:rsidR="00D17FEA">
          <w:rPr>
            <w:noProof/>
            <w:webHidden/>
          </w:rPr>
          <w:fldChar w:fldCharType="begin"/>
        </w:r>
        <w:r w:rsidR="00D17FEA">
          <w:rPr>
            <w:noProof/>
            <w:webHidden/>
          </w:rPr>
          <w:instrText xml:space="preserve"> PAGEREF _Toc20139736 \h </w:instrText>
        </w:r>
        <w:r w:rsidR="00D17FEA">
          <w:rPr>
            <w:noProof/>
            <w:webHidden/>
          </w:rPr>
        </w:r>
        <w:r w:rsidR="00D17FEA">
          <w:rPr>
            <w:noProof/>
            <w:webHidden/>
          </w:rPr>
          <w:fldChar w:fldCharType="separate"/>
        </w:r>
        <w:r w:rsidR="00D17FEA">
          <w:rPr>
            <w:noProof/>
            <w:webHidden/>
          </w:rPr>
          <w:t>30</w:t>
        </w:r>
        <w:r w:rsidR="00D17FEA">
          <w:rPr>
            <w:noProof/>
            <w:webHidden/>
          </w:rPr>
          <w:fldChar w:fldCharType="end"/>
        </w:r>
      </w:hyperlink>
    </w:p>
    <w:p w14:paraId="4A0839AA" w14:textId="77777777" w:rsidR="00D17FEA" w:rsidRDefault="001C79ED">
      <w:pPr>
        <w:pStyle w:val="TOC4"/>
        <w:rPr>
          <w:rFonts w:cstheme="minorBidi"/>
          <w:noProof/>
          <w:color w:val="auto"/>
          <w:sz w:val="22"/>
          <w:szCs w:val="22"/>
          <w:lang w:eastAsia="en-GB"/>
        </w:rPr>
      </w:pPr>
      <w:hyperlink w:anchor="_Toc20139737" w:history="1">
        <w:r w:rsidR="00D17FEA" w:rsidRPr="006C4768">
          <w:rPr>
            <w:rStyle w:val="Hyperlink"/>
            <w:noProof/>
          </w:rPr>
          <w:t>3.9</w:t>
        </w:r>
        <w:r w:rsidR="00D17FEA">
          <w:rPr>
            <w:rFonts w:cstheme="minorBidi"/>
            <w:noProof/>
            <w:color w:val="auto"/>
            <w:sz w:val="22"/>
            <w:szCs w:val="22"/>
            <w:lang w:eastAsia="en-GB"/>
          </w:rPr>
          <w:tab/>
        </w:r>
        <w:r w:rsidR="00D17FEA" w:rsidRPr="006C4768">
          <w:rPr>
            <w:rStyle w:val="Hyperlink"/>
            <w:noProof/>
          </w:rPr>
          <w:t>The Solent’s facilitation of oil refinement</w:t>
        </w:r>
        <w:r w:rsidR="00D17FEA">
          <w:rPr>
            <w:noProof/>
            <w:webHidden/>
          </w:rPr>
          <w:tab/>
        </w:r>
        <w:r w:rsidR="00D17FEA">
          <w:rPr>
            <w:noProof/>
            <w:webHidden/>
          </w:rPr>
          <w:fldChar w:fldCharType="begin"/>
        </w:r>
        <w:r w:rsidR="00D17FEA">
          <w:rPr>
            <w:noProof/>
            <w:webHidden/>
          </w:rPr>
          <w:instrText xml:space="preserve"> PAGEREF _Toc20139737 \h </w:instrText>
        </w:r>
        <w:r w:rsidR="00D17FEA">
          <w:rPr>
            <w:noProof/>
            <w:webHidden/>
          </w:rPr>
        </w:r>
        <w:r w:rsidR="00D17FEA">
          <w:rPr>
            <w:noProof/>
            <w:webHidden/>
          </w:rPr>
          <w:fldChar w:fldCharType="separate"/>
        </w:r>
        <w:r w:rsidR="00D17FEA">
          <w:rPr>
            <w:noProof/>
            <w:webHidden/>
          </w:rPr>
          <w:t>31</w:t>
        </w:r>
        <w:r w:rsidR="00D17FEA">
          <w:rPr>
            <w:noProof/>
            <w:webHidden/>
          </w:rPr>
          <w:fldChar w:fldCharType="end"/>
        </w:r>
      </w:hyperlink>
    </w:p>
    <w:p w14:paraId="3899036D" w14:textId="77777777" w:rsidR="00D17FEA" w:rsidRDefault="001C79ED">
      <w:pPr>
        <w:pStyle w:val="TOC4"/>
        <w:rPr>
          <w:rFonts w:cstheme="minorBidi"/>
          <w:noProof/>
          <w:color w:val="auto"/>
          <w:sz w:val="22"/>
          <w:szCs w:val="22"/>
          <w:lang w:eastAsia="en-GB"/>
        </w:rPr>
      </w:pPr>
      <w:hyperlink w:anchor="_Toc20139738" w:history="1">
        <w:r w:rsidR="00D17FEA" w:rsidRPr="006C4768">
          <w:rPr>
            <w:rStyle w:val="Hyperlink"/>
            <w:noProof/>
          </w:rPr>
          <w:t>3.10</w:t>
        </w:r>
        <w:r w:rsidR="00D17FEA">
          <w:rPr>
            <w:rFonts w:cstheme="minorBidi"/>
            <w:noProof/>
            <w:color w:val="auto"/>
            <w:sz w:val="22"/>
            <w:szCs w:val="22"/>
            <w:lang w:eastAsia="en-GB"/>
          </w:rPr>
          <w:tab/>
        </w:r>
        <w:r w:rsidR="00D17FEA" w:rsidRPr="006C4768">
          <w:rPr>
            <w:rStyle w:val="Hyperlink"/>
            <w:noProof/>
          </w:rPr>
          <w:t>The Solent’s facilitation of the UK automotive industry</w:t>
        </w:r>
        <w:r w:rsidR="00D17FEA">
          <w:rPr>
            <w:noProof/>
            <w:webHidden/>
          </w:rPr>
          <w:tab/>
        </w:r>
        <w:r w:rsidR="00D17FEA">
          <w:rPr>
            <w:noProof/>
            <w:webHidden/>
          </w:rPr>
          <w:fldChar w:fldCharType="begin"/>
        </w:r>
        <w:r w:rsidR="00D17FEA">
          <w:rPr>
            <w:noProof/>
            <w:webHidden/>
          </w:rPr>
          <w:instrText xml:space="preserve"> PAGEREF _Toc20139738 \h </w:instrText>
        </w:r>
        <w:r w:rsidR="00D17FEA">
          <w:rPr>
            <w:noProof/>
            <w:webHidden/>
          </w:rPr>
        </w:r>
        <w:r w:rsidR="00D17FEA">
          <w:rPr>
            <w:noProof/>
            <w:webHidden/>
          </w:rPr>
          <w:fldChar w:fldCharType="separate"/>
        </w:r>
        <w:r w:rsidR="00D17FEA">
          <w:rPr>
            <w:noProof/>
            <w:webHidden/>
          </w:rPr>
          <w:t>32</w:t>
        </w:r>
        <w:r w:rsidR="00D17FEA">
          <w:rPr>
            <w:noProof/>
            <w:webHidden/>
          </w:rPr>
          <w:fldChar w:fldCharType="end"/>
        </w:r>
      </w:hyperlink>
    </w:p>
    <w:p w14:paraId="6125502D" w14:textId="77777777" w:rsidR="00D17FEA" w:rsidRDefault="001C79ED">
      <w:pPr>
        <w:pStyle w:val="TOC3"/>
        <w:rPr>
          <w:rFonts w:cstheme="minorBidi"/>
          <w:b w:val="0"/>
          <w:noProof/>
          <w:sz w:val="22"/>
          <w:szCs w:val="22"/>
          <w:lang w:eastAsia="en-GB"/>
        </w:rPr>
      </w:pPr>
      <w:hyperlink w:anchor="_Toc20139739" w:history="1">
        <w:r w:rsidR="00D17FEA" w:rsidRPr="006C4768">
          <w:rPr>
            <w:rStyle w:val="Hyperlink"/>
            <w:noProof/>
          </w:rPr>
          <w:t>4</w:t>
        </w:r>
        <w:r w:rsidR="00D17FEA">
          <w:rPr>
            <w:rFonts w:cstheme="minorBidi"/>
            <w:b w:val="0"/>
            <w:noProof/>
            <w:sz w:val="22"/>
            <w:szCs w:val="22"/>
            <w:lang w:eastAsia="en-GB"/>
          </w:rPr>
          <w:tab/>
        </w:r>
        <w:r w:rsidR="00D17FEA" w:rsidRPr="006C4768">
          <w:rPr>
            <w:rStyle w:val="Hyperlink"/>
            <w:noProof/>
          </w:rPr>
          <w:t>Case Study: Carnival and P&amp;O Cruises in Southampton</w:t>
        </w:r>
        <w:r w:rsidR="00D17FEA">
          <w:rPr>
            <w:noProof/>
            <w:webHidden/>
          </w:rPr>
          <w:tab/>
        </w:r>
        <w:r w:rsidR="00D17FEA">
          <w:rPr>
            <w:noProof/>
            <w:webHidden/>
          </w:rPr>
          <w:fldChar w:fldCharType="begin"/>
        </w:r>
        <w:r w:rsidR="00D17FEA">
          <w:rPr>
            <w:noProof/>
            <w:webHidden/>
          </w:rPr>
          <w:instrText xml:space="preserve"> PAGEREF _Toc20139739 \h </w:instrText>
        </w:r>
        <w:r w:rsidR="00D17FEA">
          <w:rPr>
            <w:noProof/>
            <w:webHidden/>
          </w:rPr>
        </w:r>
        <w:r w:rsidR="00D17FEA">
          <w:rPr>
            <w:noProof/>
            <w:webHidden/>
          </w:rPr>
          <w:fldChar w:fldCharType="separate"/>
        </w:r>
        <w:r w:rsidR="00D17FEA">
          <w:rPr>
            <w:noProof/>
            <w:webHidden/>
          </w:rPr>
          <w:t>33</w:t>
        </w:r>
        <w:r w:rsidR="00D17FEA">
          <w:rPr>
            <w:noProof/>
            <w:webHidden/>
          </w:rPr>
          <w:fldChar w:fldCharType="end"/>
        </w:r>
      </w:hyperlink>
    </w:p>
    <w:p w14:paraId="6F81B78B" w14:textId="77777777" w:rsidR="00D17FEA" w:rsidRDefault="001C79ED">
      <w:pPr>
        <w:pStyle w:val="TOC3"/>
        <w:rPr>
          <w:rFonts w:cstheme="minorBidi"/>
          <w:b w:val="0"/>
          <w:noProof/>
          <w:sz w:val="22"/>
          <w:szCs w:val="22"/>
          <w:lang w:eastAsia="en-GB"/>
        </w:rPr>
      </w:pPr>
      <w:hyperlink w:anchor="_Toc20139740" w:history="1">
        <w:r w:rsidR="00D17FEA" w:rsidRPr="006C4768">
          <w:rPr>
            <w:rStyle w:val="Hyperlink"/>
            <w:noProof/>
          </w:rPr>
          <w:t>5</w:t>
        </w:r>
        <w:r w:rsidR="00D17FEA">
          <w:rPr>
            <w:rFonts w:cstheme="minorBidi"/>
            <w:b w:val="0"/>
            <w:noProof/>
            <w:sz w:val="22"/>
            <w:szCs w:val="22"/>
            <w:lang w:eastAsia="en-GB"/>
          </w:rPr>
          <w:tab/>
        </w:r>
        <w:r w:rsidR="00D17FEA" w:rsidRPr="006C4768">
          <w:rPr>
            <w:rStyle w:val="Hyperlink"/>
            <w:noProof/>
          </w:rPr>
          <w:t>The Solent-based Maritime sector and Portsmouth Naval Base</w:t>
        </w:r>
        <w:r w:rsidR="00D17FEA">
          <w:rPr>
            <w:noProof/>
            <w:webHidden/>
          </w:rPr>
          <w:tab/>
        </w:r>
        <w:r w:rsidR="00D17FEA">
          <w:rPr>
            <w:noProof/>
            <w:webHidden/>
          </w:rPr>
          <w:fldChar w:fldCharType="begin"/>
        </w:r>
        <w:r w:rsidR="00D17FEA">
          <w:rPr>
            <w:noProof/>
            <w:webHidden/>
          </w:rPr>
          <w:instrText xml:space="preserve"> PAGEREF _Toc20139740 \h </w:instrText>
        </w:r>
        <w:r w:rsidR="00D17FEA">
          <w:rPr>
            <w:noProof/>
            <w:webHidden/>
          </w:rPr>
        </w:r>
        <w:r w:rsidR="00D17FEA">
          <w:rPr>
            <w:noProof/>
            <w:webHidden/>
          </w:rPr>
          <w:fldChar w:fldCharType="separate"/>
        </w:r>
        <w:r w:rsidR="00D17FEA">
          <w:rPr>
            <w:noProof/>
            <w:webHidden/>
          </w:rPr>
          <w:t>35</w:t>
        </w:r>
        <w:r w:rsidR="00D17FEA">
          <w:rPr>
            <w:noProof/>
            <w:webHidden/>
          </w:rPr>
          <w:fldChar w:fldCharType="end"/>
        </w:r>
      </w:hyperlink>
    </w:p>
    <w:p w14:paraId="5E6B5099" w14:textId="77777777" w:rsidR="00D17FEA" w:rsidRDefault="001C79ED">
      <w:pPr>
        <w:pStyle w:val="TOC4"/>
        <w:rPr>
          <w:rFonts w:cstheme="minorBidi"/>
          <w:noProof/>
          <w:color w:val="auto"/>
          <w:sz w:val="22"/>
          <w:szCs w:val="22"/>
          <w:lang w:eastAsia="en-GB"/>
        </w:rPr>
      </w:pPr>
      <w:hyperlink w:anchor="_Toc20139741" w:history="1">
        <w:r w:rsidR="00D17FEA" w:rsidRPr="006C4768">
          <w:rPr>
            <w:rStyle w:val="Hyperlink"/>
            <w:noProof/>
          </w:rPr>
          <w:t>5.1</w:t>
        </w:r>
        <w:r w:rsidR="00D17FEA">
          <w:rPr>
            <w:rFonts w:cstheme="minorBidi"/>
            <w:noProof/>
            <w:color w:val="auto"/>
            <w:sz w:val="22"/>
            <w:szCs w:val="22"/>
            <w:lang w:eastAsia="en-GB"/>
          </w:rPr>
          <w:tab/>
        </w:r>
        <w:r w:rsidR="00D17FEA" w:rsidRPr="006C4768">
          <w:rPr>
            <w:rStyle w:val="Hyperlink"/>
            <w:noProof/>
          </w:rPr>
          <w:t>The definition of the Maritime sector and its constituent industries</w:t>
        </w:r>
        <w:r w:rsidR="00D17FEA">
          <w:rPr>
            <w:noProof/>
            <w:webHidden/>
          </w:rPr>
          <w:tab/>
        </w:r>
        <w:r w:rsidR="00D17FEA">
          <w:rPr>
            <w:noProof/>
            <w:webHidden/>
          </w:rPr>
          <w:fldChar w:fldCharType="begin"/>
        </w:r>
        <w:r w:rsidR="00D17FEA">
          <w:rPr>
            <w:noProof/>
            <w:webHidden/>
          </w:rPr>
          <w:instrText xml:space="preserve"> PAGEREF _Toc20139741 \h </w:instrText>
        </w:r>
        <w:r w:rsidR="00D17FEA">
          <w:rPr>
            <w:noProof/>
            <w:webHidden/>
          </w:rPr>
        </w:r>
        <w:r w:rsidR="00D17FEA">
          <w:rPr>
            <w:noProof/>
            <w:webHidden/>
          </w:rPr>
          <w:fldChar w:fldCharType="separate"/>
        </w:r>
        <w:r w:rsidR="00D17FEA">
          <w:rPr>
            <w:noProof/>
            <w:webHidden/>
          </w:rPr>
          <w:t>35</w:t>
        </w:r>
        <w:r w:rsidR="00D17FEA">
          <w:rPr>
            <w:noProof/>
            <w:webHidden/>
          </w:rPr>
          <w:fldChar w:fldCharType="end"/>
        </w:r>
      </w:hyperlink>
    </w:p>
    <w:p w14:paraId="55FFD639" w14:textId="77777777" w:rsidR="00D17FEA" w:rsidRDefault="001C79ED">
      <w:pPr>
        <w:pStyle w:val="TOC4"/>
        <w:rPr>
          <w:rFonts w:cstheme="minorBidi"/>
          <w:noProof/>
          <w:color w:val="auto"/>
          <w:sz w:val="22"/>
          <w:szCs w:val="22"/>
          <w:lang w:eastAsia="en-GB"/>
        </w:rPr>
      </w:pPr>
      <w:hyperlink w:anchor="_Toc20139742" w:history="1">
        <w:r w:rsidR="00D17FEA" w:rsidRPr="006C4768">
          <w:rPr>
            <w:rStyle w:val="Hyperlink"/>
            <w:noProof/>
          </w:rPr>
          <w:t>5.2</w:t>
        </w:r>
        <w:r w:rsidR="00D17FEA">
          <w:rPr>
            <w:rFonts w:cstheme="minorBidi"/>
            <w:noProof/>
            <w:color w:val="auto"/>
            <w:sz w:val="22"/>
            <w:szCs w:val="22"/>
            <w:lang w:eastAsia="en-GB"/>
          </w:rPr>
          <w:tab/>
        </w:r>
        <w:r w:rsidR="00D17FEA" w:rsidRPr="006C4768">
          <w:rPr>
            <w:rStyle w:val="Hyperlink"/>
            <w:noProof/>
          </w:rPr>
          <w:t>Mapping Maritime Sector activities against the national accounts framework</w:t>
        </w:r>
        <w:r w:rsidR="00D17FEA">
          <w:rPr>
            <w:noProof/>
            <w:webHidden/>
          </w:rPr>
          <w:tab/>
        </w:r>
        <w:r w:rsidR="00D17FEA">
          <w:rPr>
            <w:noProof/>
            <w:webHidden/>
          </w:rPr>
          <w:fldChar w:fldCharType="begin"/>
        </w:r>
        <w:r w:rsidR="00D17FEA">
          <w:rPr>
            <w:noProof/>
            <w:webHidden/>
          </w:rPr>
          <w:instrText xml:space="preserve"> PAGEREF _Toc20139742 \h </w:instrText>
        </w:r>
        <w:r w:rsidR="00D17FEA">
          <w:rPr>
            <w:noProof/>
            <w:webHidden/>
          </w:rPr>
        </w:r>
        <w:r w:rsidR="00D17FEA">
          <w:rPr>
            <w:noProof/>
            <w:webHidden/>
          </w:rPr>
          <w:fldChar w:fldCharType="separate"/>
        </w:r>
        <w:r w:rsidR="00D17FEA">
          <w:rPr>
            <w:noProof/>
            <w:webHidden/>
          </w:rPr>
          <w:t>36</w:t>
        </w:r>
        <w:r w:rsidR="00D17FEA">
          <w:rPr>
            <w:noProof/>
            <w:webHidden/>
          </w:rPr>
          <w:fldChar w:fldCharType="end"/>
        </w:r>
      </w:hyperlink>
    </w:p>
    <w:p w14:paraId="52CA1DF9" w14:textId="77777777" w:rsidR="00D17FEA" w:rsidRDefault="001C79ED">
      <w:pPr>
        <w:pStyle w:val="TOC3"/>
        <w:rPr>
          <w:rFonts w:cstheme="minorBidi"/>
          <w:b w:val="0"/>
          <w:noProof/>
          <w:sz w:val="22"/>
          <w:szCs w:val="22"/>
          <w:lang w:eastAsia="en-GB"/>
        </w:rPr>
      </w:pPr>
      <w:hyperlink w:anchor="_Toc20139743" w:history="1">
        <w:r w:rsidR="00D17FEA" w:rsidRPr="006C4768">
          <w:rPr>
            <w:rStyle w:val="Hyperlink"/>
            <w:noProof/>
          </w:rPr>
          <w:t>6</w:t>
        </w:r>
        <w:r w:rsidR="00D17FEA">
          <w:rPr>
            <w:rFonts w:cstheme="minorBidi"/>
            <w:b w:val="0"/>
            <w:noProof/>
            <w:sz w:val="22"/>
            <w:szCs w:val="22"/>
            <w:lang w:eastAsia="en-GB"/>
          </w:rPr>
          <w:tab/>
        </w:r>
        <w:r w:rsidR="00D17FEA" w:rsidRPr="006C4768">
          <w:rPr>
            <w:rStyle w:val="Hyperlink"/>
            <w:noProof/>
          </w:rPr>
          <w:t>The direct impact of the Solent-based Maritime sector and Portsmouth Naval Base</w:t>
        </w:r>
        <w:r w:rsidR="00D17FEA">
          <w:rPr>
            <w:noProof/>
            <w:webHidden/>
          </w:rPr>
          <w:tab/>
        </w:r>
        <w:r w:rsidR="00D17FEA">
          <w:rPr>
            <w:noProof/>
            <w:webHidden/>
          </w:rPr>
          <w:fldChar w:fldCharType="begin"/>
        </w:r>
        <w:r w:rsidR="00D17FEA">
          <w:rPr>
            <w:noProof/>
            <w:webHidden/>
          </w:rPr>
          <w:instrText xml:space="preserve"> PAGEREF _Toc20139743 \h </w:instrText>
        </w:r>
        <w:r w:rsidR="00D17FEA">
          <w:rPr>
            <w:noProof/>
            <w:webHidden/>
          </w:rPr>
        </w:r>
        <w:r w:rsidR="00D17FEA">
          <w:rPr>
            <w:noProof/>
            <w:webHidden/>
          </w:rPr>
          <w:fldChar w:fldCharType="separate"/>
        </w:r>
        <w:r w:rsidR="00D17FEA">
          <w:rPr>
            <w:noProof/>
            <w:webHidden/>
          </w:rPr>
          <w:t>40</w:t>
        </w:r>
        <w:r w:rsidR="00D17FEA">
          <w:rPr>
            <w:noProof/>
            <w:webHidden/>
          </w:rPr>
          <w:fldChar w:fldCharType="end"/>
        </w:r>
      </w:hyperlink>
    </w:p>
    <w:p w14:paraId="2EECCE6C" w14:textId="77777777" w:rsidR="00D17FEA" w:rsidRDefault="001C79ED">
      <w:pPr>
        <w:pStyle w:val="TOC4"/>
        <w:rPr>
          <w:rFonts w:cstheme="minorBidi"/>
          <w:noProof/>
          <w:color w:val="auto"/>
          <w:sz w:val="22"/>
          <w:szCs w:val="22"/>
          <w:lang w:eastAsia="en-GB"/>
        </w:rPr>
      </w:pPr>
      <w:hyperlink w:anchor="_Toc20139744" w:history="1">
        <w:r w:rsidR="00D17FEA" w:rsidRPr="006C4768">
          <w:rPr>
            <w:rStyle w:val="Hyperlink"/>
            <w:noProof/>
          </w:rPr>
          <w:t>6.1</w:t>
        </w:r>
        <w:r w:rsidR="00D17FEA">
          <w:rPr>
            <w:rFonts w:cstheme="minorBidi"/>
            <w:noProof/>
            <w:color w:val="auto"/>
            <w:sz w:val="22"/>
            <w:szCs w:val="22"/>
            <w:lang w:eastAsia="en-GB"/>
          </w:rPr>
          <w:tab/>
        </w:r>
        <w:r w:rsidR="00D17FEA" w:rsidRPr="006C4768">
          <w:rPr>
            <w:rStyle w:val="Hyperlink"/>
            <w:noProof/>
          </w:rPr>
          <w:t>The direct impact through turnover</w:t>
        </w:r>
        <w:r w:rsidR="00D17FEA">
          <w:rPr>
            <w:noProof/>
            <w:webHidden/>
          </w:rPr>
          <w:tab/>
        </w:r>
        <w:r w:rsidR="00D17FEA">
          <w:rPr>
            <w:noProof/>
            <w:webHidden/>
          </w:rPr>
          <w:fldChar w:fldCharType="begin"/>
        </w:r>
        <w:r w:rsidR="00D17FEA">
          <w:rPr>
            <w:noProof/>
            <w:webHidden/>
          </w:rPr>
          <w:instrText xml:space="preserve"> PAGEREF _Toc20139744 \h </w:instrText>
        </w:r>
        <w:r w:rsidR="00D17FEA">
          <w:rPr>
            <w:noProof/>
            <w:webHidden/>
          </w:rPr>
        </w:r>
        <w:r w:rsidR="00D17FEA">
          <w:rPr>
            <w:noProof/>
            <w:webHidden/>
          </w:rPr>
          <w:fldChar w:fldCharType="separate"/>
        </w:r>
        <w:r w:rsidR="00D17FEA">
          <w:rPr>
            <w:noProof/>
            <w:webHidden/>
          </w:rPr>
          <w:t>40</w:t>
        </w:r>
        <w:r w:rsidR="00D17FEA">
          <w:rPr>
            <w:noProof/>
            <w:webHidden/>
          </w:rPr>
          <w:fldChar w:fldCharType="end"/>
        </w:r>
      </w:hyperlink>
    </w:p>
    <w:p w14:paraId="4DB7CD77" w14:textId="77777777" w:rsidR="00D17FEA" w:rsidRDefault="001C79ED">
      <w:pPr>
        <w:pStyle w:val="TOC4"/>
        <w:rPr>
          <w:rFonts w:cstheme="minorBidi"/>
          <w:noProof/>
          <w:color w:val="auto"/>
          <w:sz w:val="22"/>
          <w:szCs w:val="22"/>
          <w:lang w:eastAsia="en-GB"/>
        </w:rPr>
      </w:pPr>
      <w:hyperlink w:anchor="_Toc20139745" w:history="1">
        <w:r w:rsidR="00D17FEA" w:rsidRPr="006C4768">
          <w:rPr>
            <w:rStyle w:val="Hyperlink"/>
            <w:noProof/>
          </w:rPr>
          <w:t>6.2</w:t>
        </w:r>
        <w:r w:rsidR="00D17FEA">
          <w:rPr>
            <w:rFonts w:cstheme="minorBidi"/>
            <w:noProof/>
            <w:color w:val="auto"/>
            <w:sz w:val="22"/>
            <w:szCs w:val="22"/>
            <w:lang w:eastAsia="en-GB"/>
          </w:rPr>
          <w:tab/>
        </w:r>
        <w:r w:rsidR="00D17FEA" w:rsidRPr="006C4768">
          <w:rPr>
            <w:rStyle w:val="Hyperlink"/>
            <w:noProof/>
          </w:rPr>
          <w:t>The direct impact through GVA</w:t>
        </w:r>
        <w:r w:rsidR="00D17FEA">
          <w:rPr>
            <w:noProof/>
            <w:webHidden/>
          </w:rPr>
          <w:tab/>
        </w:r>
        <w:r w:rsidR="00D17FEA">
          <w:rPr>
            <w:noProof/>
            <w:webHidden/>
          </w:rPr>
          <w:fldChar w:fldCharType="begin"/>
        </w:r>
        <w:r w:rsidR="00D17FEA">
          <w:rPr>
            <w:noProof/>
            <w:webHidden/>
          </w:rPr>
          <w:instrText xml:space="preserve"> PAGEREF _Toc20139745 \h </w:instrText>
        </w:r>
        <w:r w:rsidR="00D17FEA">
          <w:rPr>
            <w:noProof/>
            <w:webHidden/>
          </w:rPr>
        </w:r>
        <w:r w:rsidR="00D17FEA">
          <w:rPr>
            <w:noProof/>
            <w:webHidden/>
          </w:rPr>
          <w:fldChar w:fldCharType="separate"/>
        </w:r>
        <w:r w:rsidR="00D17FEA">
          <w:rPr>
            <w:noProof/>
            <w:webHidden/>
          </w:rPr>
          <w:t>41</w:t>
        </w:r>
        <w:r w:rsidR="00D17FEA">
          <w:rPr>
            <w:noProof/>
            <w:webHidden/>
          </w:rPr>
          <w:fldChar w:fldCharType="end"/>
        </w:r>
      </w:hyperlink>
    </w:p>
    <w:p w14:paraId="1F522BF8" w14:textId="77777777" w:rsidR="00D17FEA" w:rsidRDefault="001C79ED">
      <w:pPr>
        <w:pStyle w:val="TOC4"/>
        <w:rPr>
          <w:rFonts w:cstheme="minorBidi"/>
          <w:noProof/>
          <w:color w:val="auto"/>
          <w:sz w:val="22"/>
          <w:szCs w:val="22"/>
          <w:lang w:eastAsia="en-GB"/>
        </w:rPr>
      </w:pPr>
      <w:hyperlink w:anchor="_Toc20139746" w:history="1">
        <w:r w:rsidR="00D17FEA" w:rsidRPr="006C4768">
          <w:rPr>
            <w:rStyle w:val="Hyperlink"/>
            <w:noProof/>
          </w:rPr>
          <w:t>6.3</w:t>
        </w:r>
        <w:r w:rsidR="00D17FEA">
          <w:rPr>
            <w:rFonts w:cstheme="minorBidi"/>
            <w:noProof/>
            <w:color w:val="auto"/>
            <w:sz w:val="22"/>
            <w:szCs w:val="22"/>
            <w:lang w:eastAsia="en-GB"/>
          </w:rPr>
          <w:tab/>
        </w:r>
        <w:r w:rsidR="00D17FEA" w:rsidRPr="006C4768">
          <w:rPr>
            <w:rStyle w:val="Hyperlink"/>
            <w:noProof/>
          </w:rPr>
          <w:t>The direct impact through employment</w:t>
        </w:r>
        <w:r w:rsidR="00D17FEA">
          <w:rPr>
            <w:noProof/>
            <w:webHidden/>
          </w:rPr>
          <w:tab/>
        </w:r>
        <w:r w:rsidR="00D17FEA">
          <w:rPr>
            <w:noProof/>
            <w:webHidden/>
          </w:rPr>
          <w:fldChar w:fldCharType="begin"/>
        </w:r>
        <w:r w:rsidR="00D17FEA">
          <w:rPr>
            <w:noProof/>
            <w:webHidden/>
          </w:rPr>
          <w:instrText xml:space="preserve"> PAGEREF _Toc20139746 \h </w:instrText>
        </w:r>
        <w:r w:rsidR="00D17FEA">
          <w:rPr>
            <w:noProof/>
            <w:webHidden/>
          </w:rPr>
        </w:r>
        <w:r w:rsidR="00D17FEA">
          <w:rPr>
            <w:noProof/>
            <w:webHidden/>
          </w:rPr>
          <w:fldChar w:fldCharType="separate"/>
        </w:r>
        <w:r w:rsidR="00D17FEA">
          <w:rPr>
            <w:noProof/>
            <w:webHidden/>
          </w:rPr>
          <w:t>42</w:t>
        </w:r>
        <w:r w:rsidR="00D17FEA">
          <w:rPr>
            <w:noProof/>
            <w:webHidden/>
          </w:rPr>
          <w:fldChar w:fldCharType="end"/>
        </w:r>
      </w:hyperlink>
    </w:p>
    <w:p w14:paraId="2E6D857D" w14:textId="77777777" w:rsidR="00D17FEA" w:rsidRDefault="001C79ED">
      <w:pPr>
        <w:pStyle w:val="TOC4"/>
        <w:rPr>
          <w:rFonts w:cstheme="minorBidi"/>
          <w:noProof/>
          <w:color w:val="auto"/>
          <w:sz w:val="22"/>
          <w:szCs w:val="22"/>
          <w:lang w:eastAsia="en-GB"/>
        </w:rPr>
      </w:pPr>
      <w:hyperlink w:anchor="_Toc20139747" w:history="1">
        <w:r w:rsidR="00D17FEA" w:rsidRPr="006C4768">
          <w:rPr>
            <w:rStyle w:val="Hyperlink"/>
            <w:noProof/>
          </w:rPr>
          <w:t>6.4</w:t>
        </w:r>
        <w:r w:rsidR="00D17FEA">
          <w:rPr>
            <w:rFonts w:cstheme="minorBidi"/>
            <w:noProof/>
            <w:color w:val="auto"/>
            <w:sz w:val="22"/>
            <w:szCs w:val="22"/>
            <w:lang w:eastAsia="en-GB"/>
          </w:rPr>
          <w:tab/>
        </w:r>
        <w:r w:rsidR="00D17FEA" w:rsidRPr="006C4768">
          <w:rPr>
            <w:rStyle w:val="Hyperlink"/>
            <w:noProof/>
          </w:rPr>
          <w:t>The direct impact through the compensation of employees</w:t>
        </w:r>
        <w:r w:rsidR="00D17FEA">
          <w:rPr>
            <w:noProof/>
            <w:webHidden/>
          </w:rPr>
          <w:tab/>
        </w:r>
        <w:r w:rsidR="00D17FEA">
          <w:rPr>
            <w:noProof/>
            <w:webHidden/>
          </w:rPr>
          <w:fldChar w:fldCharType="begin"/>
        </w:r>
        <w:r w:rsidR="00D17FEA">
          <w:rPr>
            <w:noProof/>
            <w:webHidden/>
          </w:rPr>
          <w:instrText xml:space="preserve"> PAGEREF _Toc20139747 \h </w:instrText>
        </w:r>
        <w:r w:rsidR="00D17FEA">
          <w:rPr>
            <w:noProof/>
            <w:webHidden/>
          </w:rPr>
        </w:r>
        <w:r w:rsidR="00D17FEA">
          <w:rPr>
            <w:noProof/>
            <w:webHidden/>
          </w:rPr>
          <w:fldChar w:fldCharType="separate"/>
        </w:r>
        <w:r w:rsidR="00D17FEA">
          <w:rPr>
            <w:noProof/>
            <w:webHidden/>
          </w:rPr>
          <w:t>42</w:t>
        </w:r>
        <w:r w:rsidR="00D17FEA">
          <w:rPr>
            <w:noProof/>
            <w:webHidden/>
          </w:rPr>
          <w:fldChar w:fldCharType="end"/>
        </w:r>
      </w:hyperlink>
    </w:p>
    <w:p w14:paraId="3AA6CF52" w14:textId="77777777" w:rsidR="00D17FEA" w:rsidRDefault="001C79ED">
      <w:pPr>
        <w:pStyle w:val="TOC4"/>
        <w:rPr>
          <w:rFonts w:cstheme="minorBidi"/>
          <w:noProof/>
          <w:color w:val="auto"/>
          <w:sz w:val="22"/>
          <w:szCs w:val="22"/>
          <w:lang w:eastAsia="en-GB"/>
        </w:rPr>
      </w:pPr>
      <w:hyperlink w:anchor="_Toc20139748" w:history="1">
        <w:r w:rsidR="00D17FEA" w:rsidRPr="006C4768">
          <w:rPr>
            <w:rStyle w:val="Hyperlink"/>
            <w:noProof/>
          </w:rPr>
          <w:t>6.5</w:t>
        </w:r>
        <w:r w:rsidR="00D17FEA">
          <w:rPr>
            <w:rFonts w:cstheme="minorBidi"/>
            <w:noProof/>
            <w:color w:val="auto"/>
            <w:sz w:val="22"/>
            <w:szCs w:val="22"/>
            <w:lang w:eastAsia="en-GB"/>
          </w:rPr>
          <w:tab/>
        </w:r>
        <w:r w:rsidR="00D17FEA" w:rsidRPr="006C4768">
          <w:rPr>
            <w:rStyle w:val="Hyperlink"/>
            <w:noProof/>
          </w:rPr>
          <w:t>The direct Exchequer contribution</w:t>
        </w:r>
        <w:r w:rsidR="00D17FEA">
          <w:rPr>
            <w:noProof/>
            <w:webHidden/>
          </w:rPr>
          <w:tab/>
        </w:r>
        <w:r w:rsidR="00D17FEA">
          <w:rPr>
            <w:noProof/>
            <w:webHidden/>
          </w:rPr>
          <w:fldChar w:fldCharType="begin"/>
        </w:r>
        <w:r w:rsidR="00D17FEA">
          <w:rPr>
            <w:noProof/>
            <w:webHidden/>
          </w:rPr>
          <w:instrText xml:space="preserve"> PAGEREF _Toc20139748 \h </w:instrText>
        </w:r>
        <w:r w:rsidR="00D17FEA">
          <w:rPr>
            <w:noProof/>
            <w:webHidden/>
          </w:rPr>
        </w:r>
        <w:r w:rsidR="00D17FEA">
          <w:rPr>
            <w:noProof/>
            <w:webHidden/>
          </w:rPr>
          <w:fldChar w:fldCharType="separate"/>
        </w:r>
        <w:r w:rsidR="00D17FEA">
          <w:rPr>
            <w:noProof/>
            <w:webHidden/>
          </w:rPr>
          <w:t>43</w:t>
        </w:r>
        <w:r w:rsidR="00D17FEA">
          <w:rPr>
            <w:noProof/>
            <w:webHidden/>
          </w:rPr>
          <w:fldChar w:fldCharType="end"/>
        </w:r>
      </w:hyperlink>
    </w:p>
    <w:p w14:paraId="2C6C5E7F" w14:textId="77777777" w:rsidR="00D17FEA" w:rsidRDefault="001C79ED">
      <w:pPr>
        <w:pStyle w:val="TOC4"/>
        <w:rPr>
          <w:rFonts w:cstheme="minorBidi"/>
          <w:noProof/>
          <w:color w:val="auto"/>
          <w:sz w:val="22"/>
          <w:szCs w:val="22"/>
          <w:lang w:eastAsia="en-GB"/>
        </w:rPr>
      </w:pPr>
      <w:hyperlink w:anchor="_Toc20139749" w:history="1">
        <w:r w:rsidR="00D17FEA" w:rsidRPr="006C4768">
          <w:rPr>
            <w:rStyle w:val="Hyperlink"/>
            <w:noProof/>
          </w:rPr>
          <w:t>6.6</w:t>
        </w:r>
        <w:r w:rsidR="00D17FEA">
          <w:rPr>
            <w:rFonts w:cstheme="minorBidi"/>
            <w:noProof/>
            <w:color w:val="auto"/>
            <w:sz w:val="22"/>
            <w:szCs w:val="22"/>
            <w:lang w:eastAsia="en-GB"/>
          </w:rPr>
          <w:tab/>
        </w:r>
        <w:r w:rsidR="00D17FEA" w:rsidRPr="006C4768">
          <w:rPr>
            <w:rStyle w:val="Hyperlink"/>
            <w:noProof/>
          </w:rPr>
          <w:t>The direct contribution through exports</w:t>
        </w:r>
        <w:r w:rsidR="00D17FEA">
          <w:rPr>
            <w:noProof/>
            <w:webHidden/>
          </w:rPr>
          <w:tab/>
        </w:r>
        <w:r w:rsidR="00D17FEA">
          <w:rPr>
            <w:noProof/>
            <w:webHidden/>
          </w:rPr>
          <w:fldChar w:fldCharType="begin"/>
        </w:r>
        <w:r w:rsidR="00D17FEA">
          <w:rPr>
            <w:noProof/>
            <w:webHidden/>
          </w:rPr>
          <w:instrText xml:space="preserve"> PAGEREF _Toc20139749 \h </w:instrText>
        </w:r>
        <w:r w:rsidR="00D17FEA">
          <w:rPr>
            <w:noProof/>
            <w:webHidden/>
          </w:rPr>
        </w:r>
        <w:r w:rsidR="00D17FEA">
          <w:rPr>
            <w:noProof/>
            <w:webHidden/>
          </w:rPr>
          <w:fldChar w:fldCharType="separate"/>
        </w:r>
        <w:r w:rsidR="00D17FEA">
          <w:rPr>
            <w:noProof/>
            <w:webHidden/>
          </w:rPr>
          <w:t>45</w:t>
        </w:r>
        <w:r w:rsidR="00D17FEA">
          <w:rPr>
            <w:noProof/>
            <w:webHidden/>
          </w:rPr>
          <w:fldChar w:fldCharType="end"/>
        </w:r>
      </w:hyperlink>
    </w:p>
    <w:p w14:paraId="54720294" w14:textId="77777777" w:rsidR="00D17FEA" w:rsidRDefault="001C79ED">
      <w:pPr>
        <w:pStyle w:val="TOC3"/>
        <w:rPr>
          <w:rFonts w:cstheme="minorBidi"/>
          <w:b w:val="0"/>
          <w:noProof/>
          <w:sz w:val="22"/>
          <w:szCs w:val="22"/>
          <w:lang w:eastAsia="en-GB"/>
        </w:rPr>
      </w:pPr>
      <w:hyperlink w:anchor="_Toc20139750" w:history="1">
        <w:r w:rsidR="00D17FEA" w:rsidRPr="006C4768">
          <w:rPr>
            <w:rStyle w:val="Hyperlink"/>
            <w:noProof/>
          </w:rPr>
          <w:t>7</w:t>
        </w:r>
        <w:r w:rsidR="00D17FEA">
          <w:rPr>
            <w:rFonts w:cstheme="minorBidi"/>
            <w:b w:val="0"/>
            <w:noProof/>
            <w:sz w:val="22"/>
            <w:szCs w:val="22"/>
            <w:lang w:eastAsia="en-GB"/>
          </w:rPr>
          <w:tab/>
        </w:r>
        <w:r w:rsidR="00D17FEA" w:rsidRPr="006C4768">
          <w:rPr>
            <w:rStyle w:val="Hyperlink"/>
            <w:noProof/>
          </w:rPr>
          <w:t>The wider impact of the Solent-based Maritime Sector and Portsmouth Naval Base</w:t>
        </w:r>
        <w:r w:rsidR="00D17FEA">
          <w:rPr>
            <w:noProof/>
            <w:webHidden/>
          </w:rPr>
          <w:tab/>
        </w:r>
        <w:r w:rsidR="00D17FEA">
          <w:rPr>
            <w:noProof/>
            <w:webHidden/>
          </w:rPr>
          <w:fldChar w:fldCharType="begin"/>
        </w:r>
        <w:r w:rsidR="00D17FEA">
          <w:rPr>
            <w:noProof/>
            <w:webHidden/>
          </w:rPr>
          <w:instrText xml:space="preserve"> PAGEREF _Toc20139750 \h </w:instrText>
        </w:r>
        <w:r w:rsidR="00D17FEA">
          <w:rPr>
            <w:noProof/>
            <w:webHidden/>
          </w:rPr>
        </w:r>
        <w:r w:rsidR="00D17FEA">
          <w:rPr>
            <w:noProof/>
            <w:webHidden/>
          </w:rPr>
          <w:fldChar w:fldCharType="separate"/>
        </w:r>
        <w:r w:rsidR="00D17FEA">
          <w:rPr>
            <w:noProof/>
            <w:webHidden/>
          </w:rPr>
          <w:t>47</w:t>
        </w:r>
        <w:r w:rsidR="00D17FEA">
          <w:rPr>
            <w:noProof/>
            <w:webHidden/>
          </w:rPr>
          <w:fldChar w:fldCharType="end"/>
        </w:r>
      </w:hyperlink>
    </w:p>
    <w:p w14:paraId="34D9DCCE" w14:textId="77777777" w:rsidR="00D17FEA" w:rsidRDefault="001C79ED">
      <w:pPr>
        <w:pStyle w:val="TOC4"/>
        <w:rPr>
          <w:rFonts w:cstheme="minorBidi"/>
          <w:noProof/>
          <w:color w:val="auto"/>
          <w:sz w:val="22"/>
          <w:szCs w:val="22"/>
          <w:lang w:eastAsia="en-GB"/>
        </w:rPr>
      </w:pPr>
      <w:hyperlink w:anchor="_Toc20139751" w:history="1">
        <w:r w:rsidR="00D17FEA" w:rsidRPr="006C4768">
          <w:rPr>
            <w:rStyle w:val="Hyperlink"/>
            <w:noProof/>
          </w:rPr>
          <w:t>7.1</w:t>
        </w:r>
        <w:r w:rsidR="00D17FEA">
          <w:rPr>
            <w:rFonts w:cstheme="minorBidi"/>
            <w:noProof/>
            <w:color w:val="auto"/>
            <w:sz w:val="22"/>
            <w:szCs w:val="22"/>
            <w:lang w:eastAsia="en-GB"/>
          </w:rPr>
          <w:tab/>
        </w:r>
        <w:r w:rsidR="00D17FEA" w:rsidRPr="006C4768">
          <w:rPr>
            <w:rStyle w:val="Hyperlink"/>
            <w:noProof/>
          </w:rPr>
          <w:t>The wider economic impacts through GVA</w:t>
        </w:r>
        <w:r w:rsidR="00D17FEA">
          <w:rPr>
            <w:noProof/>
            <w:webHidden/>
          </w:rPr>
          <w:tab/>
        </w:r>
        <w:r w:rsidR="00D17FEA">
          <w:rPr>
            <w:noProof/>
            <w:webHidden/>
          </w:rPr>
          <w:fldChar w:fldCharType="begin"/>
        </w:r>
        <w:r w:rsidR="00D17FEA">
          <w:rPr>
            <w:noProof/>
            <w:webHidden/>
          </w:rPr>
          <w:instrText xml:space="preserve"> PAGEREF _Toc20139751 \h </w:instrText>
        </w:r>
        <w:r w:rsidR="00D17FEA">
          <w:rPr>
            <w:noProof/>
            <w:webHidden/>
          </w:rPr>
        </w:r>
        <w:r w:rsidR="00D17FEA">
          <w:rPr>
            <w:noProof/>
            <w:webHidden/>
          </w:rPr>
          <w:fldChar w:fldCharType="separate"/>
        </w:r>
        <w:r w:rsidR="00D17FEA">
          <w:rPr>
            <w:noProof/>
            <w:webHidden/>
          </w:rPr>
          <w:t>47</w:t>
        </w:r>
        <w:r w:rsidR="00D17FEA">
          <w:rPr>
            <w:noProof/>
            <w:webHidden/>
          </w:rPr>
          <w:fldChar w:fldCharType="end"/>
        </w:r>
      </w:hyperlink>
    </w:p>
    <w:p w14:paraId="24F89A0A" w14:textId="77777777" w:rsidR="00D17FEA" w:rsidRDefault="001C79ED">
      <w:pPr>
        <w:pStyle w:val="TOC4"/>
        <w:rPr>
          <w:rFonts w:cstheme="minorBidi"/>
          <w:noProof/>
          <w:color w:val="auto"/>
          <w:sz w:val="22"/>
          <w:szCs w:val="22"/>
          <w:lang w:eastAsia="en-GB"/>
        </w:rPr>
      </w:pPr>
      <w:hyperlink w:anchor="_Toc20139752" w:history="1">
        <w:r w:rsidR="00D17FEA" w:rsidRPr="006C4768">
          <w:rPr>
            <w:rStyle w:val="Hyperlink"/>
            <w:noProof/>
          </w:rPr>
          <w:t>7.2</w:t>
        </w:r>
        <w:r w:rsidR="00D17FEA">
          <w:rPr>
            <w:rFonts w:cstheme="minorBidi"/>
            <w:noProof/>
            <w:color w:val="auto"/>
            <w:sz w:val="22"/>
            <w:szCs w:val="22"/>
            <w:lang w:eastAsia="en-GB"/>
          </w:rPr>
          <w:tab/>
        </w:r>
        <w:r w:rsidR="00D17FEA" w:rsidRPr="006C4768">
          <w:rPr>
            <w:rStyle w:val="Hyperlink"/>
            <w:noProof/>
          </w:rPr>
          <w:t>The wider economic impacts through turnover</w:t>
        </w:r>
        <w:r w:rsidR="00D17FEA">
          <w:rPr>
            <w:noProof/>
            <w:webHidden/>
          </w:rPr>
          <w:tab/>
        </w:r>
        <w:r w:rsidR="00D17FEA">
          <w:rPr>
            <w:noProof/>
            <w:webHidden/>
          </w:rPr>
          <w:fldChar w:fldCharType="begin"/>
        </w:r>
        <w:r w:rsidR="00D17FEA">
          <w:rPr>
            <w:noProof/>
            <w:webHidden/>
          </w:rPr>
          <w:instrText xml:space="preserve"> PAGEREF _Toc20139752 \h </w:instrText>
        </w:r>
        <w:r w:rsidR="00D17FEA">
          <w:rPr>
            <w:noProof/>
            <w:webHidden/>
          </w:rPr>
        </w:r>
        <w:r w:rsidR="00D17FEA">
          <w:rPr>
            <w:noProof/>
            <w:webHidden/>
          </w:rPr>
          <w:fldChar w:fldCharType="separate"/>
        </w:r>
        <w:r w:rsidR="00D17FEA">
          <w:rPr>
            <w:noProof/>
            <w:webHidden/>
          </w:rPr>
          <w:t>48</w:t>
        </w:r>
        <w:r w:rsidR="00D17FEA">
          <w:rPr>
            <w:noProof/>
            <w:webHidden/>
          </w:rPr>
          <w:fldChar w:fldCharType="end"/>
        </w:r>
      </w:hyperlink>
    </w:p>
    <w:p w14:paraId="703A24E2" w14:textId="77777777" w:rsidR="00D17FEA" w:rsidRDefault="001C79ED">
      <w:pPr>
        <w:pStyle w:val="TOC4"/>
        <w:rPr>
          <w:rFonts w:cstheme="minorBidi"/>
          <w:noProof/>
          <w:color w:val="auto"/>
          <w:sz w:val="22"/>
          <w:szCs w:val="22"/>
          <w:lang w:eastAsia="en-GB"/>
        </w:rPr>
      </w:pPr>
      <w:hyperlink w:anchor="_Toc20139753" w:history="1">
        <w:r w:rsidR="00D17FEA" w:rsidRPr="006C4768">
          <w:rPr>
            <w:rStyle w:val="Hyperlink"/>
            <w:noProof/>
          </w:rPr>
          <w:t>7.3</w:t>
        </w:r>
        <w:r w:rsidR="00D17FEA">
          <w:rPr>
            <w:rFonts w:cstheme="minorBidi"/>
            <w:noProof/>
            <w:color w:val="auto"/>
            <w:sz w:val="22"/>
            <w:szCs w:val="22"/>
            <w:lang w:eastAsia="en-GB"/>
          </w:rPr>
          <w:tab/>
        </w:r>
        <w:r w:rsidR="00D17FEA" w:rsidRPr="006C4768">
          <w:rPr>
            <w:rStyle w:val="Hyperlink"/>
            <w:noProof/>
          </w:rPr>
          <w:t>The wider economic impacts through employment</w:t>
        </w:r>
        <w:r w:rsidR="00D17FEA">
          <w:rPr>
            <w:noProof/>
            <w:webHidden/>
          </w:rPr>
          <w:tab/>
        </w:r>
        <w:r w:rsidR="00D17FEA">
          <w:rPr>
            <w:noProof/>
            <w:webHidden/>
          </w:rPr>
          <w:fldChar w:fldCharType="begin"/>
        </w:r>
        <w:r w:rsidR="00D17FEA">
          <w:rPr>
            <w:noProof/>
            <w:webHidden/>
          </w:rPr>
          <w:instrText xml:space="preserve"> PAGEREF _Toc20139753 \h </w:instrText>
        </w:r>
        <w:r w:rsidR="00D17FEA">
          <w:rPr>
            <w:noProof/>
            <w:webHidden/>
          </w:rPr>
        </w:r>
        <w:r w:rsidR="00D17FEA">
          <w:rPr>
            <w:noProof/>
            <w:webHidden/>
          </w:rPr>
          <w:fldChar w:fldCharType="separate"/>
        </w:r>
        <w:r w:rsidR="00D17FEA">
          <w:rPr>
            <w:noProof/>
            <w:webHidden/>
          </w:rPr>
          <w:t>50</w:t>
        </w:r>
        <w:r w:rsidR="00D17FEA">
          <w:rPr>
            <w:noProof/>
            <w:webHidden/>
          </w:rPr>
          <w:fldChar w:fldCharType="end"/>
        </w:r>
      </w:hyperlink>
    </w:p>
    <w:p w14:paraId="01A5D53C" w14:textId="77777777" w:rsidR="00D17FEA" w:rsidRDefault="001C79ED">
      <w:pPr>
        <w:pStyle w:val="TOC4"/>
        <w:rPr>
          <w:rFonts w:cstheme="minorBidi"/>
          <w:noProof/>
          <w:color w:val="auto"/>
          <w:sz w:val="22"/>
          <w:szCs w:val="22"/>
          <w:lang w:eastAsia="en-GB"/>
        </w:rPr>
      </w:pPr>
      <w:hyperlink w:anchor="_Toc20139754" w:history="1">
        <w:r w:rsidR="00D17FEA" w:rsidRPr="006C4768">
          <w:rPr>
            <w:rStyle w:val="Hyperlink"/>
            <w:noProof/>
          </w:rPr>
          <w:t>7.4</w:t>
        </w:r>
        <w:r w:rsidR="00D17FEA">
          <w:rPr>
            <w:rFonts w:cstheme="minorBidi"/>
            <w:noProof/>
            <w:color w:val="auto"/>
            <w:sz w:val="22"/>
            <w:szCs w:val="22"/>
            <w:lang w:eastAsia="en-GB"/>
          </w:rPr>
          <w:tab/>
        </w:r>
        <w:r w:rsidR="00D17FEA" w:rsidRPr="006C4768">
          <w:rPr>
            <w:rStyle w:val="Hyperlink"/>
            <w:noProof/>
          </w:rPr>
          <w:t>The wider economic impacts through the compensation of employees</w:t>
        </w:r>
        <w:r w:rsidR="00D17FEA">
          <w:rPr>
            <w:noProof/>
            <w:webHidden/>
          </w:rPr>
          <w:tab/>
        </w:r>
        <w:r w:rsidR="00D17FEA">
          <w:rPr>
            <w:noProof/>
            <w:webHidden/>
          </w:rPr>
          <w:fldChar w:fldCharType="begin"/>
        </w:r>
        <w:r w:rsidR="00D17FEA">
          <w:rPr>
            <w:noProof/>
            <w:webHidden/>
          </w:rPr>
          <w:instrText xml:space="preserve"> PAGEREF _Toc20139754 \h </w:instrText>
        </w:r>
        <w:r w:rsidR="00D17FEA">
          <w:rPr>
            <w:noProof/>
            <w:webHidden/>
          </w:rPr>
        </w:r>
        <w:r w:rsidR="00D17FEA">
          <w:rPr>
            <w:noProof/>
            <w:webHidden/>
          </w:rPr>
          <w:fldChar w:fldCharType="separate"/>
        </w:r>
        <w:r w:rsidR="00D17FEA">
          <w:rPr>
            <w:noProof/>
            <w:webHidden/>
          </w:rPr>
          <w:t>51</w:t>
        </w:r>
        <w:r w:rsidR="00D17FEA">
          <w:rPr>
            <w:noProof/>
            <w:webHidden/>
          </w:rPr>
          <w:fldChar w:fldCharType="end"/>
        </w:r>
      </w:hyperlink>
    </w:p>
    <w:p w14:paraId="51F21E43" w14:textId="77777777" w:rsidR="00D17FEA" w:rsidRDefault="001C79ED">
      <w:pPr>
        <w:pStyle w:val="TOC3"/>
        <w:rPr>
          <w:rFonts w:cstheme="minorBidi"/>
          <w:b w:val="0"/>
          <w:noProof/>
          <w:sz w:val="22"/>
          <w:szCs w:val="22"/>
          <w:lang w:eastAsia="en-GB"/>
        </w:rPr>
      </w:pPr>
      <w:hyperlink w:anchor="_Toc20139755" w:history="1">
        <w:r w:rsidR="00D17FEA" w:rsidRPr="006C4768">
          <w:rPr>
            <w:rStyle w:val="Hyperlink"/>
            <w:noProof/>
          </w:rPr>
          <w:t>8</w:t>
        </w:r>
        <w:r w:rsidR="00D17FEA">
          <w:rPr>
            <w:rFonts w:cstheme="minorBidi"/>
            <w:b w:val="0"/>
            <w:noProof/>
            <w:sz w:val="22"/>
            <w:szCs w:val="22"/>
            <w:lang w:eastAsia="en-GB"/>
          </w:rPr>
          <w:tab/>
        </w:r>
        <w:r w:rsidR="00D17FEA" w:rsidRPr="006C4768">
          <w:rPr>
            <w:rStyle w:val="Hyperlink"/>
            <w:noProof/>
          </w:rPr>
          <w:t>The Solent-based Maritime Sector: A Forward Look</w:t>
        </w:r>
        <w:r w:rsidR="00D17FEA">
          <w:rPr>
            <w:noProof/>
            <w:webHidden/>
          </w:rPr>
          <w:tab/>
        </w:r>
        <w:r w:rsidR="00D17FEA">
          <w:rPr>
            <w:noProof/>
            <w:webHidden/>
          </w:rPr>
          <w:fldChar w:fldCharType="begin"/>
        </w:r>
        <w:r w:rsidR="00D17FEA">
          <w:rPr>
            <w:noProof/>
            <w:webHidden/>
          </w:rPr>
          <w:instrText xml:space="preserve"> PAGEREF _Toc20139755 \h </w:instrText>
        </w:r>
        <w:r w:rsidR="00D17FEA">
          <w:rPr>
            <w:noProof/>
            <w:webHidden/>
          </w:rPr>
        </w:r>
        <w:r w:rsidR="00D17FEA">
          <w:rPr>
            <w:noProof/>
            <w:webHidden/>
          </w:rPr>
          <w:fldChar w:fldCharType="separate"/>
        </w:r>
        <w:r w:rsidR="00D17FEA">
          <w:rPr>
            <w:noProof/>
            <w:webHidden/>
          </w:rPr>
          <w:t>53</w:t>
        </w:r>
        <w:r w:rsidR="00D17FEA">
          <w:rPr>
            <w:noProof/>
            <w:webHidden/>
          </w:rPr>
          <w:fldChar w:fldCharType="end"/>
        </w:r>
      </w:hyperlink>
    </w:p>
    <w:p w14:paraId="507FC469" w14:textId="77777777" w:rsidR="00D17FEA" w:rsidRDefault="001C79ED">
      <w:pPr>
        <w:pStyle w:val="TOC4"/>
        <w:rPr>
          <w:rFonts w:cstheme="minorBidi"/>
          <w:noProof/>
          <w:color w:val="auto"/>
          <w:sz w:val="22"/>
          <w:szCs w:val="22"/>
          <w:lang w:eastAsia="en-GB"/>
        </w:rPr>
      </w:pPr>
      <w:hyperlink w:anchor="_Toc20139756" w:history="1">
        <w:r w:rsidR="00D17FEA" w:rsidRPr="006C4768">
          <w:rPr>
            <w:rStyle w:val="Hyperlink"/>
            <w:noProof/>
          </w:rPr>
          <w:t>8.1</w:t>
        </w:r>
        <w:r w:rsidR="00D17FEA">
          <w:rPr>
            <w:rFonts w:cstheme="minorBidi"/>
            <w:noProof/>
            <w:color w:val="auto"/>
            <w:sz w:val="22"/>
            <w:szCs w:val="22"/>
            <w:lang w:eastAsia="en-GB"/>
          </w:rPr>
          <w:tab/>
        </w:r>
        <w:r w:rsidR="00D17FEA" w:rsidRPr="006C4768">
          <w:rPr>
            <w:rStyle w:val="Hyperlink"/>
            <w:noProof/>
          </w:rPr>
          <w:t>The Solent-based Maritime Sector Forecast (2019-2023)</w:t>
        </w:r>
        <w:r w:rsidR="00D17FEA">
          <w:rPr>
            <w:noProof/>
            <w:webHidden/>
          </w:rPr>
          <w:tab/>
        </w:r>
        <w:r w:rsidR="00D17FEA">
          <w:rPr>
            <w:noProof/>
            <w:webHidden/>
          </w:rPr>
          <w:fldChar w:fldCharType="begin"/>
        </w:r>
        <w:r w:rsidR="00D17FEA">
          <w:rPr>
            <w:noProof/>
            <w:webHidden/>
          </w:rPr>
          <w:instrText xml:space="preserve"> PAGEREF _Toc20139756 \h </w:instrText>
        </w:r>
        <w:r w:rsidR="00D17FEA">
          <w:rPr>
            <w:noProof/>
            <w:webHidden/>
          </w:rPr>
        </w:r>
        <w:r w:rsidR="00D17FEA">
          <w:rPr>
            <w:noProof/>
            <w:webHidden/>
          </w:rPr>
          <w:fldChar w:fldCharType="separate"/>
        </w:r>
        <w:r w:rsidR="00D17FEA">
          <w:rPr>
            <w:noProof/>
            <w:webHidden/>
          </w:rPr>
          <w:t>53</w:t>
        </w:r>
        <w:r w:rsidR="00D17FEA">
          <w:rPr>
            <w:noProof/>
            <w:webHidden/>
          </w:rPr>
          <w:fldChar w:fldCharType="end"/>
        </w:r>
      </w:hyperlink>
    </w:p>
    <w:p w14:paraId="509ECDCE" w14:textId="77777777" w:rsidR="00D17FEA" w:rsidRDefault="001C79ED">
      <w:pPr>
        <w:pStyle w:val="TOC3"/>
        <w:rPr>
          <w:rFonts w:cstheme="minorBidi"/>
          <w:b w:val="0"/>
          <w:noProof/>
          <w:sz w:val="22"/>
          <w:szCs w:val="22"/>
          <w:lang w:eastAsia="en-GB"/>
        </w:rPr>
      </w:pPr>
      <w:hyperlink w:anchor="_Toc20139757" w:history="1">
        <w:r w:rsidR="00D17FEA" w:rsidRPr="006C4768">
          <w:rPr>
            <w:rStyle w:val="Hyperlink"/>
            <w:noProof/>
          </w:rPr>
          <w:t>9</w:t>
        </w:r>
        <w:r w:rsidR="00D17FEA">
          <w:rPr>
            <w:rFonts w:cstheme="minorBidi"/>
            <w:b w:val="0"/>
            <w:noProof/>
            <w:sz w:val="22"/>
            <w:szCs w:val="22"/>
            <w:lang w:eastAsia="en-GB"/>
          </w:rPr>
          <w:tab/>
        </w:r>
        <w:r w:rsidR="00D17FEA" w:rsidRPr="006C4768">
          <w:rPr>
            <w:rStyle w:val="Hyperlink"/>
            <w:noProof/>
          </w:rPr>
          <w:t>Concluding remarks</w:t>
        </w:r>
        <w:r w:rsidR="00D17FEA">
          <w:rPr>
            <w:noProof/>
            <w:webHidden/>
          </w:rPr>
          <w:tab/>
        </w:r>
        <w:r w:rsidR="00D17FEA">
          <w:rPr>
            <w:noProof/>
            <w:webHidden/>
          </w:rPr>
          <w:fldChar w:fldCharType="begin"/>
        </w:r>
        <w:r w:rsidR="00D17FEA">
          <w:rPr>
            <w:noProof/>
            <w:webHidden/>
          </w:rPr>
          <w:instrText xml:space="preserve"> PAGEREF _Toc20139757 \h </w:instrText>
        </w:r>
        <w:r w:rsidR="00D17FEA">
          <w:rPr>
            <w:noProof/>
            <w:webHidden/>
          </w:rPr>
        </w:r>
        <w:r w:rsidR="00D17FEA">
          <w:rPr>
            <w:noProof/>
            <w:webHidden/>
          </w:rPr>
          <w:fldChar w:fldCharType="separate"/>
        </w:r>
        <w:r w:rsidR="00D17FEA">
          <w:rPr>
            <w:noProof/>
            <w:webHidden/>
          </w:rPr>
          <w:t>56</w:t>
        </w:r>
        <w:r w:rsidR="00D17FEA">
          <w:rPr>
            <w:noProof/>
            <w:webHidden/>
          </w:rPr>
          <w:fldChar w:fldCharType="end"/>
        </w:r>
      </w:hyperlink>
    </w:p>
    <w:p w14:paraId="774A339F" w14:textId="77777777" w:rsidR="00D17FEA" w:rsidRDefault="001C79ED">
      <w:pPr>
        <w:pStyle w:val="TOC4"/>
        <w:rPr>
          <w:rFonts w:cstheme="minorBidi"/>
          <w:noProof/>
          <w:color w:val="auto"/>
          <w:sz w:val="22"/>
          <w:szCs w:val="22"/>
          <w:lang w:eastAsia="en-GB"/>
        </w:rPr>
      </w:pPr>
      <w:hyperlink w:anchor="_Toc20139758" w:history="1">
        <w:r w:rsidR="00D17FEA" w:rsidRPr="006C4768">
          <w:rPr>
            <w:rStyle w:val="Hyperlink"/>
            <w:noProof/>
          </w:rPr>
          <w:t>9.1</w:t>
        </w:r>
        <w:r w:rsidR="00D17FEA">
          <w:rPr>
            <w:rFonts w:cstheme="minorBidi"/>
            <w:noProof/>
            <w:color w:val="auto"/>
            <w:sz w:val="22"/>
            <w:szCs w:val="22"/>
            <w:lang w:eastAsia="en-GB"/>
          </w:rPr>
          <w:tab/>
        </w:r>
        <w:r w:rsidR="00D17FEA" w:rsidRPr="006C4768">
          <w:rPr>
            <w:rStyle w:val="Hyperlink"/>
            <w:noProof/>
          </w:rPr>
          <w:t>The Solent-based maritime sector as a gateway for international trade</w:t>
        </w:r>
        <w:r w:rsidR="00D17FEA">
          <w:rPr>
            <w:noProof/>
            <w:webHidden/>
          </w:rPr>
          <w:tab/>
        </w:r>
        <w:r w:rsidR="00D17FEA">
          <w:rPr>
            <w:noProof/>
            <w:webHidden/>
          </w:rPr>
          <w:fldChar w:fldCharType="begin"/>
        </w:r>
        <w:r w:rsidR="00D17FEA">
          <w:rPr>
            <w:noProof/>
            <w:webHidden/>
          </w:rPr>
          <w:instrText xml:space="preserve"> PAGEREF _Toc20139758 \h </w:instrText>
        </w:r>
        <w:r w:rsidR="00D17FEA">
          <w:rPr>
            <w:noProof/>
            <w:webHidden/>
          </w:rPr>
        </w:r>
        <w:r w:rsidR="00D17FEA">
          <w:rPr>
            <w:noProof/>
            <w:webHidden/>
          </w:rPr>
          <w:fldChar w:fldCharType="separate"/>
        </w:r>
        <w:r w:rsidR="00D17FEA">
          <w:rPr>
            <w:noProof/>
            <w:webHidden/>
          </w:rPr>
          <w:t>56</w:t>
        </w:r>
        <w:r w:rsidR="00D17FEA">
          <w:rPr>
            <w:noProof/>
            <w:webHidden/>
          </w:rPr>
          <w:fldChar w:fldCharType="end"/>
        </w:r>
      </w:hyperlink>
    </w:p>
    <w:p w14:paraId="74AB4827" w14:textId="77777777" w:rsidR="00D17FEA" w:rsidRDefault="001C79ED">
      <w:pPr>
        <w:pStyle w:val="TOC4"/>
        <w:rPr>
          <w:rFonts w:cstheme="minorBidi"/>
          <w:noProof/>
          <w:color w:val="auto"/>
          <w:sz w:val="22"/>
          <w:szCs w:val="22"/>
          <w:lang w:eastAsia="en-GB"/>
        </w:rPr>
      </w:pPr>
      <w:hyperlink w:anchor="_Toc20139759" w:history="1">
        <w:r w:rsidR="00D17FEA" w:rsidRPr="006C4768">
          <w:rPr>
            <w:rStyle w:val="Hyperlink"/>
            <w:noProof/>
          </w:rPr>
          <w:t>9.2</w:t>
        </w:r>
        <w:r w:rsidR="00D17FEA">
          <w:rPr>
            <w:rFonts w:cstheme="minorBidi"/>
            <w:noProof/>
            <w:color w:val="auto"/>
            <w:sz w:val="22"/>
            <w:szCs w:val="22"/>
            <w:lang w:eastAsia="en-GB"/>
          </w:rPr>
          <w:tab/>
        </w:r>
        <w:r w:rsidR="00D17FEA" w:rsidRPr="006C4768">
          <w:rPr>
            <w:rStyle w:val="Hyperlink"/>
            <w:noProof/>
          </w:rPr>
          <w:t>The economic impact of the Solent-based maritime sector</w:t>
        </w:r>
        <w:r w:rsidR="00D17FEA">
          <w:rPr>
            <w:noProof/>
            <w:webHidden/>
          </w:rPr>
          <w:tab/>
        </w:r>
        <w:r w:rsidR="00D17FEA">
          <w:rPr>
            <w:noProof/>
            <w:webHidden/>
          </w:rPr>
          <w:fldChar w:fldCharType="begin"/>
        </w:r>
        <w:r w:rsidR="00D17FEA">
          <w:rPr>
            <w:noProof/>
            <w:webHidden/>
          </w:rPr>
          <w:instrText xml:space="preserve"> PAGEREF _Toc20139759 \h </w:instrText>
        </w:r>
        <w:r w:rsidR="00D17FEA">
          <w:rPr>
            <w:noProof/>
            <w:webHidden/>
          </w:rPr>
        </w:r>
        <w:r w:rsidR="00D17FEA">
          <w:rPr>
            <w:noProof/>
            <w:webHidden/>
          </w:rPr>
          <w:fldChar w:fldCharType="separate"/>
        </w:r>
        <w:r w:rsidR="00D17FEA">
          <w:rPr>
            <w:noProof/>
            <w:webHidden/>
          </w:rPr>
          <w:t>56</w:t>
        </w:r>
        <w:r w:rsidR="00D17FEA">
          <w:rPr>
            <w:noProof/>
            <w:webHidden/>
          </w:rPr>
          <w:fldChar w:fldCharType="end"/>
        </w:r>
      </w:hyperlink>
    </w:p>
    <w:p w14:paraId="08AC2E74" w14:textId="7AF931BC" w:rsidR="00773CE3" w:rsidRDefault="00F6094A" w:rsidP="00613918">
      <w:r>
        <w:fldChar w:fldCharType="end"/>
      </w:r>
    </w:p>
    <w:p w14:paraId="507EDAFA" w14:textId="77777777" w:rsidR="00773CE3" w:rsidRDefault="00773CE3">
      <w:r>
        <w:br w:type="page"/>
      </w:r>
    </w:p>
    <w:p w14:paraId="2DA3838F" w14:textId="77777777" w:rsidR="003874F3" w:rsidRDefault="003874F3" w:rsidP="003874F3">
      <w:pPr>
        <w:pStyle w:val="Heading1"/>
        <w:numPr>
          <w:ilvl w:val="0"/>
          <w:numId w:val="0"/>
        </w:numPr>
      </w:pPr>
      <w:bookmarkStart w:id="2" w:name="_Toc485302000"/>
      <w:bookmarkStart w:id="3" w:name="_Toc20139716"/>
      <w:r>
        <w:lastRenderedPageBreak/>
        <w:t>Executive Summary</w:t>
      </w:r>
      <w:bookmarkEnd w:id="2"/>
      <w:bookmarkEnd w:id="3"/>
    </w:p>
    <w:p w14:paraId="793DCE30" w14:textId="77777777" w:rsidR="004F1326" w:rsidRPr="00A86D08" w:rsidRDefault="004F1326" w:rsidP="004F1326">
      <w:pPr>
        <w:pStyle w:val="Subsectiontitle"/>
      </w:pPr>
      <w:bookmarkStart w:id="4" w:name="_Toc20139717"/>
      <w:r>
        <w:t>Report purpose and scope</w:t>
      </w:r>
      <w:bookmarkEnd w:id="4"/>
    </w:p>
    <w:p w14:paraId="531BF85B" w14:textId="6A922885" w:rsidR="004F1326" w:rsidRDefault="004F1326" w:rsidP="004F1326">
      <w:pPr>
        <w:pStyle w:val="ListBullet"/>
        <w:numPr>
          <w:ilvl w:val="0"/>
          <w:numId w:val="20"/>
        </w:numPr>
        <w:spacing w:after="120"/>
        <w:ind w:left="360"/>
        <w:rPr>
          <w:rFonts w:ascii="Calibri" w:eastAsia="Microsoft JhengHei" w:hAnsi="Calibri"/>
        </w:rPr>
      </w:pPr>
      <w:r w:rsidRPr="00334A14">
        <w:rPr>
          <w:rFonts w:ascii="Calibri" w:eastAsia="Microsoft JhengHei" w:hAnsi="Calibri"/>
        </w:rPr>
        <w:t xml:space="preserve">The Centre for Economics and Business Research (Cebr) has been commissioned by the Solent Local Enterprise Partnership (LEP) and Maritime UK to quantify the </w:t>
      </w:r>
      <w:r w:rsidRPr="00E423BE">
        <w:rPr>
          <w:rFonts w:ascii="Calibri" w:eastAsia="Microsoft JhengHei" w:hAnsi="Calibri"/>
          <w:b/>
        </w:rPr>
        <w:t xml:space="preserve">economic contribution of the </w:t>
      </w:r>
      <w:r w:rsidR="00A03D03" w:rsidRPr="00E423BE">
        <w:rPr>
          <w:rFonts w:ascii="Calibri" w:eastAsia="Microsoft JhengHei" w:hAnsi="Calibri"/>
          <w:b/>
        </w:rPr>
        <w:t>M</w:t>
      </w:r>
      <w:r w:rsidRPr="00E423BE">
        <w:rPr>
          <w:rFonts w:ascii="Calibri" w:eastAsia="Microsoft JhengHei" w:hAnsi="Calibri"/>
          <w:b/>
        </w:rPr>
        <w:t xml:space="preserve">aritime </w:t>
      </w:r>
      <w:r w:rsidR="00A03D03" w:rsidRPr="00E423BE">
        <w:rPr>
          <w:rFonts w:ascii="Calibri" w:eastAsia="Microsoft JhengHei" w:hAnsi="Calibri"/>
          <w:b/>
        </w:rPr>
        <w:t>S</w:t>
      </w:r>
      <w:r w:rsidRPr="00E423BE">
        <w:rPr>
          <w:rFonts w:ascii="Calibri" w:eastAsia="Microsoft JhengHei" w:hAnsi="Calibri"/>
          <w:b/>
        </w:rPr>
        <w:t>ector and Portsmouth Naval Base within the Solent LEP region</w:t>
      </w:r>
      <w:r w:rsidRPr="00334A14">
        <w:rPr>
          <w:rFonts w:ascii="Calibri" w:eastAsia="Microsoft JhengHei" w:hAnsi="Calibri"/>
        </w:rPr>
        <w:t xml:space="preserve">. </w:t>
      </w:r>
      <w:r w:rsidRPr="00CB4618">
        <w:rPr>
          <w:rFonts w:ascii="Calibri" w:eastAsia="Microsoft JhengHei" w:hAnsi="Calibri"/>
        </w:rPr>
        <w:t xml:space="preserve">This report forms one of </w:t>
      </w:r>
      <w:r w:rsidR="00A03D03">
        <w:rPr>
          <w:rFonts w:ascii="Calibri" w:eastAsia="Microsoft JhengHei" w:hAnsi="Calibri"/>
        </w:rPr>
        <w:t xml:space="preserve">ten </w:t>
      </w:r>
      <w:r w:rsidRPr="00CB4618">
        <w:rPr>
          <w:rFonts w:ascii="Calibri" w:eastAsia="Microsoft JhengHei" w:hAnsi="Calibri"/>
        </w:rPr>
        <w:t xml:space="preserve">reports </w:t>
      </w:r>
      <w:r w:rsidR="00F635F7">
        <w:rPr>
          <w:rFonts w:ascii="Calibri" w:eastAsia="Microsoft JhengHei" w:hAnsi="Calibri"/>
        </w:rPr>
        <w:t>assessing</w:t>
      </w:r>
      <w:r w:rsidRPr="00CB4618">
        <w:rPr>
          <w:rFonts w:ascii="Calibri" w:eastAsia="Microsoft JhengHei" w:hAnsi="Calibri"/>
        </w:rPr>
        <w:t xml:space="preserve"> the contribution of the Maritime </w:t>
      </w:r>
      <w:r w:rsidR="00A64334">
        <w:rPr>
          <w:rFonts w:ascii="Calibri" w:eastAsia="Microsoft JhengHei" w:hAnsi="Calibri"/>
        </w:rPr>
        <w:t>S</w:t>
      </w:r>
      <w:r w:rsidRPr="00CB4618">
        <w:rPr>
          <w:rFonts w:ascii="Calibri" w:eastAsia="Microsoft JhengHei" w:hAnsi="Calibri"/>
        </w:rPr>
        <w:t>ector, as a whole, at industry-level and in Scotland</w:t>
      </w:r>
      <w:r w:rsidR="00A03D03">
        <w:rPr>
          <w:rFonts w:ascii="Calibri" w:eastAsia="Microsoft JhengHei" w:hAnsi="Calibri"/>
        </w:rPr>
        <w:t xml:space="preserve">, </w:t>
      </w:r>
      <w:r>
        <w:rPr>
          <w:rFonts w:ascii="Calibri" w:eastAsia="Microsoft JhengHei" w:hAnsi="Calibri"/>
        </w:rPr>
        <w:t>Wales</w:t>
      </w:r>
      <w:r w:rsidR="00A03D03">
        <w:rPr>
          <w:rFonts w:ascii="Calibri" w:eastAsia="Microsoft JhengHei" w:hAnsi="Calibri"/>
        </w:rPr>
        <w:t xml:space="preserve"> and Liverpool City Region</w:t>
      </w:r>
      <w:r w:rsidRPr="00CB4618">
        <w:rPr>
          <w:rFonts w:ascii="Calibri" w:eastAsia="Microsoft JhengHei" w:hAnsi="Calibri"/>
        </w:rPr>
        <w:t xml:space="preserve">. </w:t>
      </w:r>
    </w:p>
    <w:p w14:paraId="73138AB4" w14:textId="5713AF39" w:rsidR="004F1326" w:rsidRDefault="004F1326" w:rsidP="004F1326">
      <w:pPr>
        <w:pStyle w:val="ListBullet"/>
        <w:numPr>
          <w:ilvl w:val="0"/>
          <w:numId w:val="20"/>
        </w:numPr>
        <w:spacing w:after="120"/>
        <w:ind w:left="360"/>
        <w:rPr>
          <w:rFonts w:ascii="Calibri" w:eastAsia="Microsoft JhengHei" w:hAnsi="Calibri"/>
        </w:rPr>
      </w:pPr>
      <w:r>
        <w:rPr>
          <w:rFonts w:ascii="Calibri" w:eastAsia="Microsoft JhengHei" w:hAnsi="Calibri"/>
        </w:rPr>
        <w:t xml:space="preserve">The report assesses the economic importance of the Solent-based </w:t>
      </w:r>
      <w:r w:rsidR="00A03D03">
        <w:rPr>
          <w:rFonts w:ascii="Calibri" w:eastAsia="Microsoft JhengHei" w:hAnsi="Calibri"/>
        </w:rPr>
        <w:t>M</w:t>
      </w:r>
      <w:r>
        <w:rPr>
          <w:rFonts w:ascii="Calibri" w:eastAsia="Microsoft JhengHei" w:hAnsi="Calibri"/>
        </w:rPr>
        <w:t xml:space="preserve">aritime </w:t>
      </w:r>
      <w:r w:rsidR="00A03D03">
        <w:rPr>
          <w:rFonts w:ascii="Calibri" w:eastAsia="Microsoft JhengHei" w:hAnsi="Calibri"/>
        </w:rPr>
        <w:t>S</w:t>
      </w:r>
      <w:r>
        <w:rPr>
          <w:rFonts w:ascii="Calibri" w:eastAsia="Microsoft JhengHei" w:hAnsi="Calibri"/>
        </w:rPr>
        <w:t>ector and Portsmouth Naval base from two perspectives:</w:t>
      </w:r>
    </w:p>
    <w:p w14:paraId="4FBD1ED0" w14:textId="605AAC83" w:rsidR="004F1326" w:rsidRDefault="004F1326" w:rsidP="004F1326">
      <w:pPr>
        <w:pStyle w:val="ListBullet"/>
        <w:numPr>
          <w:ilvl w:val="0"/>
          <w:numId w:val="29"/>
        </w:numPr>
        <w:spacing w:after="120"/>
        <w:rPr>
          <w:rFonts w:ascii="Calibri" w:eastAsia="Microsoft JhengHei" w:hAnsi="Calibri"/>
        </w:rPr>
      </w:pPr>
      <w:r>
        <w:rPr>
          <w:rFonts w:ascii="Calibri" w:eastAsia="Microsoft JhengHei" w:hAnsi="Calibri"/>
        </w:rPr>
        <w:t>The role that it plays as a gateway for trade with the rest of the world</w:t>
      </w:r>
      <w:r w:rsidR="00B22434">
        <w:rPr>
          <w:rFonts w:ascii="Calibri" w:eastAsia="Microsoft JhengHei" w:hAnsi="Calibri"/>
        </w:rPr>
        <w:t>.</w:t>
      </w:r>
    </w:p>
    <w:p w14:paraId="2554027B" w14:textId="17B784DF" w:rsidR="004F1326" w:rsidRDefault="004F1326" w:rsidP="004F1326">
      <w:pPr>
        <w:pStyle w:val="ListBullet"/>
        <w:numPr>
          <w:ilvl w:val="0"/>
          <w:numId w:val="29"/>
        </w:numPr>
        <w:spacing w:after="120"/>
        <w:rPr>
          <w:rFonts w:ascii="Calibri" w:eastAsia="Microsoft JhengHei" w:hAnsi="Calibri"/>
        </w:rPr>
      </w:pPr>
      <w:r>
        <w:rPr>
          <w:rFonts w:ascii="Calibri" w:eastAsia="Microsoft JhengHei" w:hAnsi="Calibri"/>
        </w:rPr>
        <w:t>The economic impact of the Solent</w:t>
      </w:r>
      <w:r w:rsidR="00D55523">
        <w:rPr>
          <w:rFonts w:ascii="Calibri" w:eastAsia="Microsoft JhengHei" w:hAnsi="Calibri"/>
        </w:rPr>
        <w:t>-based</w:t>
      </w:r>
      <w:r>
        <w:rPr>
          <w:rFonts w:ascii="Calibri" w:eastAsia="Microsoft JhengHei" w:hAnsi="Calibri"/>
        </w:rPr>
        <w:t xml:space="preserve"> </w:t>
      </w:r>
      <w:r w:rsidR="00A03D03">
        <w:rPr>
          <w:rFonts w:ascii="Calibri" w:eastAsia="Microsoft JhengHei" w:hAnsi="Calibri"/>
        </w:rPr>
        <w:t>M</w:t>
      </w:r>
      <w:r>
        <w:rPr>
          <w:rFonts w:ascii="Calibri" w:eastAsia="Microsoft JhengHei" w:hAnsi="Calibri"/>
        </w:rPr>
        <w:t xml:space="preserve">aritime </w:t>
      </w:r>
      <w:r w:rsidR="00A03D03">
        <w:rPr>
          <w:rFonts w:ascii="Calibri" w:eastAsia="Microsoft JhengHei" w:hAnsi="Calibri"/>
        </w:rPr>
        <w:t>S</w:t>
      </w:r>
      <w:r>
        <w:rPr>
          <w:rFonts w:ascii="Calibri" w:eastAsia="Microsoft JhengHei" w:hAnsi="Calibri"/>
        </w:rPr>
        <w:t xml:space="preserve">ector and Portsmouth Naval base in terms of the key macroeconomic indicators: gross value added (GVA), </w:t>
      </w:r>
      <w:r w:rsidR="00054BC2">
        <w:rPr>
          <w:rFonts w:ascii="Calibri" w:eastAsia="Microsoft JhengHei" w:hAnsi="Calibri"/>
        </w:rPr>
        <w:t xml:space="preserve">turnover, </w:t>
      </w:r>
      <w:r>
        <w:rPr>
          <w:rFonts w:ascii="Calibri" w:eastAsia="Microsoft JhengHei" w:hAnsi="Calibri"/>
        </w:rPr>
        <w:t xml:space="preserve">employment and the compensation of employees. </w:t>
      </w:r>
    </w:p>
    <w:p w14:paraId="728E378A" w14:textId="2C8CC6FA" w:rsidR="008A055E" w:rsidRDefault="008A055E" w:rsidP="00350CE3">
      <w:pPr>
        <w:pStyle w:val="ListBullet"/>
        <w:numPr>
          <w:ilvl w:val="0"/>
          <w:numId w:val="32"/>
        </w:numPr>
        <w:spacing w:after="120"/>
        <w:rPr>
          <w:rFonts w:ascii="Calibri" w:eastAsia="Microsoft JhengHei" w:hAnsi="Calibri"/>
        </w:rPr>
      </w:pPr>
      <w:r>
        <w:rPr>
          <w:rFonts w:ascii="Calibri" w:eastAsia="Microsoft JhengHei" w:hAnsi="Calibri"/>
        </w:rPr>
        <w:t>The first perspective serves to capture downstream relationships, whilst the second perspective captures the conve</w:t>
      </w:r>
      <w:r w:rsidR="002E7ABA">
        <w:rPr>
          <w:rFonts w:ascii="Calibri" w:eastAsia="Microsoft JhengHei" w:hAnsi="Calibri"/>
        </w:rPr>
        <w:t>ntional upstream relationships</w:t>
      </w:r>
      <w:r w:rsidR="00F635F7">
        <w:rPr>
          <w:rFonts w:ascii="Calibri" w:eastAsia="Microsoft JhengHei" w:hAnsi="Calibri"/>
        </w:rPr>
        <w:t xml:space="preserve"> and direct impacts</w:t>
      </w:r>
      <w:r w:rsidR="002E7ABA">
        <w:rPr>
          <w:rFonts w:ascii="Calibri" w:eastAsia="Microsoft JhengHei" w:hAnsi="Calibri"/>
        </w:rPr>
        <w:t>.</w:t>
      </w:r>
      <w:r w:rsidR="00F635F7">
        <w:rPr>
          <w:rFonts w:ascii="Calibri" w:eastAsia="Microsoft JhengHei" w:hAnsi="Calibri"/>
        </w:rPr>
        <w:t xml:space="preserve"> These broader impacts are critically important for </w:t>
      </w:r>
      <w:r w:rsidR="0074040A">
        <w:rPr>
          <w:rFonts w:ascii="Calibri" w:eastAsia="Microsoft JhengHei" w:hAnsi="Calibri"/>
        </w:rPr>
        <w:t xml:space="preserve">a </w:t>
      </w:r>
      <w:r w:rsidR="00F635F7">
        <w:rPr>
          <w:rFonts w:ascii="Calibri" w:eastAsia="Microsoft JhengHei" w:hAnsi="Calibri"/>
        </w:rPr>
        <w:t xml:space="preserve">specialised regional economy such as Solent LEP. </w:t>
      </w:r>
    </w:p>
    <w:p w14:paraId="22EFF842" w14:textId="6EB583DA" w:rsidR="004F1326" w:rsidRDefault="004F1326" w:rsidP="00B22434">
      <w:pPr>
        <w:pStyle w:val="Subsectiontitle"/>
      </w:pPr>
      <w:bookmarkStart w:id="5" w:name="_Toc20139718"/>
      <w:r>
        <w:t>Providing a vital international gateway</w:t>
      </w:r>
      <w:r w:rsidR="008817C9">
        <w:t xml:space="preserve"> and broad downstream impacts</w:t>
      </w:r>
      <w:bookmarkEnd w:id="5"/>
      <w:r w:rsidR="008817C9">
        <w:t xml:space="preserve"> </w:t>
      </w:r>
    </w:p>
    <w:p w14:paraId="6B13D211" w14:textId="5294827C" w:rsidR="004F1326" w:rsidRDefault="000F1B6C" w:rsidP="004F1326">
      <w:pPr>
        <w:pStyle w:val="ListBullet"/>
        <w:numPr>
          <w:ilvl w:val="0"/>
          <w:numId w:val="20"/>
        </w:numPr>
        <w:spacing w:after="120"/>
        <w:ind w:left="360"/>
        <w:rPr>
          <w:rFonts w:ascii="Calibri" w:eastAsia="Microsoft JhengHei" w:hAnsi="Calibri"/>
        </w:rPr>
      </w:pPr>
      <w:r>
        <w:rPr>
          <w:rFonts w:ascii="Calibri" w:eastAsia="Microsoft JhengHei" w:hAnsi="Calibri"/>
        </w:rPr>
        <w:t>T</w:t>
      </w:r>
      <w:r w:rsidR="004F1326" w:rsidRPr="000C2BD2">
        <w:rPr>
          <w:rFonts w:ascii="Calibri" w:eastAsia="Microsoft JhengHei" w:hAnsi="Calibri"/>
        </w:rPr>
        <w:t xml:space="preserve">he </w:t>
      </w:r>
      <w:r w:rsidR="00A03D03">
        <w:rPr>
          <w:rFonts w:ascii="Calibri" w:eastAsia="Microsoft JhengHei" w:hAnsi="Calibri"/>
        </w:rPr>
        <w:t>M</w:t>
      </w:r>
      <w:r w:rsidR="004F1326" w:rsidRPr="000C2BD2">
        <w:rPr>
          <w:rFonts w:ascii="Calibri" w:eastAsia="Microsoft JhengHei" w:hAnsi="Calibri"/>
        </w:rPr>
        <w:t xml:space="preserve">aritime </w:t>
      </w:r>
      <w:r w:rsidR="00A03D03">
        <w:rPr>
          <w:rFonts w:ascii="Calibri" w:eastAsia="Microsoft JhengHei" w:hAnsi="Calibri"/>
        </w:rPr>
        <w:t>S</w:t>
      </w:r>
      <w:r w:rsidR="004F1326" w:rsidRPr="000C2BD2">
        <w:rPr>
          <w:rFonts w:ascii="Calibri" w:eastAsia="Microsoft JhengHei" w:hAnsi="Calibri"/>
        </w:rPr>
        <w:t>ector in the</w:t>
      </w:r>
      <w:r>
        <w:rPr>
          <w:rFonts w:ascii="Calibri" w:eastAsia="Microsoft JhengHei" w:hAnsi="Calibri"/>
        </w:rPr>
        <w:t xml:space="preserve"> Solent LEP </w:t>
      </w:r>
      <w:r w:rsidR="004F1326" w:rsidRPr="000C2BD2">
        <w:rPr>
          <w:rFonts w:ascii="Calibri" w:eastAsia="Microsoft JhengHei" w:hAnsi="Calibri"/>
        </w:rPr>
        <w:t>plays</w:t>
      </w:r>
      <w:r>
        <w:rPr>
          <w:rFonts w:ascii="Calibri" w:eastAsia="Microsoft JhengHei" w:hAnsi="Calibri"/>
        </w:rPr>
        <w:t xml:space="preserve"> an important role</w:t>
      </w:r>
      <w:r w:rsidR="004F1326" w:rsidRPr="000C2BD2">
        <w:rPr>
          <w:rFonts w:ascii="Calibri" w:eastAsia="Microsoft JhengHei" w:hAnsi="Calibri"/>
        </w:rPr>
        <w:t xml:space="preserve"> in facilitating UK trade with the rest of the world. International trade drives economic growth and better living standards.</w:t>
      </w:r>
    </w:p>
    <w:p w14:paraId="726ECB10" w14:textId="77777777" w:rsidR="004F1326" w:rsidRDefault="004F1326" w:rsidP="004F1326">
      <w:pPr>
        <w:pStyle w:val="Heading3"/>
      </w:pPr>
      <w:r>
        <w:t>Importance in facilitating exports</w:t>
      </w:r>
    </w:p>
    <w:p w14:paraId="265EA8BD" w14:textId="011E7491" w:rsidR="000F1B6C" w:rsidRDefault="00FD31C1" w:rsidP="00FD31C1">
      <w:pPr>
        <w:pStyle w:val="ListBullet"/>
        <w:numPr>
          <w:ilvl w:val="0"/>
          <w:numId w:val="20"/>
        </w:numPr>
        <w:spacing w:after="120"/>
        <w:ind w:left="360"/>
      </w:pPr>
      <w:r w:rsidRPr="00FD31C1">
        <w:t>In 2017 the Solent-based maritime sector facilitated 13% of the volume of total UK exports with non-EU countries, and 13% of the total value of these exports.</w:t>
      </w:r>
      <w:r w:rsidR="00F635F7">
        <w:t xml:space="preserve"> This is highly significant in light of the UK’s ongoing Brexit process and the emphasis on non-EU trade. </w:t>
      </w:r>
    </w:p>
    <w:p w14:paraId="2D3145D4" w14:textId="1DCAAF31" w:rsidR="00FD31C1" w:rsidRPr="00FD31C1" w:rsidRDefault="00FD31C1" w:rsidP="00FD31C1">
      <w:pPr>
        <w:pStyle w:val="ListBullet"/>
        <w:numPr>
          <w:ilvl w:val="0"/>
          <w:numId w:val="20"/>
        </w:numPr>
        <w:spacing w:after="120"/>
        <w:ind w:left="360"/>
      </w:pPr>
      <w:r w:rsidRPr="00FD31C1">
        <w:t>The Solent is particularly important for the export of “mac</w:t>
      </w:r>
      <w:r w:rsidR="000F1B6C">
        <w:t>hinery and transport equipment”. The region facilitates</w:t>
      </w:r>
      <w:r w:rsidRPr="00FD31C1">
        <w:t xml:space="preserve"> £17 billion of exports, or 22% of the value of the UK total. The vast majority of exports falling under this category</w:t>
      </w:r>
      <w:r>
        <w:t xml:space="preserve"> were road vehicles (£12 billion). </w:t>
      </w:r>
    </w:p>
    <w:p w14:paraId="75C5C4BF" w14:textId="77777777" w:rsidR="004F1326" w:rsidRPr="00A86D08" w:rsidRDefault="004F1326" w:rsidP="004F1326">
      <w:pPr>
        <w:pStyle w:val="Heading3"/>
      </w:pPr>
      <w:r>
        <w:t>Importance in facilitating imports</w:t>
      </w:r>
    </w:p>
    <w:p w14:paraId="2753B730" w14:textId="77777777" w:rsidR="000F1B6C" w:rsidRDefault="00FD31C1" w:rsidP="00FD31C1">
      <w:pPr>
        <w:pStyle w:val="ListBullet"/>
        <w:numPr>
          <w:ilvl w:val="0"/>
          <w:numId w:val="20"/>
        </w:numPr>
        <w:spacing w:after="120"/>
        <w:ind w:left="360"/>
      </w:pPr>
      <w:r>
        <w:t xml:space="preserve">In 2017 the Solent maritime sector facilitated 10% of the volume of UK imports with non-EU countries, and 11% of the value total UK imports. </w:t>
      </w:r>
    </w:p>
    <w:p w14:paraId="39F49B78" w14:textId="27E25F4A" w:rsidR="00FD31C1" w:rsidRDefault="00FD31C1" w:rsidP="00FD31C1">
      <w:pPr>
        <w:pStyle w:val="ListBullet"/>
        <w:numPr>
          <w:ilvl w:val="0"/>
          <w:numId w:val="20"/>
        </w:numPr>
        <w:spacing w:after="120"/>
        <w:ind w:left="360"/>
      </w:pPr>
      <w:r>
        <w:t>In particular, it facilitates 21% of the total value of UK imports of petroleum products, and 24% of the value of road vehicles. Furthermore, it accounts for 31% of the value of UK imports of parts and</w:t>
      </w:r>
      <w:r w:rsidR="000F1B6C">
        <w:t xml:space="preserve"> accessories for motor vehicles. This confirms the region’s</w:t>
      </w:r>
      <w:r>
        <w:t xml:space="preserve"> role in facilitating the supply chain needs of UK manufacturers of machinery and transport equipment.</w:t>
      </w:r>
    </w:p>
    <w:p w14:paraId="59508236" w14:textId="77777777" w:rsidR="004F1326" w:rsidRDefault="004F1326" w:rsidP="004F1326">
      <w:pPr>
        <w:pStyle w:val="Heading3"/>
      </w:pPr>
      <w:r>
        <w:t>Additional gateway functions: tourism</w:t>
      </w:r>
    </w:p>
    <w:p w14:paraId="00A027A4" w14:textId="791A2DA0" w:rsidR="004F1326" w:rsidRDefault="004F1326" w:rsidP="004F1326">
      <w:pPr>
        <w:pStyle w:val="ListBullet"/>
        <w:numPr>
          <w:ilvl w:val="0"/>
          <w:numId w:val="20"/>
        </w:numPr>
        <w:spacing w:after="120"/>
        <w:ind w:left="360"/>
        <w:rPr>
          <w:b/>
        </w:rPr>
      </w:pPr>
      <w:r>
        <w:t xml:space="preserve">The Solent-based </w:t>
      </w:r>
      <w:r w:rsidR="00647E25">
        <w:t>M</w:t>
      </w:r>
      <w:r>
        <w:t xml:space="preserve">aritime </w:t>
      </w:r>
      <w:r w:rsidR="00647E25">
        <w:t>S</w:t>
      </w:r>
      <w:r>
        <w:t xml:space="preserve">ector also acts as an important gateway for </w:t>
      </w:r>
      <w:r w:rsidRPr="00F522BF">
        <w:rPr>
          <w:b/>
        </w:rPr>
        <w:t xml:space="preserve">international tourism, with its share of UK international passenger movements at ports increasing by </w:t>
      </w:r>
      <w:r w:rsidR="00AA0A7E">
        <w:rPr>
          <w:b/>
        </w:rPr>
        <w:t>5 percentage points</w:t>
      </w:r>
      <w:r w:rsidRPr="00F522BF">
        <w:rPr>
          <w:b/>
        </w:rPr>
        <w:t xml:space="preserve"> over the period 2006 to 201</w:t>
      </w:r>
      <w:r w:rsidR="00AA0A7E">
        <w:rPr>
          <w:b/>
        </w:rPr>
        <w:t>7</w:t>
      </w:r>
      <w:r w:rsidRPr="00F522BF">
        <w:rPr>
          <w:b/>
        </w:rPr>
        <w:t>.</w:t>
      </w:r>
    </w:p>
    <w:p w14:paraId="1B1D5FC6" w14:textId="6EDDC9E0" w:rsidR="004F1326" w:rsidRDefault="004F1326" w:rsidP="004F1326">
      <w:pPr>
        <w:pStyle w:val="ListBullet"/>
        <w:numPr>
          <w:ilvl w:val="0"/>
          <w:numId w:val="20"/>
        </w:numPr>
        <w:spacing w:after="120"/>
        <w:ind w:left="360"/>
      </w:pPr>
      <w:r w:rsidRPr="005920FA">
        <w:t xml:space="preserve">Overall, the </w:t>
      </w:r>
      <w:r w:rsidR="00647E25">
        <w:t>M</w:t>
      </w:r>
      <w:r w:rsidRPr="005920FA">
        <w:t xml:space="preserve">aritime </w:t>
      </w:r>
      <w:r w:rsidR="00647E25">
        <w:t>S</w:t>
      </w:r>
      <w:r w:rsidRPr="005920FA">
        <w:t>ector in the Solent provides</w:t>
      </w:r>
      <w:r w:rsidRPr="005920FA">
        <w:rPr>
          <w:b/>
        </w:rPr>
        <w:t xml:space="preserve"> a vital cog in the wheel of </w:t>
      </w:r>
      <w:r w:rsidR="000F1B6C">
        <w:rPr>
          <w:b/>
        </w:rPr>
        <w:t>UK manufacturing</w:t>
      </w:r>
      <w:r w:rsidRPr="005920FA">
        <w:rPr>
          <w:b/>
        </w:rPr>
        <w:t xml:space="preserve">. </w:t>
      </w:r>
      <w:r w:rsidRPr="005920FA">
        <w:t>This role comes in various guises from ensuring the movement of vital imported inputs to UK manufacturers, of valuable exports to our trading partners or in moving imported final goods that provide a competitive discipline for UK manufacturers looking to maintain global market share.</w:t>
      </w:r>
    </w:p>
    <w:p w14:paraId="0C2AC47A" w14:textId="77777777" w:rsidR="002E7ABA" w:rsidRDefault="002E7ABA" w:rsidP="002E7ABA">
      <w:pPr>
        <w:pStyle w:val="ListBullet"/>
        <w:spacing w:after="120"/>
        <w:ind w:left="360"/>
      </w:pPr>
    </w:p>
    <w:p w14:paraId="50EFF450" w14:textId="77777777" w:rsidR="004F1326" w:rsidRPr="005920FA" w:rsidRDefault="004F1326" w:rsidP="00285EBD">
      <w:pPr>
        <w:pStyle w:val="Subsectiontitle"/>
      </w:pPr>
      <w:bookmarkStart w:id="6" w:name="_Toc20139719"/>
      <w:r>
        <w:t>The economic footprint of the Solent-based Maritime sector</w:t>
      </w:r>
      <w:bookmarkEnd w:id="6"/>
    </w:p>
    <w:p w14:paraId="207C8E0C" w14:textId="07215EE4" w:rsidR="004F1326" w:rsidRDefault="004F1326" w:rsidP="004F1326">
      <w:pPr>
        <w:pStyle w:val="ListBullet"/>
        <w:numPr>
          <w:ilvl w:val="0"/>
          <w:numId w:val="20"/>
        </w:numPr>
        <w:spacing w:after="120"/>
        <w:ind w:left="360"/>
      </w:pPr>
      <w:r>
        <w:rPr>
          <w:b/>
        </w:rPr>
        <w:t>For the economic impact analysis</w:t>
      </w:r>
      <w:r w:rsidRPr="00B65044">
        <w:rPr>
          <w:b/>
        </w:rPr>
        <w:t xml:space="preserve">, the Maritime sector has been defined as consisting of the </w:t>
      </w:r>
      <w:r w:rsidR="008A65A7">
        <w:rPr>
          <w:b/>
        </w:rPr>
        <w:t>s</w:t>
      </w:r>
      <w:r w:rsidRPr="00B65044">
        <w:rPr>
          <w:b/>
        </w:rPr>
        <w:t xml:space="preserve">hipping, </w:t>
      </w:r>
      <w:r w:rsidR="008A65A7">
        <w:rPr>
          <w:b/>
        </w:rPr>
        <w:t>p</w:t>
      </w:r>
      <w:r w:rsidRPr="00B65044">
        <w:rPr>
          <w:b/>
        </w:rPr>
        <w:t xml:space="preserve">orts, </w:t>
      </w:r>
      <w:r w:rsidR="008A65A7">
        <w:rPr>
          <w:b/>
        </w:rPr>
        <w:t>leisure m</w:t>
      </w:r>
      <w:r w:rsidRPr="00B65044">
        <w:rPr>
          <w:b/>
        </w:rPr>
        <w:t>arine</w:t>
      </w:r>
      <w:r w:rsidR="008A65A7">
        <w:rPr>
          <w:b/>
        </w:rPr>
        <w:t>, marine engineering</w:t>
      </w:r>
      <w:r w:rsidRPr="00B65044">
        <w:rPr>
          <w:b/>
        </w:rPr>
        <w:t xml:space="preserve"> and </w:t>
      </w:r>
      <w:r w:rsidR="008A65A7">
        <w:rPr>
          <w:b/>
        </w:rPr>
        <w:t>m</w:t>
      </w:r>
      <w:r w:rsidRPr="00B65044">
        <w:rPr>
          <w:b/>
        </w:rPr>
        <w:t xml:space="preserve">aritime </w:t>
      </w:r>
      <w:r w:rsidR="008A65A7">
        <w:rPr>
          <w:b/>
        </w:rPr>
        <w:t>b</w:t>
      </w:r>
      <w:r w:rsidRPr="00B65044">
        <w:rPr>
          <w:b/>
        </w:rPr>
        <w:t xml:space="preserve">usiness </w:t>
      </w:r>
      <w:r w:rsidR="008A65A7">
        <w:rPr>
          <w:b/>
        </w:rPr>
        <w:t>s</w:t>
      </w:r>
      <w:r w:rsidRPr="00B65044">
        <w:rPr>
          <w:b/>
        </w:rPr>
        <w:t>ervices industries, which have been considered alongside Portsmouth Naval Base</w:t>
      </w:r>
      <w:r>
        <w:rPr>
          <w:b/>
        </w:rPr>
        <w:t xml:space="preserve"> in this study</w:t>
      </w:r>
      <w:r w:rsidRPr="00B65044">
        <w:rPr>
          <w:b/>
        </w:rPr>
        <w:t>.</w:t>
      </w:r>
      <w:r>
        <w:t xml:space="preserve"> Each of these entities comprises a multitude of different activities, data for which has been aligned against the national accounts framework. A largely “top-down” approach has been used to quantify the size and value of each industries’ activities exclusively within the Solent LEP.</w:t>
      </w:r>
    </w:p>
    <w:p w14:paraId="02EEB640" w14:textId="2F570871" w:rsidR="004F1326" w:rsidRPr="00507B6F" w:rsidRDefault="004F1326" w:rsidP="004F1326">
      <w:pPr>
        <w:pStyle w:val="ListBullet"/>
        <w:numPr>
          <w:ilvl w:val="0"/>
          <w:numId w:val="20"/>
        </w:numPr>
        <w:spacing w:after="120"/>
        <w:ind w:left="360"/>
        <w:rPr>
          <w:rFonts w:ascii="Calibri" w:eastAsia="Microsoft JhengHei" w:hAnsi="Calibri"/>
        </w:rPr>
      </w:pPr>
      <w:r w:rsidRPr="00F657DF">
        <w:t xml:space="preserve">The Solent-based Maritime </w:t>
      </w:r>
      <w:r w:rsidR="008A65A7">
        <w:t>S</w:t>
      </w:r>
      <w:r w:rsidRPr="00F657DF">
        <w:t xml:space="preserve">ector and Portsmouth Naval Base make a significant macroeconomic contribution through </w:t>
      </w:r>
      <w:r w:rsidR="008A65A7">
        <w:t xml:space="preserve">turnover, </w:t>
      </w:r>
      <w:r w:rsidRPr="00F657DF">
        <w:t>Gross Value Added (GVA), employment and the compensation of employees</w:t>
      </w:r>
      <w:r>
        <w:t>.</w:t>
      </w:r>
    </w:p>
    <w:p w14:paraId="1AD25ADE" w14:textId="2527ECDE" w:rsidR="004F1326" w:rsidRDefault="004F1326" w:rsidP="004F1326">
      <w:pPr>
        <w:pStyle w:val="ListBullet"/>
        <w:numPr>
          <w:ilvl w:val="0"/>
          <w:numId w:val="20"/>
        </w:numPr>
        <w:spacing w:after="120"/>
        <w:ind w:left="360"/>
        <w:rPr>
          <w:rFonts w:ascii="Calibri" w:eastAsia="Microsoft JhengHei" w:hAnsi="Calibri"/>
        </w:rPr>
      </w:pPr>
      <w:r>
        <w:rPr>
          <w:rFonts w:ascii="Calibri" w:eastAsia="Microsoft JhengHei" w:hAnsi="Calibri"/>
        </w:rPr>
        <w:t>After accounting for the wider economic impacts that occur through industry supply chains and induced effects of expenditure, in 201</w:t>
      </w:r>
      <w:r w:rsidR="008A65A7">
        <w:rPr>
          <w:rFonts w:ascii="Calibri" w:eastAsia="Microsoft JhengHei" w:hAnsi="Calibri"/>
        </w:rPr>
        <w:t>7</w:t>
      </w:r>
      <w:r>
        <w:rPr>
          <w:rFonts w:ascii="Calibri" w:eastAsia="Microsoft JhengHei" w:hAnsi="Calibri"/>
        </w:rPr>
        <w:t xml:space="preserve"> the </w:t>
      </w:r>
      <w:r w:rsidRPr="002915F5">
        <w:rPr>
          <w:rFonts w:ascii="Calibri" w:eastAsia="Microsoft JhengHei" w:hAnsi="Calibri"/>
          <w:b/>
        </w:rPr>
        <w:t>Solent-based Maritime sector and Portsmouth Naval Base supported £</w:t>
      </w:r>
      <w:r w:rsidR="006840B6">
        <w:rPr>
          <w:rFonts w:ascii="Calibri" w:eastAsia="Microsoft JhengHei" w:hAnsi="Calibri"/>
          <w:b/>
        </w:rPr>
        <w:t>12</w:t>
      </w:r>
      <w:r w:rsidRPr="002915F5">
        <w:rPr>
          <w:rFonts w:ascii="Calibri" w:eastAsia="Microsoft JhengHei" w:hAnsi="Calibri"/>
          <w:b/>
        </w:rPr>
        <w:t xml:space="preserve"> billion in </w:t>
      </w:r>
      <w:r w:rsidR="008A65A7">
        <w:rPr>
          <w:rFonts w:ascii="Calibri" w:eastAsia="Microsoft JhengHei" w:hAnsi="Calibri"/>
          <w:b/>
        </w:rPr>
        <w:t>turnover, £</w:t>
      </w:r>
      <w:r w:rsidR="006840B6">
        <w:rPr>
          <w:rFonts w:ascii="Calibri" w:eastAsia="Microsoft JhengHei" w:hAnsi="Calibri"/>
          <w:b/>
        </w:rPr>
        <w:t>5.8</w:t>
      </w:r>
      <w:r w:rsidR="008A65A7">
        <w:rPr>
          <w:rFonts w:ascii="Calibri" w:eastAsia="Microsoft JhengHei" w:hAnsi="Calibri"/>
          <w:b/>
        </w:rPr>
        <w:t xml:space="preserve"> billion in GVA</w:t>
      </w:r>
      <w:r w:rsidRPr="002915F5">
        <w:rPr>
          <w:rFonts w:ascii="Calibri" w:eastAsia="Microsoft JhengHei" w:hAnsi="Calibri"/>
          <w:b/>
        </w:rPr>
        <w:t>,</w:t>
      </w:r>
      <w:r w:rsidR="00437862">
        <w:rPr>
          <w:rFonts w:ascii="Calibri" w:eastAsia="Microsoft JhengHei" w:hAnsi="Calibri"/>
          <w:b/>
        </w:rPr>
        <w:t xml:space="preserve"> </w:t>
      </w:r>
      <w:r w:rsidR="006840B6">
        <w:rPr>
          <w:rFonts w:ascii="Calibri" w:eastAsia="Microsoft JhengHei" w:hAnsi="Calibri"/>
          <w:b/>
        </w:rPr>
        <w:t>152</w:t>
      </w:r>
      <w:r w:rsidR="00437862">
        <w:rPr>
          <w:rFonts w:ascii="Calibri" w:eastAsia="Microsoft JhengHei" w:hAnsi="Calibri"/>
          <w:b/>
        </w:rPr>
        <w:t>,000</w:t>
      </w:r>
      <w:r w:rsidRPr="002915F5">
        <w:rPr>
          <w:rFonts w:ascii="Calibri" w:eastAsia="Microsoft JhengHei" w:hAnsi="Calibri"/>
          <w:b/>
        </w:rPr>
        <w:t xml:space="preserve"> jobs and £</w:t>
      </w:r>
      <w:r w:rsidR="006840B6">
        <w:rPr>
          <w:rFonts w:ascii="Calibri" w:eastAsia="Microsoft JhengHei" w:hAnsi="Calibri"/>
          <w:b/>
        </w:rPr>
        <w:t>2.5</w:t>
      </w:r>
      <w:r w:rsidR="00437862">
        <w:rPr>
          <w:rFonts w:ascii="Calibri" w:eastAsia="Microsoft JhengHei" w:hAnsi="Calibri"/>
          <w:b/>
        </w:rPr>
        <w:t xml:space="preserve"> </w:t>
      </w:r>
      <w:r w:rsidRPr="002915F5">
        <w:rPr>
          <w:rFonts w:ascii="Calibri" w:eastAsia="Microsoft JhengHei" w:hAnsi="Calibri"/>
          <w:b/>
        </w:rPr>
        <w:t>billion in employee compensation</w:t>
      </w:r>
      <w:r w:rsidR="00CE282B">
        <w:rPr>
          <w:rFonts w:ascii="Calibri" w:eastAsia="Microsoft JhengHei" w:hAnsi="Calibri"/>
        </w:rPr>
        <w:t xml:space="preserve"> (wages and salaries), as summarised </w:t>
      </w:r>
      <w:r w:rsidR="005B5948">
        <w:rPr>
          <w:rFonts w:ascii="Calibri" w:eastAsia="Microsoft JhengHei" w:hAnsi="Calibri"/>
        </w:rPr>
        <w:t>in the following table:</w:t>
      </w:r>
    </w:p>
    <w:p w14:paraId="31851339" w14:textId="14FEA008" w:rsidR="005B5948" w:rsidRPr="00350CE3" w:rsidRDefault="005B5948" w:rsidP="00350CE3">
      <w:pPr>
        <w:pStyle w:val="ListBullet"/>
        <w:spacing w:after="120"/>
        <w:ind w:left="360"/>
        <w:rPr>
          <w:rFonts w:ascii="Calibri" w:eastAsia="Microsoft JhengHei" w:hAnsi="Calibri"/>
          <w:i/>
          <w:color w:val="008C9B" w:themeColor="accent1"/>
          <w:sz w:val="18"/>
        </w:rPr>
      </w:pPr>
      <w:r w:rsidRPr="00350CE3">
        <w:rPr>
          <w:i/>
          <w:color w:val="008C9B" w:themeColor="accent1"/>
          <w:sz w:val="18"/>
        </w:rPr>
        <w:t xml:space="preserve">Summary of the total economic impacts of the Solent-based </w:t>
      </w:r>
      <w:r w:rsidR="008A65A7">
        <w:rPr>
          <w:i/>
          <w:color w:val="008C9B" w:themeColor="accent1"/>
          <w:sz w:val="18"/>
        </w:rPr>
        <w:t>M</w:t>
      </w:r>
      <w:r w:rsidRPr="00350CE3">
        <w:rPr>
          <w:i/>
          <w:color w:val="008C9B" w:themeColor="accent1"/>
          <w:sz w:val="18"/>
        </w:rPr>
        <w:t xml:space="preserve">aritime </w:t>
      </w:r>
      <w:r w:rsidR="008A65A7">
        <w:rPr>
          <w:i/>
          <w:color w:val="008C9B" w:themeColor="accent1"/>
          <w:sz w:val="18"/>
        </w:rPr>
        <w:t>S</w:t>
      </w:r>
      <w:r w:rsidRPr="00350CE3">
        <w:rPr>
          <w:i/>
          <w:color w:val="008C9B" w:themeColor="accent1"/>
          <w:sz w:val="18"/>
        </w:rPr>
        <w:t>ector and Portsmouth Naval Base</w:t>
      </w:r>
      <w:r w:rsidR="00A003C9">
        <w:rPr>
          <w:i/>
          <w:color w:val="008C9B" w:themeColor="accent1"/>
          <w:sz w:val="18"/>
        </w:rPr>
        <w:t>, 2017</w:t>
      </w:r>
    </w:p>
    <w:tbl>
      <w:tblPr>
        <w:tblW w:w="5179" w:type="dxa"/>
        <w:jc w:val="center"/>
        <w:tblLook w:val="04A0" w:firstRow="1" w:lastRow="0" w:firstColumn="1" w:lastColumn="0" w:noHBand="0" w:noVBand="1"/>
      </w:tblPr>
      <w:tblGrid>
        <w:gridCol w:w="1093"/>
        <w:gridCol w:w="1093"/>
        <w:gridCol w:w="1416"/>
        <w:gridCol w:w="1577"/>
      </w:tblGrid>
      <w:tr w:rsidR="008A65A7" w:rsidRPr="00CE282B" w14:paraId="60994A37" w14:textId="77777777" w:rsidTr="008A65A7">
        <w:trPr>
          <w:trHeight w:val="1013"/>
          <w:jc w:val="center"/>
        </w:trPr>
        <w:tc>
          <w:tcPr>
            <w:tcW w:w="1093" w:type="dxa"/>
            <w:tcBorders>
              <w:top w:val="single" w:sz="8" w:space="0" w:color="FFFFFF"/>
              <w:left w:val="nil"/>
              <w:bottom w:val="single" w:sz="12" w:space="0" w:color="FFFFFF"/>
              <w:right w:val="single" w:sz="8" w:space="0" w:color="FFFFFF"/>
            </w:tcBorders>
            <w:shd w:val="clear" w:color="000000" w:fill="008C9B"/>
          </w:tcPr>
          <w:p w14:paraId="038D33B7" w14:textId="77777777" w:rsidR="008A65A7" w:rsidRDefault="008A65A7" w:rsidP="002941C3">
            <w:pPr>
              <w:spacing w:after="0"/>
              <w:jc w:val="center"/>
              <w:rPr>
                <w:rFonts w:ascii="Calibri" w:eastAsia="Times New Roman" w:hAnsi="Calibri"/>
                <w:b/>
                <w:bCs/>
                <w:color w:val="FFFFFF"/>
                <w:sz w:val="20"/>
                <w:lang w:eastAsia="en-GB"/>
              </w:rPr>
            </w:pPr>
          </w:p>
          <w:p w14:paraId="7FE57EA2" w14:textId="741166E1" w:rsidR="008A65A7" w:rsidRPr="00CE282B" w:rsidRDefault="008A65A7" w:rsidP="002941C3">
            <w:pPr>
              <w:spacing w:after="0"/>
              <w:jc w:val="center"/>
              <w:rPr>
                <w:rFonts w:ascii="Calibri" w:eastAsia="Times New Roman" w:hAnsi="Calibri"/>
                <w:b/>
                <w:bCs/>
                <w:color w:val="FFFFFF"/>
                <w:sz w:val="20"/>
                <w:lang w:eastAsia="en-GB"/>
              </w:rPr>
            </w:pPr>
            <w:r>
              <w:rPr>
                <w:rFonts w:ascii="Calibri" w:eastAsia="Times New Roman" w:hAnsi="Calibri"/>
                <w:b/>
                <w:bCs/>
                <w:color w:val="FFFFFF"/>
                <w:sz w:val="20"/>
                <w:lang w:eastAsia="en-GB"/>
              </w:rPr>
              <w:t>Turnover (£m)</w:t>
            </w:r>
          </w:p>
        </w:tc>
        <w:tc>
          <w:tcPr>
            <w:tcW w:w="1093" w:type="dxa"/>
            <w:tcBorders>
              <w:top w:val="single" w:sz="8" w:space="0" w:color="FFFFFF"/>
              <w:left w:val="nil"/>
              <w:bottom w:val="single" w:sz="12" w:space="0" w:color="FFFFFF"/>
              <w:right w:val="single" w:sz="8" w:space="0" w:color="FFFFFF"/>
            </w:tcBorders>
            <w:shd w:val="clear" w:color="000000" w:fill="008C9B"/>
            <w:vAlign w:val="center"/>
            <w:hideMark/>
          </w:tcPr>
          <w:p w14:paraId="56787881" w14:textId="1B96B68A" w:rsidR="008A65A7" w:rsidRPr="00CE282B" w:rsidRDefault="008A65A7" w:rsidP="002941C3">
            <w:pPr>
              <w:spacing w:after="0"/>
              <w:jc w:val="center"/>
              <w:rPr>
                <w:rFonts w:ascii="Calibri" w:eastAsia="Times New Roman" w:hAnsi="Calibri"/>
                <w:b/>
                <w:bCs/>
                <w:color w:val="FFFFFF"/>
                <w:sz w:val="20"/>
                <w:lang w:eastAsia="en-GB"/>
              </w:rPr>
            </w:pPr>
            <w:r w:rsidRPr="00CE282B">
              <w:rPr>
                <w:rFonts w:ascii="Calibri" w:eastAsia="Times New Roman" w:hAnsi="Calibri"/>
                <w:b/>
                <w:bCs/>
                <w:color w:val="FFFFFF"/>
                <w:sz w:val="20"/>
                <w:lang w:eastAsia="en-GB"/>
              </w:rPr>
              <w:t xml:space="preserve">GVA </w:t>
            </w:r>
            <w:r w:rsidRPr="00CE282B">
              <w:rPr>
                <w:rFonts w:ascii="Calibri" w:eastAsia="Times New Roman" w:hAnsi="Calibri"/>
                <w:b/>
                <w:bCs/>
                <w:color w:val="FFFFFF"/>
                <w:sz w:val="20"/>
                <w:lang w:eastAsia="en-GB"/>
              </w:rPr>
              <w:br/>
              <w:t>(£m)</w:t>
            </w:r>
          </w:p>
        </w:tc>
        <w:tc>
          <w:tcPr>
            <w:tcW w:w="1416" w:type="dxa"/>
            <w:tcBorders>
              <w:top w:val="single" w:sz="8" w:space="0" w:color="FFFFFF"/>
              <w:left w:val="nil"/>
              <w:bottom w:val="single" w:sz="12" w:space="0" w:color="FFFFFF"/>
              <w:right w:val="single" w:sz="8" w:space="0" w:color="FFFFFF"/>
            </w:tcBorders>
            <w:shd w:val="clear" w:color="000000" w:fill="008C9B"/>
            <w:vAlign w:val="center"/>
            <w:hideMark/>
          </w:tcPr>
          <w:p w14:paraId="66B3E379" w14:textId="77777777" w:rsidR="008A65A7" w:rsidRPr="00CE282B" w:rsidRDefault="008A65A7" w:rsidP="002941C3">
            <w:pPr>
              <w:spacing w:after="0"/>
              <w:jc w:val="center"/>
              <w:rPr>
                <w:rFonts w:ascii="Calibri" w:eastAsia="Times New Roman" w:hAnsi="Calibri"/>
                <w:b/>
                <w:bCs/>
                <w:color w:val="FFFFFF"/>
                <w:sz w:val="20"/>
                <w:lang w:eastAsia="en-GB"/>
              </w:rPr>
            </w:pPr>
            <w:r w:rsidRPr="00CE282B">
              <w:rPr>
                <w:rFonts w:ascii="Calibri" w:eastAsia="Times New Roman" w:hAnsi="Calibri"/>
                <w:b/>
                <w:bCs/>
                <w:color w:val="FFFFFF"/>
                <w:sz w:val="20"/>
                <w:lang w:eastAsia="en-GB"/>
              </w:rPr>
              <w:t xml:space="preserve">Employment </w:t>
            </w:r>
            <w:r w:rsidRPr="00CE282B">
              <w:rPr>
                <w:rFonts w:ascii="Calibri" w:eastAsia="Times New Roman" w:hAnsi="Calibri"/>
                <w:b/>
                <w:bCs/>
                <w:color w:val="FFFFFF"/>
                <w:sz w:val="20"/>
                <w:lang w:eastAsia="en-GB"/>
              </w:rPr>
              <w:br/>
              <w:t>(thousands)</w:t>
            </w:r>
          </w:p>
        </w:tc>
        <w:tc>
          <w:tcPr>
            <w:tcW w:w="1577" w:type="dxa"/>
            <w:tcBorders>
              <w:top w:val="single" w:sz="8" w:space="0" w:color="FFFFFF"/>
              <w:left w:val="nil"/>
              <w:bottom w:val="single" w:sz="12" w:space="0" w:color="FFFFFF"/>
              <w:right w:val="single" w:sz="8" w:space="0" w:color="FFFFFF"/>
            </w:tcBorders>
            <w:shd w:val="clear" w:color="000000" w:fill="008C9B"/>
            <w:vAlign w:val="center"/>
            <w:hideMark/>
          </w:tcPr>
          <w:p w14:paraId="1E2A8767" w14:textId="77777777" w:rsidR="008A65A7" w:rsidRPr="00CE282B" w:rsidRDefault="008A65A7" w:rsidP="002941C3">
            <w:pPr>
              <w:spacing w:after="0"/>
              <w:jc w:val="center"/>
              <w:rPr>
                <w:rFonts w:ascii="Calibri" w:eastAsia="Times New Roman" w:hAnsi="Calibri"/>
                <w:b/>
                <w:bCs/>
                <w:color w:val="FFFFFF"/>
                <w:sz w:val="20"/>
                <w:lang w:eastAsia="en-GB"/>
              </w:rPr>
            </w:pPr>
            <w:r w:rsidRPr="00CE282B">
              <w:rPr>
                <w:rFonts w:ascii="Calibri" w:eastAsia="Times New Roman" w:hAnsi="Calibri"/>
                <w:b/>
                <w:bCs/>
                <w:color w:val="FFFFFF"/>
                <w:sz w:val="20"/>
                <w:lang w:eastAsia="en-GB"/>
              </w:rPr>
              <w:t xml:space="preserve">Compensation of employees </w:t>
            </w:r>
            <w:r w:rsidRPr="00CE282B">
              <w:rPr>
                <w:rFonts w:ascii="Calibri" w:eastAsia="Times New Roman" w:hAnsi="Calibri"/>
                <w:b/>
                <w:bCs/>
                <w:color w:val="FFFFFF"/>
                <w:sz w:val="20"/>
                <w:lang w:eastAsia="en-GB"/>
              </w:rPr>
              <w:br/>
              <w:t xml:space="preserve">(£m) </w:t>
            </w:r>
          </w:p>
        </w:tc>
      </w:tr>
      <w:tr w:rsidR="008A65A7" w:rsidRPr="00CE282B" w14:paraId="0F7ACB02" w14:textId="77777777" w:rsidTr="008A65A7">
        <w:trPr>
          <w:trHeight w:val="323"/>
          <w:jc w:val="center"/>
        </w:trPr>
        <w:tc>
          <w:tcPr>
            <w:tcW w:w="1093" w:type="dxa"/>
            <w:tcBorders>
              <w:top w:val="nil"/>
              <w:left w:val="nil"/>
              <w:bottom w:val="single" w:sz="8" w:space="0" w:color="FFFFFF"/>
              <w:right w:val="single" w:sz="8" w:space="0" w:color="FFFFFF"/>
            </w:tcBorders>
            <w:shd w:val="clear" w:color="000000" w:fill="E7EEEF"/>
          </w:tcPr>
          <w:p w14:paraId="580C89DA" w14:textId="31AD5A32" w:rsidR="008A65A7" w:rsidRPr="00ED6094" w:rsidRDefault="006840B6" w:rsidP="002941C3">
            <w:pPr>
              <w:spacing w:after="0"/>
              <w:jc w:val="center"/>
              <w:rPr>
                <w:rFonts w:ascii="Calibri" w:eastAsia="Times New Roman" w:hAnsi="Calibri"/>
                <w:b/>
                <w:color w:val="000000"/>
                <w:sz w:val="20"/>
                <w:lang w:eastAsia="en-GB"/>
              </w:rPr>
            </w:pPr>
            <w:r>
              <w:rPr>
                <w:rFonts w:ascii="Calibri" w:eastAsia="Times New Roman" w:hAnsi="Calibri"/>
                <w:b/>
                <w:color w:val="000000"/>
                <w:sz w:val="20"/>
                <w:lang w:eastAsia="en-GB"/>
              </w:rPr>
              <w:t>12,026</w:t>
            </w:r>
          </w:p>
        </w:tc>
        <w:tc>
          <w:tcPr>
            <w:tcW w:w="1093" w:type="dxa"/>
            <w:tcBorders>
              <w:top w:val="nil"/>
              <w:left w:val="nil"/>
              <w:bottom w:val="single" w:sz="8" w:space="0" w:color="FFFFFF"/>
              <w:right w:val="single" w:sz="8" w:space="0" w:color="FFFFFF"/>
            </w:tcBorders>
            <w:shd w:val="clear" w:color="000000" w:fill="E7EEEF"/>
            <w:vAlign w:val="center"/>
            <w:hideMark/>
          </w:tcPr>
          <w:p w14:paraId="73C10AFA" w14:textId="0B39927C" w:rsidR="008A65A7" w:rsidRPr="00ED6094" w:rsidRDefault="006840B6" w:rsidP="002941C3">
            <w:pPr>
              <w:spacing w:after="0"/>
              <w:jc w:val="center"/>
              <w:rPr>
                <w:rFonts w:ascii="Calibri" w:eastAsia="Times New Roman" w:hAnsi="Calibri"/>
                <w:b/>
                <w:color w:val="000000"/>
                <w:sz w:val="20"/>
                <w:lang w:eastAsia="en-GB"/>
              </w:rPr>
            </w:pPr>
            <w:r>
              <w:rPr>
                <w:rFonts w:ascii="Calibri" w:eastAsia="Times New Roman" w:hAnsi="Calibri"/>
                <w:b/>
                <w:color w:val="000000"/>
                <w:sz w:val="20"/>
                <w:lang w:eastAsia="en-GB"/>
              </w:rPr>
              <w:t>5,779</w:t>
            </w:r>
          </w:p>
        </w:tc>
        <w:tc>
          <w:tcPr>
            <w:tcW w:w="1416" w:type="dxa"/>
            <w:tcBorders>
              <w:top w:val="nil"/>
              <w:left w:val="nil"/>
              <w:bottom w:val="single" w:sz="8" w:space="0" w:color="FFFFFF"/>
              <w:right w:val="single" w:sz="8" w:space="0" w:color="FFFFFF"/>
            </w:tcBorders>
            <w:shd w:val="clear" w:color="000000" w:fill="E7EEEF"/>
            <w:vAlign w:val="center"/>
            <w:hideMark/>
          </w:tcPr>
          <w:p w14:paraId="4FCF0158" w14:textId="59C129A0" w:rsidR="008A65A7" w:rsidRPr="00ED6094" w:rsidRDefault="006840B6" w:rsidP="002941C3">
            <w:pPr>
              <w:spacing w:after="0"/>
              <w:jc w:val="center"/>
              <w:rPr>
                <w:rFonts w:ascii="Calibri" w:eastAsia="Times New Roman" w:hAnsi="Calibri"/>
                <w:b/>
                <w:color w:val="000000"/>
                <w:sz w:val="20"/>
                <w:lang w:eastAsia="en-GB"/>
              </w:rPr>
            </w:pPr>
            <w:r>
              <w:rPr>
                <w:rFonts w:ascii="Calibri" w:eastAsia="Times New Roman" w:hAnsi="Calibri"/>
                <w:b/>
                <w:color w:val="000000"/>
                <w:sz w:val="20"/>
                <w:lang w:eastAsia="en-GB"/>
              </w:rPr>
              <w:t>152,000</w:t>
            </w:r>
          </w:p>
        </w:tc>
        <w:tc>
          <w:tcPr>
            <w:tcW w:w="1577" w:type="dxa"/>
            <w:tcBorders>
              <w:top w:val="nil"/>
              <w:left w:val="nil"/>
              <w:bottom w:val="single" w:sz="8" w:space="0" w:color="FFFFFF"/>
              <w:right w:val="single" w:sz="8" w:space="0" w:color="FFFFFF"/>
            </w:tcBorders>
            <w:shd w:val="clear" w:color="000000" w:fill="E7EEEF"/>
            <w:vAlign w:val="center"/>
            <w:hideMark/>
          </w:tcPr>
          <w:p w14:paraId="537375CB" w14:textId="1C22D2C4" w:rsidR="008A65A7" w:rsidRPr="00ED6094" w:rsidRDefault="006840B6" w:rsidP="002941C3">
            <w:pPr>
              <w:spacing w:after="0"/>
              <w:jc w:val="center"/>
              <w:rPr>
                <w:rFonts w:ascii="Calibri" w:eastAsia="Times New Roman" w:hAnsi="Calibri"/>
                <w:b/>
                <w:color w:val="000000"/>
                <w:sz w:val="20"/>
                <w:lang w:eastAsia="en-GB"/>
              </w:rPr>
            </w:pPr>
            <w:r>
              <w:rPr>
                <w:rFonts w:ascii="Calibri" w:eastAsia="Times New Roman" w:hAnsi="Calibri"/>
                <w:b/>
                <w:color w:val="000000"/>
                <w:sz w:val="20"/>
                <w:lang w:eastAsia="en-GB"/>
              </w:rPr>
              <w:t>2,517</w:t>
            </w:r>
          </w:p>
        </w:tc>
      </w:tr>
    </w:tbl>
    <w:p w14:paraId="0F2696EB" w14:textId="77777777" w:rsidR="00CE282B" w:rsidRDefault="00CE282B" w:rsidP="00350CE3">
      <w:pPr>
        <w:pStyle w:val="ListBullet"/>
        <w:spacing w:after="120"/>
        <w:ind w:left="360"/>
        <w:rPr>
          <w:rFonts w:ascii="Calibri" w:eastAsia="Microsoft JhengHei" w:hAnsi="Calibri"/>
        </w:rPr>
      </w:pPr>
    </w:p>
    <w:p w14:paraId="12F4B12C" w14:textId="3B98DA62" w:rsidR="004F1326" w:rsidRPr="004E0DE7" w:rsidRDefault="004F1326" w:rsidP="004F1326">
      <w:pPr>
        <w:pStyle w:val="ListBullet"/>
        <w:numPr>
          <w:ilvl w:val="0"/>
          <w:numId w:val="20"/>
        </w:numPr>
        <w:spacing w:after="120"/>
        <w:ind w:left="360"/>
        <w:rPr>
          <w:rFonts w:ascii="Calibri" w:eastAsia="Microsoft JhengHei" w:hAnsi="Calibri"/>
        </w:rPr>
      </w:pPr>
      <w:r>
        <w:rPr>
          <w:rFonts w:ascii="Calibri" w:eastAsia="Microsoft JhengHei" w:hAnsi="Calibri"/>
        </w:rPr>
        <w:t>The Solent-based Maritime sector and Portsmouth Naval base contributed significantly to tax revenue</w:t>
      </w:r>
      <w:r w:rsidR="00A93081">
        <w:rPr>
          <w:rFonts w:ascii="Calibri" w:eastAsia="Microsoft JhengHei" w:hAnsi="Calibri"/>
        </w:rPr>
        <w:t>s</w:t>
      </w:r>
      <w:r>
        <w:rPr>
          <w:rFonts w:ascii="Calibri" w:eastAsia="Microsoft JhengHei" w:hAnsi="Calibri"/>
        </w:rPr>
        <w:t xml:space="preserve"> in 201</w:t>
      </w:r>
      <w:r w:rsidR="008A65A7">
        <w:rPr>
          <w:rFonts w:ascii="Calibri" w:eastAsia="Microsoft JhengHei" w:hAnsi="Calibri"/>
        </w:rPr>
        <w:t>7</w:t>
      </w:r>
      <w:r>
        <w:rPr>
          <w:rFonts w:ascii="Calibri" w:eastAsia="Microsoft JhengHei" w:hAnsi="Calibri"/>
        </w:rPr>
        <w:t xml:space="preserve">, </w:t>
      </w:r>
      <w:r w:rsidRPr="002915F5">
        <w:rPr>
          <w:rFonts w:ascii="Calibri" w:eastAsia="Microsoft JhengHei" w:hAnsi="Calibri"/>
          <w:b/>
        </w:rPr>
        <w:t xml:space="preserve">with a direct exchequer impact of approximately </w:t>
      </w:r>
      <w:r w:rsidR="00437862">
        <w:rPr>
          <w:rFonts w:ascii="Calibri" w:eastAsia="Microsoft JhengHei" w:hAnsi="Calibri"/>
          <w:b/>
        </w:rPr>
        <w:t>£524</w:t>
      </w:r>
      <w:r w:rsidRPr="002915F5">
        <w:rPr>
          <w:rFonts w:ascii="Calibri" w:eastAsia="Microsoft JhengHei" w:hAnsi="Calibri"/>
          <w:b/>
        </w:rPr>
        <w:t xml:space="preserve"> </w:t>
      </w:r>
      <w:r w:rsidR="00437862">
        <w:rPr>
          <w:rFonts w:ascii="Calibri" w:eastAsia="Microsoft JhengHei" w:hAnsi="Calibri"/>
          <w:b/>
        </w:rPr>
        <w:t>million</w:t>
      </w:r>
      <w:r>
        <w:rPr>
          <w:rFonts w:ascii="Calibri" w:eastAsia="Microsoft JhengHei" w:hAnsi="Calibri"/>
        </w:rPr>
        <w:t xml:space="preserve">. Of this, the </w:t>
      </w:r>
      <w:r w:rsidR="00437862">
        <w:rPr>
          <w:rFonts w:ascii="Calibri" w:eastAsia="Microsoft JhengHei" w:hAnsi="Calibri"/>
        </w:rPr>
        <w:t>five</w:t>
      </w:r>
      <w:r>
        <w:rPr>
          <w:rFonts w:ascii="Calibri" w:eastAsia="Microsoft JhengHei" w:hAnsi="Calibri"/>
        </w:rPr>
        <w:t xml:space="preserve"> maritime industries (</w:t>
      </w:r>
      <w:r w:rsidR="00437862">
        <w:rPr>
          <w:rFonts w:ascii="Calibri" w:eastAsia="Microsoft JhengHei" w:hAnsi="Calibri"/>
        </w:rPr>
        <w:t>p</w:t>
      </w:r>
      <w:r>
        <w:rPr>
          <w:rFonts w:ascii="Calibri" w:eastAsia="Microsoft JhengHei" w:hAnsi="Calibri"/>
        </w:rPr>
        <w:t xml:space="preserve">orts, </w:t>
      </w:r>
      <w:r w:rsidR="00437862">
        <w:rPr>
          <w:rFonts w:ascii="Calibri" w:eastAsia="Microsoft JhengHei" w:hAnsi="Calibri"/>
        </w:rPr>
        <w:t>s</w:t>
      </w:r>
      <w:r>
        <w:rPr>
          <w:rFonts w:ascii="Calibri" w:eastAsia="Microsoft JhengHei" w:hAnsi="Calibri"/>
        </w:rPr>
        <w:t xml:space="preserve">hipping, </w:t>
      </w:r>
      <w:r w:rsidR="00437862">
        <w:rPr>
          <w:rFonts w:ascii="Calibri" w:eastAsia="Microsoft JhengHei" w:hAnsi="Calibri"/>
        </w:rPr>
        <w:t>leisure m</w:t>
      </w:r>
      <w:r>
        <w:rPr>
          <w:rFonts w:ascii="Calibri" w:eastAsia="Microsoft JhengHei" w:hAnsi="Calibri"/>
        </w:rPr>
        <w:t>arine</w:t>
      </w:r>
      <w:r w:rsidR="00437862">
        <w:rPr>
          <w:rFonts w:ascii="Calibri" w:eastAsia="Microsoft JhengHei" w:hAnsi="Calibri"/>
        </w:rPr>
        <w:t>, marine engineering</w:t>
      </w:r>
      <w:r>
        <w:rPr>
          <w:rFonts w:ascii="Calibri" w:eastAsia="Microsoft JhengHei" w:hAnsi="Calibri"/>
        </w:rPr>
        <w:t xml:space="preserve"> and </w:t>
      </w:r>
      <w:r w:rsidR="00437862">
        <w:rPr>
          <w:rFonts w:ascii="Calibri" w:eastAsia="Microsoft JhengHei" w:hAnsi="Calibri"/>
        </w:rPr>
        <w:t>m</w:t>
      </w:r>
      <w:r>
        <w:rPr>
          <w:rFonts w:ascii="Calibri" w:eastAsia="Microsoft JhengHei" w:hAnsi="Calibri"/>
        </w:rPr>
        <w:t xml:space="preserve">aritime </w:t>
      </w:r>
      <w:r w:rsidR="00437862">
        <w:rPr>
          <w:rFonts w:ascii="Calibri" w:eastAsia="Microsoft JhengHei" w:hAnsi="Calibri"/>
        </w:rPr>
        <w:t>b</w:t>
      </w:r>
      <w:r>
        <w:rPr>
          <w:rFonts w:ascii="Calibri" w:eastAsia="Microsoft JhengHei" w:hAnsi="Calibri"/>
        </w:rPr>
        <w:t xml:space="preserve">usiness </w:t>
      </w:r>
      <w:r w:rsidR="00437862">
        <w:rPr>
          <w:rFonts w:ascii="Calibri" w:eastAsia="Microsoft JhengHei" w:hAnsi="Calibri"/>
        </w:rPr>
        <w:t>s</w:t>
      </w:r>
      <w:r>
        <w:rPr>
          <w:rFonts w:ascii="Calibri" w:eastAsia="Microsoft JhengHei" w:hAnsi="Calibri"/>
        </w:rPr>
        <w:t xml:space="preserve">ervices) accounted for over </w:t>
      </w:r>
      <w:r w:rsidR="00437862">
        <w:rPr>
          <w:rFonts w:ascii="Calibri" w:eastAsia="Microsoft JhengHei" w:hAnsi="Calibri"/>
        </w:rPr>
        <w:t>8</w:t>
      </w:r>
      <w:r>
        <w:rPr>
          <w:rFonts w:ascii="Calibri" w:eastAsia="Microsoft JhengHei" w:hAnsi="Calibri"/>
        </w:rPr>
        <w:t xml:space="preserve">% of the total tax contribution of the UK Maritime sector, </w:t>
      </w:r>
      <w:r>
        <w:t>spread across Income Tax, National Insurance Contributions (NICs), VAT, Corporation Tax and Business Rates</w:t>
      </w:r>
      <w:r w:rsidR="003E4D30">
        <w:t>.</w:t>
      </w:r>
    </w:p>
    <w:p w14:paraId="188BB155" w14:textId="19B30122" w:rsidR="005B0018" w:rsidRPr="0046111D" w:rsidRDefault="009520D1" w:rsidP="005B0018">
      <w:pPr>
        <w:pStyle w:val="ListBullet"/>
        <w:numPr>
          <w:ilvl w:val="0"/>
          <w:numId w:val="20"/>
        </w:numPr>
        <w:spacing w:after="120"/>
        <w:ind w:left="360"/>
        <w:rPr>
          <w:rFonts w:ascii="Calibri" w:eastAsia="Microsoft JhengHei" w:hAnsi="Calibri"/>
        </w:rPr>
      </w:pPr>
      <w:r>
        <w:t xml:space="preserve">The </w:t>
      </w:r>
      <w:r w:rsidR="004F1326" w:rsidRPr="00350CE3">
        <w:t>Solent</w:t>
      </w:r>
      <w:r>
        <w:t xml:space="preserve"> economy</w:t>
      </w:r>
      <w:r w:rsidR="004F1326" w:rsidRPr="00350CE3">
        <w:t xml:space="preserve"> as a whole makes a substantive macroeconomic contribution to both the South East and the UK. </w:t>
      </w:r>
      <w:r w:rsidR="004F1326" w:rsidRPr="00350CE3">
        <w:rPr>
          <w:b/>
        </w:rPr>
        <w:t xml:space="preserve">It is estimated that Solent directly </w:t>
      </w:r>
      <w:r>
        <w:rPr>
          <w:b/>
        </w:rPr>
        <w:t>generated</w:t>
      </w:r>
      <w:r w:rsidR="004F1326" w:rsidRPr="00350CE3">
        <w:rPr>
          <w:b/>
        </w:rPr>
        <w:t xml:space="preserve"> just under </w:t>
      </w:r>
      <w:r w:rsidR="008F4A54">
        <w:rPr>
          <w:b/>
        </w:rPr>
        <w:t>534</w:t>
      </w:r>
      <w:r w:rsidR="004F1326" w:rsidRPr="00350CE3">
        <w:rPr>
          <w:b/>
        </w:rPr>
        <w:t>,000 jobs in 201</w:t>
      </w:r>
      <w:r w:rsidR="008F4A54">
        <w:rPr>
          <w:b/>
        </w:rPr>
        <w:t>7</w:t>
      </w:r>
      <w:r w:rsidR="004F1326" w:rsidRPr="00350CE3">
        <w:rPr>
          <w:b/>
        </w:rPr>
        <w:t>; this equates to 1</w:t>
      </w:r>
      <w:r w:rsidR="008F4A54">
        <w:rPr>
          <w:b/>
        </w:rPr>
        <w:t>2</w:t>
      </w:r>
      <w:r w:rsidR="004F1326" w:rsidRPr="00350CE3">
        <w:rPr>
          <w:b/>
        </w:rPr>
        <w:t>.6% of total employment in the South East, or 1.</w:t>
      </w:r>
      <w:r w:rsidR="008F4A54">
        <w:rPr>
          <w:b/>
        </w:rPr>
        <w:t>7</w:t>
      </w:r>
      <w:r w:rsidR="004F1326" w:rsidRPr="00350CE3">
        <w:rPr>
          <w:b/>
        </w:rPr>
        <w:t>% of the UK workforce.</w:t>
      </w:r>
      <w:r w:rsidR="004F1326" w:rsidRPr="00350CE3">
        <w:t xml:space="preserve"> In the same year, Solent is estimated to have contributed £2</w:t>
      </w:r>
      <w:r w:rsidR="008F4A54">
        <w:t>4</w:t>
      </w:r>
      <w:r w:rsidR="004F1326" w:rsidRPr="00350CE3">
        <w:t>.</w:t>
      </w:r>
      <w:r w:rsidR="008F4A54">
        <w:t>1</w:t>
      </w:r>
      <w:r w:rsidR="004F1326" w:rsidRPr="00350CE3">
        <w:t xml:space="preserve"> billion in Gross Value Added (GVA), representing </w:t>
      </w:r>
      <w:r w:rsidR="008F4A54">
        <w:t>9.0</w:t>
      </w:r>
      <w:r w:rsidR="004F1326" w:rsidRPr="00350CE3">
        <w:t>% of GVA in the South East and 1.</w:t>
      </w:r>
      <w:r w:rsidR="008F4A54">
        <w:t>3</w:t>
      </w:r>
      <w:r w:rsidR="004F1326" w:rsidRPr="00350CE3">
        <w:t xml:space="preserve">% of the UK as a whole. </w:t>
      </w:r>
    </w:p>
    <w:p w14:paraId="15D0CB31" w14:textId="4A779E15" w:rsidR="0046111D" w:rsidRPr="005B0018" w:rsidRDefault="0046111D" w:rsidP="005B0018">
      <w:pPr>
        <w:pStyle w:val="ListBullet"/>
        <w:numPr>
          <w:ilvl w:val="0"/>
          <w:numId w:val="20"/>
        </w:numPr>
        <w:spacing w:after="120"/>
        <w:ind w:left="360"/>
        <w:rPr>
          <w:rFonts w:ascii="Calibri" w:eastAsia="Microsoft JhengHei" w:hAnsi="Calibri"/>
        </w:rPr>
      </w:pPr>
      <w:r>
        <w:t>The GVA of the Solent region is most heavily concentrated in the defence, public administration, education and health. This subsector contributed around 22% of the total GVA produced in Solent LEP.</w:t>
      </w:r>
    </w:p>
    <w:p w14:paraId="7991B7C2" w14:textId="22AD653E" w:rsidR="005B0018" w:rsidRPr="005B0018" w:rsidRDefault="005B0018" w:rsidP="005B0018">
      <w:pPr>
        <w:pStyle w:val="ListBullet"/>
        <w:numPr>
          <w:ilvl w:val="0"/>
          <w:numId w:val="20"/>
        </w:numPr>
        <w:spacing w:after="120"/>
        <w:ind w:left="360"/>
        <w:rPr>
          <w:rFonts w:ascii="Calibri" w:eastAsia="Microsoft JhengHei" w:hAnsi="Calibri"/>
        </w:rPr>
      </w:pPr>
      <w:r w:rsidRPr="005B0018">
        <w:rPr>
          <w:rFonts w:ascii="Calibri" w:eastAsia="Microsoft JhengHei" w:hAnsi="Calibri"/>
        </w:rPr>
        <w:t xml:space="preserve">Our forecast indicates that </w:t>
      </w:r>
      <w:r w:rsidRPr="005B0018">
        <w:rPr>
          <w:rFonts w:ascii="Calibri" w:eastAsia="Microsoft JhengHei" w:hAnsi="Calibri"/>
          <w:b/>
        </w:rPr>
        <w:t>Solent-based maritime turnover and GVA are set to grow at a Compounded Annual Growth rate (CAGR) of 3.1%</w:t>
      </w:r>
      <w:r w:rsidRPr="005B0018">
        <w:rPr>
          <w:rFonts w:ascii="Calibri" w:eastAsia="Microsoft JhengHei" w:hAnsi="Calibri"/>
        </w:rPr>
        <w:t xml:space="preserve"> over the considered period. This translates into a cumulative nominal growth of 16% for 2019-2023, which, when considered alongside projected inflation, is about 6%.</w:t>
      </w:r>
      <w:r>
        <w:rPr>
          <w:rFonts w:ascii="Calibri" w:eastAsia="Microsoft JhengHei" w:hAnsi="Calibri"/>
        </w:rPr>
        <w:t xml:space="preserve"> </w:t>
      </w:r>
      <w:r w:rsidRPr="005B0018">
        <w:rPr>
          <w:rFonts w:ascii="Calibri" w:eastAsia="Microsoft JhengHei" w:hAnsi="Calibri"/>
        </w:rPr>
        <w:t>Although the projected growth is lower than what experienced over the period from 2010 to 2017, maritime sector in the Solent LEP region is set to grow at a faster rate than in the UK</w:t>
      </w:r>
    </w:p>
    <w:p w14:paraId="34539AFC" w14:textId="77777777" w:rsidR="00F01551" w:rsidRDefault="00F01551" w:rsidP="00F01551">
      <w:pPr>
        <w:pStyle w:val="Heading1"/>
      </w:pPr>
      <w:bookmarkStart w:id="7" w:name="_Toc487015943"/>
      <w:bookmarkStart w:id="8" w:name="_Toc20139720"/>
      <w:bookmarkEnd w:id="7"/>
      <w:r>
        <w:lastRenderedPageBreak/>
        <w:t>Introduction</w:t>
      </w:r>
      <w:bookmarkEnd w:id="8"/>
    </w:p>
    <w:p w14:paraId="066D9622" w14:textId="562D4967" w:rsidR="00C15B6B" w:rsidRDefault="00F01551" w:rsidP="00F01551">
      <w:r>
        <w:t>Cebr is pleased to present this report to</w:t>
      </w:r>
      <w:r w:rsidR="00B6563F">
        <w:t xml:space="preserve"> the Solent LEP </w:t>
      </w:r>
      <w:r w:rsidR="00EA44AA">
        <w:t>and Maritime</w:t>
      </w:r>
      <w:r>
        <w:t xml:space="preserve"> UK on the economic impact of the </w:t>
      </w:r>
      <w:r w:rsidR="00C15B6B">
        <w:t>M</w:t>
      </w:r>
      <w:r>
        <w:t xml:space="preserve">aritime </w:t>
      </w:r>
      <w:r w:rsidR="00A03D03">
        <w:t>S</w:t>
      </w:r>
      <w:r w:rsidR="00732B47">
        <w:t>ector</w:t>
      </w:r>
      <w:r w:rsidR="00371BC9">
        <w:t xml:space="preserve"> and Portsmouth Naval Base</w:t>
      </w:r>
      <w:r w:rsidR="00732B47">
        <w:t xml:space="preserve"> </w:t>
      </w:r>
      <w:r>
        <w:t xml:space="preserve">on the </w:t>
      </w:r>
      <w:r w:rsidR="00F71F0C">
        <w:t>Solent</w:t>
      </w:r>
      <w:r>
        <w:t xml:space="preserve"> economy. </w:t>
      </w:r>
      <w:r w:rsidR="00AC0528">
        <w:t>In this context</w:t>
      </w:r>
      <w:r w:rsidR="00DB02D9">
        <w:t xml:space="preserve"> and henceforth</w:t>
      </w:r>
      <w:r w:rsidR="00AC0528">
        <w:t xml:space="preserve">, the </w:t>
      </w:r>
      <w:r w:rsidR="00DB02D9">
        <w:t>“</w:t>
      </w:r>
      <w:r w:rsidR="00CF0495">
        <w:t xml:space="preserve">Maritime </w:t>
      </w:r>
      <w:r w:rsidR="00A03D03">
        <w:t>S</w:t>
      </w:r>
      <w:r w:rsidR="00732B47">
        <w:t>ector</w:t>
      </w:r>
      <w:r w:rsidR="00DB02D9">
        <w:t>”</w:t>
      </w:r>
      <w:r w:rsidR="00732B47">
        <w:t xml:space="preserve"> </w:t>
      </w:r>
      <w:r w:rsidR="00AC0528">
        <w:t xml:space="preserve">is defined as </w:t>
      </w:r>
      <w:r w:rsidR="00732B47">
        <w:t xml:space="preserve">comprising </w:t>
      </w:r>
      <w:r w:rsidR="00AC0528">
        <w:t xml:space="preserve">the </w:t>
      </w:r>
      <w:r w:rsidR="00647E25">
        <w:t>s</w:t>
      </w:r>
      <w:r w:rsidR="00732B47">
        <w:t>hipping</w:t>
      </w:r>
      <w:r w:rsidR="00AC0528">
        <w:t xml:space="preserve">, </w:t>
      </w:r>
      <w:r w:rsidR="00647E25">
        <w:t>p</w:t>
      </w:r>
      <w:r w:rsidR="00732B47">
        <w:t>o</w:t>
      </w:r>
      <w:r w:rsidR="00AC0528">
        <w:t xml:space="preserve">rts, </w:t>
      </w:r>
      <w:r w:rsidR="00647E25">
        <w:t>leisure marine, m</w:t>
      </w:r>
      <w:r w:rsidR="00AC0528">
        <w:t>arine</w:t>
      </w:r>
      <w:r w:rsidR="00647E25">
        <w:t xml:space="preserve"> e</w:t>
      </w:r>
      <w:r w:rsidR="00A03D03">
        <w:t>ng</w:t>
      </w:r>
      <w:r w:rsidR="00647E25">
        <w:t>ineering,</w:t>
      </w:r>
      <w:r w:rsidR="00AC0528">
        <w:t xml:space="preserve"> and </w:t>
      </w:r>
      <w:r w:rsidR="00647E25">
        <w:t>maritime business s</w:t>
      </w:r>
      <w:r w:rsidR="00732B47">
        <w:t xml:space="preserve">ervices </w:t>
      </w:r>
      <w:r w:rsidR="00AC0528">
        <w:t xml:space="preserve">industries. </w:t>
      </w:r>
      <w:r w:rsidR="00C15B6B">
        <w:t>In order to capture the importance of defence</w:t>
      </w:r>
      <w:r w:rsidR="00371BC9">
        <w:t xml:space="preserve"> and shipbuilding</w:t>
      </w:r>
      <w:r w:rsidR="00C15B6B">
        <w:t xml:space="preserve"> activities </w:t>
      </w:r>
      <w:r w:rsidR="00371BC9">
        <w:t xml:space="preserve">within the Solent, </w:t>
      </w:r>
      <w:r w:rsidR="00C15B6B">
        <w:t>the economic impact of Portsmouth Naval Base has also been considered.</w:t>
      </w:r>
    </w:p>
    <w:p w14:paraId="735472C3" w14:textId="417F5091" w:rsidR="00AC0528" w:rsidRDefault="00AC0528" w:rsidP="00F01551">
      <w:r>
        <w:t>Our examination spans the period from 2010</w:t>
      </w:r>
      <w:r w:rsidR="00F604FD">
        <w:t xml:space="preserve"> to 2017</w:t>
      </w:r>
      <w:r w:rsidR="00C25A8D">
        <w:t xml:space="preserve"> </w:t>
      </w:r>
      <w:r w:rsidR="00CF0495">
        <w:t>(</w:t>
      </w:r>
      <w:r w:rsidR="00C25A8D">
        <w:t>inclusive</w:t>
      </w:r>
      <w:r w:rsidR="00CF0495">
        <w:t>)</w:t>
      </w:r>
      <w:r w:rsidR="00C25A8D">
        <w:t xml:space="preserve">, </w:t>
      </w:r>
      <w:r w:rsidR="00CF0495">
        <w:t xml:space="preserve">with </w:t>
      </w:r>
      <w:r>
        <w:t xml:space="preserve">the </w:t>
      </w:r>
      <w:r w:rsidR="00C25A8D">
        <w:t xml:space="preserve">latter being </w:t>
      </w:r>
      <w:r w:rsidR="002F114F">
        <w:t xml:space="preserve">the </w:t>
      </w:r>
      <w:r>
        <w:t xml:space="preserve">latest year for which full </w:t>
      </w:r>
      <w:r w:rsidR="00C25A8D">
        <w:t xml:space="preserve">data </w:t>
      </w:r>
      <w:r>
        <w:t>are available</w:t>
      </w:r>
      <w:r w:rsidR="00C25A8D">
        <w:t xml:space="preserve">, </w:t>
      </w:r>
      <w:r>
        <w:t xml:space="preserve">and endeavours to capture the full economic ‘footprint’ of the </w:t>
      </w:r>
      <w:r w:rsidR="002F114F">
        <w:t>M</w:t>
      </w:r>
      <w:r>
        <w:t xml:space="preserve">aritime </w:t>
      </w:r>
      <w:r w:rsidR="00A03D03">
        <w:t>S</w:t>
      </w:r>
      <w:r w:rsidR="003E62D4">
        <w:t>ector</w:t>
      </w:r>
      <w:r w:rsidR="0045723B">
        <w:t xml:space="preserve"> and Portsmouth Naval Base</w:t>
      </w:r>
      <w:r w:rsidR="003E62D4">
        <w:t xml:space="preserve"> </w:t>
      </w:r>
      <w:r>
        <w:t xml:space="preserve">within the Solent LEP region. As such, our report is not confined to direct ongoing contributions to GDP and employment through </w:t>
      </w:r>
      <w:r w:rsidR="00AD6F62">
        <w:t xml:space="preserve">operations and activity </w:t>
      </w:r>
      <w:r>
        <w:t>in the Solent LEP region, but also provides assessments of the associated indirect and induced multiplier impacts.</w:t>
      </w:r>
      <w:r w:rsidR="00CF0495">
        <w:t xml:space="preserve"> </w:t>
      </w:r>
    </w:p>
    <w:p w14:paraId="09C392C9" w14:textId="77777777" w:rsidR="0091385C" w:rsidRDefault="0091385C" w:rsidP="0091385C">
      <w:pPr>
        <w:pStyle w:val="Heading2"/>
      </w:pPr>
      <w:bookmarkStart w:id="9" w:name="_Toc20139721"/>
      <w:r>
        <w:t>About the Solent LEP</w:t>
      </w:r>
      <w:bookmarkEnd w:id="9"/>
    </w:p>
    <w:p w14:paraId="2EE2EAE2" w14:textId="77777777" w:rsidR="00C25A8D" w:rsidRPr="00C25A8D" w:rsidRDefault="00C25A8D" w:rsidP="00C25A8D">
      <w:r>
        <w:t xml:space="preserve">Local Enterprise Partnerships (LEP) </w:t>
      </w:r>
      <w:r w:rsidRPr="00C25A8D">
        <w:t>are partnerships between l</w:t>
      </w:r>
      <w:r>
        <w:t>ocal authorities and businesses,</w:t>
      </w:r>
      <w:r w:rsidRPr="00C25A8D">
        <w:t xml:space="preserve"> </w:t>
      </w:r>
      <w:r>
        <w:t>set up by the former Department for Business, Innovation and Skills (BIS</w:t>
      </w:r>
      <w:r w:rsidR="00992110">
        <w:t xml:space="preserve">, now </w:t>
      </w:r>
      <w:r w:rsidR="0092661C">
        <w:t xml:space="preserve">the </w:t>
      </w:r>
      <w:r w:rsidR="008E374D">
        <w:t>Department</w:t>
      </w:r>
      <w:r w:rsidR="0092661C">
        <w:t xml:space="preserve"> for Business, Energy and Industrial Strategy, </w:t>
      </w:r>
      <w:r w:rsidR="00992110">
        <w:t>BEIS</w:t>
      </w:r>
      <w:r>
        <w:t xml:space="preserve">) in 2011. LEPs </w:t>
      </w:r>
      <w:r w:rsidRPr="00C25A8D">
        <w:t>decide what the priorities should be for investment in roads, buildings and facilities in the area</w:t>
      </w:r>
      <w:r>
        <w:t>; they can take advantage of tax incentives and simplified local planning regulations</w:t>
      </w:r>
      <w:r w:rsidRPr="00C25A8D">
        <w:t>.</w:t>
      </w:r>
      <w:r>
        <w:t xml:space="preserve"> The Solent LEP is one of the 38 LEPs currently in operation across the English regions.</w:t>
      </w:r>
    </w:p>
    <w:p w14:paraId="5259ACFA" w14:textId="03AFBC2D" w:rsidR="0091385C" w:rsidRDefault="0091385C" w:rsidP="0091385C">
      <w:r>
        <w:t xml:space="preserve">The Solent LEP </w:t>
      </w:r>
      <w:r w:rsidR="005D7229">
        <w:t>is</w:t>
      </w:r>
      <w:r>
        <w:t xml:space="preserve"> “</w:t>
      </w:r>
      <w:r w:rsidRPr="00AC1EE8">
        <w:t xml:space="preserve">a partnership organisation between the business community, the Further Education and Higher Education sector, three unitary authorities, </w:t>
      </w:r>
      <w:r w:rsidR="00671F1D">
        <w:t>five</w:t>
      </w:r>
      <w:r w:rsidR="00671F1D" w:rsidRPr="00AC1EE8">
        <w:t xml:space="preserve"> </w:t>
      </w:r>
      <w:r w:rsidRPr="00AC1EE8">
        <w:t>district councils and one county council, all of whom are actively working together to secure a more prosperous and sustainable future for the Solent area</w:t>
      </w:r>
      <w:r>
        <w:t>”.</w:t>
      </w:r>
      <w:r w:rsidRPr="00350F38">
        <w:rPr>
          <w:vertAlign w:val="superscript"/>
        </w:rPr>
        <w:footnoteReference w:id="1"/>
      </w:r>
      <w:r w:rsidRPr="00350F38">
        <w:rPr>
          <w:vertAlign w:val="superscript"/>
        </w:rPr>
        <w:t xml:space="preserve"> </w:t>
      </w:r>
      <w:r w:rsidR="0007113D">
        <w:t>I</w:t>
      </w:r>
      <w:r>
        <w:t xml:space="preserve">ts purpose is to combine the voices of key stakeholders within the specified region of the Solent to create an environment in which businesses can prosper and fulfil its economic potential. </w:t>
      </w:r>
    </w:p>
    <w:p w14:paraId="554DDA98" w14:textId="77777777" w:rsidR="00E96CB1" w:rsidRDefault="00E96CB1" w:rsidP="00E96CB1">
      <w:pPr>
        <w:pStyle w:val="Heading2"/>
      </w:pPr>
      <w:bookmarkStart w:id="10" w:name="_Toc20139722"/>
      <w:r>
        <w:t>About Maritime UK</w:t>
      </w:r>
      <w:bookmarkEnd w:id="10"/>
    </w:p>
    <w:p w14:paraId="26C7E903" w14:textId="11F61151" w:rsidR="003950C2" w:rsidRDefault="003950C2" w:rsidP="00E96CB1">
      <w:r w:rsidRPr="003950C2">
        <w:t>Maritime UK is the</w:t>
      </w:r>
      <w:r w:rsidR="00A03D03">
        <w:t xml:space="preserve"> promotional body for the UK’s Maritime S</w:t>
      </w:r>
      <w:r w:rsidRPr="003950C2">
        <w:t>ector, representing companies and partner organisations in the shipping, ports, marine and maritime business services industries. It acts to promote the sector, influence government and drive growth.</w:t>
      </w:r>
    </w:p>
    <w:p w14:paraId="5E42F23A" w14:textId="77777777" w:rsidR="00F01551" w:rsidRDefault="00F01551" w:rsidP="00F01551">
      <w:pPr>
        <w:pStyle w:val="Heading2"/>
      </w:pPr>
      <w:bookmarkStart w:id="11" w:name="_Toc20139723"/>
      <w:r>
        <w:t>Purpose of th</w:t>
      </w:r>
      <w:r w:rsidR="0091385C">
        <w:t>is report</w:t>
      </w:r>
      <w:bookmarkEnd w:id="11"/>
    </w:p>
    <w:p w14:paraId="24ACDE4E" w14:textId="7CB9F899" w:rsidR="003950C2" w:rsidRDefault="0091385C" w:rsidP="00276037">
      <w:r>
        <w:t xml:space="preserve">This report provides an in-depth assessment of the economic contribution that the </w:t>
      </w:r>
      <w:r w:rsidR="00164BB5">
        <w:t xml:space="preserve">Maritime </w:t>
      </w:r>
      <w:r w:rsidR="00A03D03">
        <w:t>S</w:t>
      </w:r>
      <w:r w:rsidR="00992110">
        <w:t xml:space="preserve">ector </w:t>
      </w:r>
      <w:r>
        <w:t xml:space="preserve">makes to the economy of the Solent LEP region. </w:t>
      </w:r>
      <w:r w:rsidR="00276037">
        <w:t xml:space="preserve">The Solent </w:t>
      </w:r>
      <w:r w:rsidR="00576BB5">
        <w:t xml:space="preserve">LEP is </w:t>
      </w:r>
      <w:r w:rsidR="00276037">
        <w:t>a key region</w:t>
      </w:r>
      <w:r w:rsidR="00202D1A">
        <w:t xml:space="preserve"> for the UK </w:t>
      </w:r>
      <w:r w:rsidR="00B2662F">
        <w:t xml:space="preserve">Maritime </w:t>
      </w:r>
      <w:r w:rsidR="00A03D03">
        <w:t>S</w:t>
      </w:r>
      <w:r w:rsidR="00992110">
        <w:t>ector</w:t>
      </w:r>
      <w:r w:rsidR="00202D1A">
        <w:t>, hosting</w:t>
      </w:r>
      <w:r w:rsidR="00276037">
        <w:t xml:space="preserve"> </w:t>
      </w:r>
      <w:r w:rsidR="00202D1A">
        <w:t xml:space="preserve">the </w:t>
      </w:r>
      <w:r w:rsidR="00276037">
        <w:t xml:space="preserve">two </w:t>
      </w:r>
      <w:r w:rsidR="00202D1A">
        <w:t>major</w:t>
      </w:r>
      <w:r w:rsidR="00276037">
        <w:t xml:space="preserve"> ports</w:t>
      </w:r>
      <w:r w:rsidR="00202D1A">
        <w:t xml:space="preserve"> of Portsmouth and Southampton, with additional economic activity located around the Isle of Wight, the M27 corridor and the Solent waterway</w:t>
      </w:r>
      <w:r w:rsidR="00276037">
        <w:t>.</w:t>
      </w:r>
      <w:r w:rsidR="00202D1A">
        <w:t xml:space="preserve"> </w:t>
      </w:r>
      <w:r w:rsidR="00276037">
        <w:t xml:space="preserve">Furthermore, the geography of </w:t>
      </w:r>
      <w:r w:rsidR="00576BB5">
        <w:t>the UK as an</w:t>
      </w:r>
      <w:r w:rsidR="00276037">
        <w:t xml:space="preserve"> island nation means that the Solent is a natural ‘gateway’</w:t>
      </w:r>
      <w:r w:rsidR="001B0D06">
        <w:t xml:space="preserve"> to the world</w:t>
      </w:r>
      <w:r w:rsidR="00276037">
        <w:t xml:space="preserve">, and as such naturally lends itself to a thriving </w:t>
      </w:r>
      <w:r w:rsidR="0092661C">
        <w:t xml:space="preserve">Maritime </w:t>
      </w:r>
      <w:r w:rsidR="00A03D03">
        <w:t>S</w:t>
      </w:r>
      <w:r w:rsidR="001B0D06">
        <w:t>ector</w:t>
      </w:r>
      <w:r w:rsidR="00276037">
        <w:t>.</w:t>
      </w:r>
    </w:p>
    <w:p w14:paraId="16D92610" w14:textId="77777777" w:rsidR="00CF5DE1" w:rsidRDefault="00CF5DE1" w:rsidP="00CF5DE1">
      <w:pPr>
        <w:pStyle w:val="Heading2"/>
      </w:pPr>
      <w:bookmarkStart w:id="12" w:name="_Toc20139724"/>
      <w:r>
        <w:t>Overview of the study and methodology</w:t>
      </w:r>
      <w:bookmarkEnd w:id="12"/>
    </w:p>
    <w:p w14:paraId="2395F17B" w14:textId="77777777" w:rsidR="00807B19" w:rsidRPr="00A63933" w:rsidRDefault="00807B19" w:rsidP="00D03E97">
      <w:pPr>
        <w:spacing w:after="120"/>
        <w:rPr>
          <w:b/>
        </w:rPr>
      </w:pPr>
      <w:r>
        <w:rPr>
          <w:b/>
        </w:rPr>
        <w:t>Purpose of the study</w:t>
      </w:r>
    </w:p>
    <w:p w14:paraId="4A5DC1F7" w14:textId="4BF3FEF5" w:rsidR="003337E4" w:rsidRDefault="00C94E19" w:rsidP="00C94E19">
      <w:r>
        <w:t>This report provides</w:t>
      </w:r>
      <w:r w:rsidRPr="00395486">
        <w:t xml:space="preserve"> </w:t>
      </w:r>
      <w:r>
        <w:t xml:space="preserve">a thorough and comprehensive examination of the role of the </w:t>
      </w:r>
      <w:r w:rsidR="00B327B6">
        <w:t>M</w:t>
      </w:r>
      <w:r>
        <w:t xml:space="preserve">aritime </w:t>
      </w:r>
      <w:r w:rsidR="00647E25">
        <w:t>S</w:t>
      </w:r>
      <w:r w:rsidR="00B327B6">
        <w:t xml:space="preserve">ector </w:t>
      </w:r>
      <w:r w:rsidR="00A63933">
        <w:t>in the Solent LEP region</w:t>
      </w:r>
      <w:r>
        <w:t xml:space="preserve">. </w:t>
      </w:r>
      <w:r w:rsidR="003337E4">
        <w:t xml:space="preserve"> To get the full picture of the importanc</w:t>
      </w:r>
      <w:r w:rsidR="00647E25">
        <w:t>e of the Solent based Maritime S</w:t>
      </w:r>
      <w:r w:rsidR="003337E4">
        <w:t xml:space="preserve">ector, the report first analyses the role of the Solent LEP region as an international gateway for UK trade with the rest of the world, and then subsequently provides an analysis of </w:t>
      </w:r>
      <w:r w:rsidR="005C7466">
        <w:t xml:space="preserve">the </w:t>
      </w:r>
      <w:r w:rsidR="003337E4">
        <w:t xml:space="preserve">economic contribution of the </w:t>
      </w:r>
      <w:r w:rsidR="005C7466">
        <w:t>M</w:t>
      </w:r>
      <w:r w:rsidR="003337E4">
        <w:t>aritime</w:t>
      </w:r>
      <w:r w:rsidR="00647E25">
        <w:t xml:space="preserve"> S</w:t>
      </w:r>
      <w:r w:rsidR="005C7466">
        <w:t>ector to the Solent region. These two aims are summarised as follows:</w:t>
      </w:r>
    </w:p>
    <w:p w14:paraId="09E7091C" w14:textId="05831200" w:rsidR="003337E4" w:rsidRPr="003337E4" w:rsidRDefault="003337E4" w:rsidP="003337E4">
      <w:pPr>
        <w:pStyle w:val="ListBullet"/>
        <w:numPr>
          <w:ilvl w:val="0"/>
          <w:numId w:val="20"/>
        </w:numPr>
        <w:spacing w:after="120"/>
        <w:ind w:left="360"/>
        <w:rPr>
          <w:rFonts w:ascii="Calibri" w:eastAsia="Microsoft JhengHei" w:hAnsi="Calibri"/>
          <w:b/>
        </w:rPr>
      </w:pPr>
      <w:r>
        <w:rPr>
          <w:rFonts w:ascii="Calibri" w:eastAsia="Microsoft JhengHei" w:hAnsi="Calibri"/>
          <w:b/>
        </w:rPr>
        <w:lastRenderedPageBreak/>
        <w:t xml:space="preserve">Role of the Solent LEP as an international Gateway. </w:t>
      </w:r>
      <w:r>
        <w:rPr>
          <w:rFonts w:ascii="Calibri" w:eastAsia="Microsoft JhengHei" w:hAnsi="Calibri"/>
        </w:rPr>
        <w:br/>
        <w:t xml:space="preserve">Section </w:t>
      </w:r>
      <w:r>
        <w:rPr>
          <w:rFonts w:ascii="Calibri" w:eastAsia="Microsoft JhengHei" w:hAnsi="Calibri"/>
        </w:rPr>
        <w:fldChar w:fldCharType="begin"/>
      </w:r>
      <w:r>
        <w:rPr>
          <w:rFonts w:ascii="Calibri" w:eastAsia="Microsoft JhengHei" w:hAnsi="Calibri"/>
        </w:rPr>
        <w:instrText xml:space="preserve"> REF _Ref499880040 \r \h </w:instrText>
      </w:r>
      <w:r>
        <w:rPr>
          <w:rFonts w:ascii="Calibri" w:eastAsia="Microsoft JhengHei" w:hAnsi="Calibri"/>
        </w:rPr>
      </w:r>
      <w:r>
        <w:rPr>
          <w:rFonts w:ascii="Calibri" w:eastAsia="Microsoft JhengHei" w:hAnsi="Calibri"/>
        </w:rPr>
        <w:fldChar w:fldCharType="separate"/>
      </w:r>
      <w:r w:rsidR="00D17FEA">
        <w:rPr>
          <w:rFonts w:ascii="Calibri" w:eastAsia="Microsoft JhengHei" w:hAnsi="Calibri"/>
        </w:rPr>
        <w:t>3</w:t>
      </w:r>
      <w:r>
        <w:rPr>
          <w:rFonts w:ascii="Calibri" w:eastAsia="Microsoft JhengHei" w:hAnsi="Calibri"/>
        </w:rPr>
        <w:fldChar w:fldCharType="end"/>
      </w:r>
      <w:r>
        <w:rPr>
          <w:rFonts w:ascii="Calibri" w:eastAsia="Microsoft JhengHei" w:hAnsi="Calibri"/>
        </w:rPr>
        <w:t xml:space="preserve"> of the report a</w:t>
      </w:r>
      <w:r w:rsidRPr="003337E4">
        <w:rPr>
          <w:rFonts w:ascii="Calibri" w:eastAsia="Microsoft JhengHei" w:hAnsi="Calibri"/>
        </w:rPr>
        <w:t xml:space="preserve">nalyses the important role that the Solent LEP performs as an international gateway for UK trade with the rest of the world. </w:t>
      </w:r>
      <w:r>
        <w:rPr>
          <w:rFonts w:ascii="Calibri" w:eastAsia="Microsoft JhengHei" w:hAnsi="Calibri"/>
        </w:rPr>
        <w:t xml:space="preserve">It </w:t>
      </w:r>
      <w:r w:rsidRPr="003337E4">
        <w:rPr>
          <w:rFonts w:ascii="Calibri" w:eastAsia="Microsoft JhengHei" w:hAnsi="Calibri"/>
        </w:rPr>
        <w:t>examines the magnitude of this role – in both volume and trade terms – though a detailed examined of the HMRC’s overseas trade statistics.</w:t>
      </w:r>
    </w:p>
    <w:p w14:paraId="7F552B9E" w14:textId="1CAA2509" w:rsidR="003337E4" w:rsidRPr="003337E4" w:rsidRDefault="003337E4" w:rsidP="003337E4">
      <w:pPr>
        <w:pStyle w:val="ListBullet"/>
        <w:spacing w:after="120"/>
        <w:ind w:left="360"/>
        <w:rPr>
          <w:rFonts w:ascii="Calibri" w:eastAsia="Microsoft JhengHei" w:hAnsi="Calibri"/>
        </w:rPr>
      </w:pPr>
      <w:r w:rsidRPr="003337E4">
        <w:rPr>
          <w:rFonts w:ascii="Calibri" w:eastAsia="Microsoft JhengHei" w:hAnsi="Calibri"/>
        </w:rPr>
        <w:t xml:space="preserve">It </w:t>
      </w:r>
      <w:r>
        <w:rPr>
          <w:rFonts w:ascii="Calibri" w:eastAsia="Microsoft JhengHei" w:hAnsi="Calibri"/>
        </w:rPr>
        <w:t>is clear that the Solent Mariti</w:t>
      </w:r>
      <w:r w:rsidRPr="003337E4">
        <w:rPr>
          <w:rFonts w:ascii="Calibri" w:eastAsia="Microsoft JhengHei" w:hAnsi="Calibri"/>
        </w:rPr>
        <w:t>m</w:t>
      </w:r>
      <w:r>
        <w:rPr>
          <w:rFonts w:ascii="Calibri" w:eastAsia="Microsoft JhengHei" w:hAnsi="Calibri"/>
        </w:rPr>
        <w:t>e</w:t>
      </w:r>
      <w:r w:rsidRPr="003337E4">
        <w:rPr>
          <w:rFonts w:ascii="Calibri" w:eastAsia="Microsoft JhengHei" w:hAnsi="Calibri"/>
        </w:rPr>
        <w:t xml:space="preserve"> sector provides a vital link in the integrated chain o</w:t>
      </w:r>
      <w:r>
        <w:rPr>
          <w:rFonts w:ascii="Calibri" w:eastAsia="Microsoft JhengHei" w:hAnsi="Calibri"/>
        </w:rPr>
        <w:t>f globalis</w:t>
      </w:r>
      <w:r w:rsidRPr="003337E4">
        <w:rPr>
          <w:rFonts w:ascii="Calibri" w:eastAsia="Microsoft JhengHei" w:hAnsi="Calibri"/>
        </w:rPr>
        <w:t>ed supply and demand. For example, industries such as motor manufacturing are composed of businesses across the UK that are, in summary, dependent on the ports in the Solent LEP and it</w:t>
      </w:r>
      <w:r w:rsidR="00647E25">
        <w:rPr>
          <w:rFonts w:ascii="Calibri" w:eastAsia="Microsoft JhengHei" w:hAnsi="Calibri"/>
        </w:rPr>
        <w:t>s Maritime S</w:t>
      </w:r>
      <w:r w:rsidRPr="003337E4">
        <w:rPr>
          <w:rFonts w:ascii="Calibri" w:eastAsia="Microsoft JhengHei" w:hAnsi="Calibri"/>
        </w:rPr>
        <w:t>ector to get their final goods to the market, but also to get their essential inputs from abroad.</w:t>
      </w:r>
    </w:p>
    <w:p w14:paraId="0177524D" w14:textId="6CF27CFF" w:rsidR="003337E4" w:rsidRPr="003337E4" w:rsidRDefault="003337E4" w:rsidP="003337E4">
      <w:pPr>
        <w:pStyle w:val="ListBullet"/>
        <w:numPr>
          <w:ilvl w:val="0"/>
          <w:numId w:val="20"/>
        </w:numPr>
        <w:spacing w:after="120"/>
        <w:ind w:left="360"/>
        <w:rPr>
          <w:rFonts w:ascii="Calibri" w:eastAsia="Microsoft JhengHei" w:hAnsi="Calibri"/>
          <w:b/>
        </w:rPr>
      </w:pPr>
      <w:r>
        <w:rPr>
          <w:rFonts w:ascii="Calibri" w:eastAsia="Microsoft JhengHei" w:hAnsi="Calibri"/>
          <w:b/>
        </w:rPr>
        <w:t>E</w:t>
      </w:r>
      <w:r w:rsidR="00647E25">
        <w:rPr>
          <w:rFonts w:ascii="Calibri" w:eastAsia="Microsoft JhengHei" w:hAnsi="Calibri"/>
          <w:b/>
        </w:rPr>
        <w:t>conomic impact of the Maritime S</w:t>
      </w:r>
      <w:r>
        <w:rPr>
          <w:rFonts w:ascii="Calibri" w:eastAsia="Microsoft JhengHei" w:hAnsi="Calibri"/>
          <w:b/>
        </w:rPr>
        <w:t xml:space="preserve">ector in the Solent LEP. </w:t>
      </w:r>
      <w:r>
        <w:rPr>
          <w:rFonts w:ascii="Calibri" w:eastAsia="Microsoft JhengHei" w:hAnsi="Calibri"/>
        </w:rPr>
        <w:br/>
      </w:r>
      <w:r w:rsidR="008156C6">
        <w:rPr>
          <w:rFonts w:ascii="Calibri" w:eastAsia="Microsoft JhengHei" w:hAnsi="Calibri"/>
        </w:rPr>
        <w:t xml:space="preserve">Having established the important role that the Solent LEP plays as an international gateway for UK trade, the remainder of the report - </w:t>
      </w:r>
      <w:r>
        <w:rPr>
          <w:rFonts w:ascii="Calibri" w:eastAsia="Microsoft JhengHei" w:hAnsi="Calibri"/>
        </w:rPr>
        <w:t xml:space="preserve">Sections </w:t>
      </w:r>
      <w:r w:rsidR="00695FB7">
        <w:rPr>
          <w:rFonts w:ascii="Calibri" w:eastAsia="Microsoft JhengHei" w:hAnsi="Calibri"/>
        </w:rPr>
        <w:t>5</w:t>
      </w:r>
      <w:r w:rsidR="008156C6">
        <w:rPr>
          <w:rFonts w:ascii="Calibri" w:eastAsia="Microsoft JhengHei" w:hAnsi="Calibri"/>
        </w:rPr>
        <w:t xml:space="preserve">, </w:t>
      </w:r>
      <w:r w:rsidR="008156C6">
        <w:rPr>
          <w:rFonts w:ascii="Calibri" w:eastAsia="Microsoft JhengHei" w:hAnsi="Calibri"/>
        </w:rPr>
        <w:fldChar w:fldCharType="begin"/>
      </w:r>
      <w:r w:rsidR="008156C6">
        <w:rPr>
          <w:rFonts w:ascii="Calibri" w:eastAsia="Microsoft JhengHei" w:hAnsi="Calibri"/>
        </w:rPr>
        <w:instrText xml:space="preserve"> REF _Ref499880218 \r \h </w:instrText>
      </w:r>
      <w:r w:rsidR="008156C6">
        <w:rPr>
          <w:rFonts w:ascii="Calibri" w:eastAsia="Microsoft JhengHei" w:hAnsi="Calibri"/>
        </w:rPr>
      </w:r>
      <w:r w:rsidR="008156C6">
        <w:rPr>
          <w:rFonts w:ascii="Calibri" w:eastAsia="Microsoft JhengHei" w:hAnsi="Calibri"/>
        </w:rPr>
        <w:fldChar w:fldCharType="separate"/>
      </w:r>
      <w:r w:rsidR="00D17FEA">
        <w:rPr>
          <w:rFonts w:ascii="Calibri" w:eastAsia="Microsoft JhengHei" w:hAnsi="Calibri"/>
        </w:rPr>
        <w:t>6</w:t>
      </w:r>
      <w:r w:rsidR="008156C6">
        <w:rPr>
          <w:rFonts w:ascii="Calibri" w:eastAsia="Microsoft JhengHei" w:hAnsi="Calibri"/>
        </w:rPr>
        <w:fldChar w:fldCharType="end"/>
      </w:r>
      <w:r>
        <w:rPr>
          <w:rFonts w:ascii="Calibri" w:eastAsia="Microsoft JhengHei" w:hAnsi="Calibri"/>
          <w:b/>
        </w:rPr>
        <w:t xml:space="preserve"> </w:t>
      </w:r>
      <w:r w:rsidR="008156C6">
        <w:rPr>
          <w:rFonts w:ascii="Calibri" w:eastAsia="Microsoft JhengHei" w:hAnsi="Calibri"/>
        </w:rPr>
        <w:t xml:space="preserve">and </w:t>
      </w:r>
      <w:r w:rsidR="008156C6">
        <w:rPr>
          <w:rFonts w:ascii="Calibri" w:eastAsia="Microsoft JhengHei" w:hAnsi="Calibri"/>
        </w:rPr>
        <w:fldChar w:fldCharType="begin"/>
      </w:r>
      <w:r w:rsidR="008156C6">
        <w:rPr>
          <w:rFonts w:ascii="Calibri" w:eastAsia="Microsoft JhengHei" w:hAnsi="Calibri"/>
        </w:rPr>
        <w:instrText xml:space="preserve"> REF _Ref499880231 \r \h </w:instrText>
      </w:r>
      <w:r w:rsidR="008156C6">
        <w:rPr>
          <w:rFonts w:ascii="Calibri" w:eastAsia="Microsoft JhengHei" w:hAnsi="Calibri"/>
        </w:rPr>
      </w:r>
      <w:r w:rsidR="008156C6">
        <w:rPr>
          <w:rFonts w:ascii="Calibri" w:eastAsia="Microsoft JhengHei" w:hAnsi="Calibri"/>
        </w:rPr>
        <w:fldChar w:fldCharType="separate"/>
      </w:r>
      <w:r w:rsidR="00D17FEA">
        <w:rPr>
          <w:rFonts w:ascii="Calibri" w:eastAsia="Microsoft JhengHei" w:hAnsi="Calibri"/>
        </w:rPr>
        <w:t>7</w:t>
      </w:r>
      <w:r w:rsidR="008156C6">
        <w:rPr>
          <w:rFonts w:ascii="Calibri" w:eastAsia="Microsoft JhengHei" w:hAnsi="Calibri"/>
        </w:rPr>
        <w:fldChar w:fldCharType="end"/>
      </w:r>
      <w:r w:rsidR="008156C6">
        <w:rPr>
          <w:rFonts w:ascii="Calibri" w:eastAsia="Microsoft JhengHei" w:hAnsi="Calibri"/>
        </w:rPr>
        <w:t xml:space="preserve"> - </w:t>
      </w:r>
      <w:r w:rsidR="008156C6" w:rsidRPr="008156C6">
        <w:rPr>
          <w:rFonts w:ascii="Calibri" w:eastAsia="Microsoft JhengHei" w:hAnsi="Calibri"/>
        </w:rPr>
        <w:t>presents a range of analyses demonstrating the different aspects of the value contributed by the S</w:t>
      </w:r>
      <w:r w:rsidR="00647E25">
        <w:rPr>
          <w:rFonts w:ascii="Calibri" w:eastAsia="Microsoft JhengHei" w:hAnsi="Calibri"/>
        </w:rPr>
        <w:t>olent-based Maritime S</w:t>
      </w:r>
      <w:r w:rsidR="008156C6" w:rsidRPr="008156C6">
        <w:rPr>
          <w:rFonts w:ascii="Calibri" w:eastAsia="Microsoft JhengHei" w:hAnsi="Calibri"/>
        </w:rPr>
        <w:t>ector, including direct contributions to GDP and employment, indirect and induced multiplier impacts</w:t>
      </w:r>
      <w:r w:rsidR="00647E25">
        <w:rPr>
          <w:rFonts w:ascii="Calibri" w:eastAsia="Microsoft JhengHei" w:hAnsi="Calibri"/>
        </w:rPr>
        <w:t xml:space="preserve"> and the Solent-based Maritime S</w:t>
      </w:r>
      <w:r w:rsidR="008156C6" w:rsidRPr="008156C6">
        <w:rPr>
          <w:rFonts w:ascii="Calibri" w:eastAsia="Microsoft JhengHei" w:hAnsi="Calibri"/>
        </w:rPr>
        <w:t>ector’s contribution to the UK Exchequer through tax revenues raised.</w:t>
      </w:r>
    </w:p>
    <w:p w14:paraId="599CF7DD" w14:textId="301A7D03" w:rsidR="00B704F8" w:rsidRDefault="00B704F8" w:rsidP="00B704F8">
      <w:r>
        <w:t xml:space="preserve">An important task has been to develop an in-depth understanding of the </w:t>
      </w:r>
      <w:r w:rsidR="00DB02D9">
        <w:t>M</w:t>
      </w:r>
      <w:r>
        <w:t xml:space="preserve">aritime </w:t>
      </w:r>
      <w:r w:rsidR="00647E25">
        <w:t>S</w:t>
      </w:r>
      <w:r w:rsidR="001E3A18">
        <w:t xml:space="preserve">ector </w:t>
      </w:r>
      <w:r>
        <w:t xml:space="preserve">both in the UK and in the Solent region. </w:t>
      </w:r>
      <w:r w:rsidR="00353C19" w:rsidRPr="00353C19">
        <w:t xml:space="preserve">To produce a robust study, it is necessary to interrogate the </w:t>
      </w:r>
      <w:r w:rsidR="00353C19">
        <w:t xml:space="preserve">available </w:t>
      </w:r>
      <w:r w:rsidR="00353C19" w:rsidRPr="00353C19">
        <w:t xml:space="preserve">data to ensure that it captures the full range of activities that should be included in establishing the total economic ‘footprint’ </w:t>
      </w:r>
      <w:r w:rsidR="00353C19">
        <w:t xml:space="preserve">of the </w:t>
      </w:r>
      <w:r w:rsidR="00DB02D9">
        <w:t>M</w:t>
      </w:r>
      <w:r w:rsidR="00353C19">
        <w:t xml:space="preserve">aritime </w:t>
      </w:r>
      <w:r w:rsidR="00647E25">
        <w:t>S</w:t>
      </w:r>
      <w:r w:rsidR="00DB02D9">
        <w:t>ector</w:t>
      </w:r>
      <w:r w:rsidR="00353C19">
        <w:t xml:space="preserve"> in the Solent</w:t>
      </w:r>
      <w:r w:rsidR="00353C19" w:rsidRPr="00353C19">
        <w:t>.</w:t>
      </w:r>
      <w:r w:rsidR="00B7255E">
        <w:t xml:space="preserve"> </w:t>
      </w:r>
      <w:r w:rsidR="00FB3E52">
        <w:t>Following the collation of</w:t>
      </w:r>
      <w:r w:rsidR="00353C19" w:rsidRPr="00353C19">
        <w:t xml:space="preserve"> the necessary data </w:t>
      </w:r>
      <w:r w:rsidR="00FB3E52">
        <w:t>capturing these activities</w:t>
      </w:r>
      <w:r w:rsidR="00353C19" w:rsidRPr="00353C19">
        <w:t xml:space="preserve">, the values of key economic indicators were established to demonstrate the impact of </w:t>
      </w:r>
      <w:r w:rsidR="00353C19">
        <w:t xml:space="preserve">the </w:t>
      </w:r>
      <w:r w:rsidR="00DB02D9">
        <w:t>M</w:t>
      </w:r>
      <w:r w:rsidR="00353C19">
        <w:t xml:space="preserve">aritime </w:t>
      </w:r>
      <w:r w:rsidR="00647E25">
        <w:t>S</w:t>
      </w:r>
      <w:r w:rsidR="00DB02D9">
        <w:t>ector</w:t>
      </w:r>
      <w:r w:rsidR="00DB02D9" w:rsidRPr="00353C19">
        <w:t xml:space="preserve"> </w:t>
      </w:r>
      <w:r w:rsidR="00353C19">
        <w:t>in the Solent LEP region</w:t>
      </w:r>
      <w:r w:rsidR="00353C19" w:rsidRPr="00353C19">
        <w:t>. The key indicators include:</w:t>
      </w:r>
    </w:p>
    <w:p w14:paraId="75DDB359" w14:textId="7DEF424D" w:rsidR="000043CD" w:rsidRDefault="00353C19" w:rsidP="00D27C56">
      <w:pPr>
        <w:pStyle w:val="ListBullet"/>
        <w:numPr>
          <w:ilvl w:val="0"/>
          <w:numId w:val="20"/>
        </w:numPr>
        <w:spacing w:after="120"/>
        <w:ind w:left="360"/>
        <w:rPr>
          <w:rFonts w:ascii="Calibri" w:eastAsia="Microsoft JhengHei" w:hAnsi="Calibri"/>
        </w:rPr>
      </w:pPr>
      <w:r w:rsidRPr="000043CD">
        <w:rPr>
          <w:rFonts w:ascii="Calibri" w:eastAsia="Microsoft JhengHei" w:hAnsi="Calibri"/>
        </w:rPr>
        <w:t>GVA</w:t>
      </w:r>
      <w:r w:rsidR="00143397" w:rsidRPr="008314E4">
        <w:rPr>
          <w:vertAlign w:val="superscript"/>
        </w:rPr>
        <w:footnoteReference w:id="2"/>
      </w:r>
      <w:r w:rsidRPr="000043CD">
        <w:t xml:space="preserve"> </w:t>
      </w:r>
      <w:r w:rsidRPr="000043CD">
        <w:rPr>
          <w:rFonts w:ascii="Calibri" w:eastAsia="Microsoft JhengHei" w:hAnsi="Calibri"/>
        </w:rPr>
        <w:t xml:space="preserve">contributions to Solent and UK GDP generated by the </w:t>
      </w:r>
      <w:r w:rsidR="008F5CC3">
        <w:rPr>
          <w:rFonts w:ascii="Calibri" w:eastAsia="Microsoft JhengHei" w:hAnsi="Calibri"/>
        </w:rPr>
        <w:t>M</w:t>
      </w:r>
      <w:r w:rsidR="008F5CC3" w:rsidRPr="000043CD">
        <w:rPr>
          <w:rFonts w:ascii="Calibri" w:eastAsia="Microsoft JhengHei" w:hAnsi="Calibri"/>
        </w:rPr>
        <w:t xml:space="preserve">aritime </w:t>
      </w:r>
      <w:r w:rsidR="00647E25">
        <w:rPr>
          <w:rFonts w:ascii="Calibri" w:eastAsia="Microsoft JhengHei" w:hAnsi="Calibri"/>
        </w:rPr>
        <w:t>S</w:t>
      </w:r>
      <w:r w:rsidR="002029F8">
        <w:rPr>
          <w:rFonts w:ascii="Calibri" w:eastAsia="Microsoft JhengHei" w:hAnsi="Calibri"/>
        </w:rPr>
        <w:t>ector</w:t>
      </w:r>
      <w:r w:rsidR="00077F62">
        <w:rPr>
          <w:rFonts w:ascii="Calibri" w:eastAsia="Microsoft JhengHei" w:hAnsi="Calibri"/>
        </w:rPr>
        <w:t xml:space="preserve"> and Portsmouth Naval Base</w:t>
      </w:r>
      <w:r w:rsidRPr="000043CD">
        <w:rPr>
          <w:rFonts w:ascii="Calibri" w:eastAsia="Microsoft JhengHei" w:hAnsi="Calibri"/>
        </w:rPr>
        <w:t xml:space="preserve">, directly and through indirect and induced multiplier impacts. </w:t>
      </w:r>
    </w:p>
    <w:p w14:paraId="55364F5F" w14:textId="5BB24824" w:rsidR="00077F62" w:rsidRPr="00077F62" w:rsidRDefault="00077F62" w:rsidP="00077F62">
      <w:pPr>
        <w:pStyle w:val="ListBullet"/>
        <w:numPr>
          <w:ilvl w:val="0"/>
          <w:numId w:val="20"/>
        </w:numPr>
        <w:spacing w:after="120"/>
        <w:ind w:left="360"/>
        <w:rPr>
          <w:rFonts w:ascii="Calibri" w:eastAsia="Microsoft JhengHei" w:hAnsi="Calibri"/>
        </w:rPr>
      </w:pPr>
      <w:r w:rsidRPr="000043CD">
        <w:rPr>
          <w:rFonts w:ascii="Calibri" w:eastAsia="Microsoft JhengHei" w:hAnsi="Calibri"/>
        </w:rPr>
        <w:t xml:space="preserve">Jobs supported by the </w:t>
      </w:r>
      <w:r>
        <w:rPr>
          <w:rFonts w:ascii="Calibri" w:eastAsia="Microsoft JhengHei" w:hAnsi="Calibri"/>
        </w:rPr>
        <w:t>M</w:t>
      </w:r>
      <w:r w:rsidRPr="000043CD">
        <w:rPr>
          <w:rFonts w:ascii="Calibri" w:eastAsia="Microsoft JhengHei" w:hAnsi="Calibri"/>
        </w:rPr>
        <w:t xml:space="preserve">aritime </w:t>
      </w:r>
      <w:r w:rsidR="00647E25">
        <w:rPr>
          <w:rFonts w:ascii="Calibri" w:eastAsia="Microsoft JhengHei" w:hAnsi="Calibri"/>
        </w:rPr>
        <w:t>S</w:t>
      </w:r>
      <w:r>
        <w:rPr>
          <w:rFonts w:ascii="Calibri" w:eastAsia="Microsoft JhengHei" w:hAnsi="Calibri"/>
        </w:rPr>
        <w:t>ector and Portsmouth Naval Base</w:t>
      </w:r>
      <w:r w:rsidRPr="000043CD">
        <w:rPr>
          <w:rFonts w:ascii="Calibri" w:eastAsia="Microsoft JhengHei" w:hAnsi="Calibri"/>
        </w:rPr>
        <w:t xml:space="preserve">, including direct, indirect and induced jobs through </w:t>
      </w:r>
      <w:r>
        <w:rPr>
          <w:rFonts w:ascii="Calibri" w:eastAsia="Microsoft JhengHei" w:hAnsi="Calibri"/>
        </w:rPr>
        <w:t xml:space="preserve">local and national </w:t>
      </w:r>
      <w:r w:rsidRPr="000043CD">
        <w:rPr>
          <w:rFonts w:ascii="Calibri" w:eastAsia="Microsoft JhengHei" w:hAnsi="Calibri"/>
        </w:rPr>
        <w:t>multiplier impacts.</w:t>
      </w:r>
    </w:p>
    <w:p w14:paraId="1F8FDB09" w14:textId="7C8BB283" w:rsidR="000043CD" w:rsidRPr="000043CD" w:rsidRDefault="00143397" w:rsidP="00D27C56">
      <w:pPr>
        <w:pStyle w:val="ListBullet"/>
        <w:numPr>
          <w:ilvl w:val="0"/>
          <w:numId w:val="20"/>
        </w:numPr>
        <w:spacing w:after="120"/>
        <w:ind w:left="360"/>
        <w:rPr>
          <w:rFonts w:ascii="Calibri" w:eastAsia="Microsoft JhengHei" w:hAnsi="Calibri"/>
        </w:rPr>
      </w:pPr>
      <w:r>
        <w:t xml:space="preserve">The value of employee compensation generated by the </w:t>
      </w:r>
      <w:r w:rsidR="00647E25">
        <w:t>Maritime S</w:t>
      </w:r>
      <w:r w:rsidR="008F5CC3">
        <w:t>ector</w:t>
      </w:r>
      <w:r w:rsidR="002C754B">
        <w:t xml:space="preserve"> and Portsmouth Naval Base</w:t>
      </w:r>
      <w:r w:rsidR="008F5CC3">
        <w:t xml:space="preserve"> </w:t>
      </w:r>
      <w:r>
        <w:t>in the Solent region</w:t>
      </w:r>
      <w:r w:rsidR="000235FB">
        <w:t xml:space="preserve">, representing the </w:t>
      </w:r>
      <w:r w:rsidR="000C451B">
        <w:t>total remuneration of employees</w:t>
      </w:r>
      <w:r w:rsidR="000235FB">
        <w:t xml:space="preserve">. </w:t>
      </w:r>
    </w:p>
    <w:p w14:paraId="6CD2B4D8" w14:textId="77777777" w:rsidR="00E96786" w:rsidRPr="00077F62" w:rsidRDefault="00E96786" w:rsidP="00D27C56">
      <w:pPr>
        <w:pStyle w:val="ListBullet"/>
        <w:numPr>
          <w:ilvl w:val="0"/>
          <w:numId w:val="20"/>
        </w:numPr>
        <w:ind w:left="360"/>
        <w:rPr>
          <w:rFonts w:ascii="Calibri" w:eastAsia="Microsoft JhengHei" w:hAnsi="Calibri"/>
        </w:rPr>
      </w:pPr>
      <w:r>
        <w:t>The Exchequer co</w:t>
      </w:r>
      <w:r w:rsidR="00077F62">
        <w:t>ntribution of the Solent-based M</w:t>
      </w:r>
      <w:r>
        <w:t xml:space="preserve">aritime </w:t>
      </w:r>
      <w:r w:rsidR="00611291">
        <w:t>sector</w:t>
      </w:r>
      <w:r w:rsidR="00077F62">
        <w:t xml:space="preserve"> and Portsmouth Naval Base</w:t>
      </w:r>
      <w:r w:rsidR="00611291">
        <w:t xml:space="preserve"> </w:t>
      </w:r>
      <w:r>
        <w:t>through tax revenues raised</w:t>
      </w:r>
      <w:r w:rsidR="00A63933">
        <w:t>.</w:t>
      </w:r>
    </w:p>
    <w:p w14:paraId="6A70B4BB" w14:textId="77777777" w:rsidR="00077F62" w:rsidRPr="000043CD" w:rsidRDefault="0060705D" w:rsidP="00D27C56">
      <w:pPr>
        <w:pStyle w:val="ListBullet"/>
        <w:numPr>
          <w:ilvl w:val="0"/>
          <w:numId w:val="20"/>
        </w:numPr>
        <w:ind w:left="360"/>
        <w:rPr>
          <w:rFonts w:ascii="Calibri" w:eastAsia="Microsoft JhengHei" w:hAnsi="Calibri"/>
        </w:rPr>
      </w:pPr>
      <w:r>
        <w:rPr>
          <w:rFonts w:ascii="Calibri" w:eastAsia="Microsoft JhengHei" w:hAnsi="Calibri"/>
        </w:rPr>
        <w:t>The direct contribution made through the exports of goods and services.</w:t>
      </w:r>
    </w:p>
    <w:p w14:paraId="00D26A4A" w14:textId="77777777" w:rsidR="008C1849" w:rsidRPr="00B137F4" w:rsidRDefault="0010557C" w:rsidP="00B137F4">
      <w:pPr>
        <w:spacing w:after="120"/>
        <w:rPr>
          <w:b/>
        </w:rPr>
      </w:pPr>
      <w:r>
        <w:rPr>
          <w:b/>
        </w:rPr>
        <w:t xml:space="preserve">Mapping the </w:t>
      </w:r>
      <w:r w:rsidR="00FA5B12">
        <w:rPr>
          <w:b/>
        </w:rPr>
        <w:t xml:space="preserve">UK </w:t>
      </w:r>
      <w:r>
        <w:rPr>
          <w:b/>
        </w:rPr>
        <w:t>Maritime sector</w:t>
      </w:r>
    </w:p>
    <w:p w14:paraId="23445221" w14:textId="2F5DC7FE" w:rsidR="00685C49" w:rsidRDefault="0010557C" w:rsidP="00384832">
      <w:r>
        <w:t>The first</w:t>
      </w:r>
      <w:r w:rsidR="00245DD9">
        <w:t xml:space="preserve"> st</w:t>
      </w:r>
      <w:r>
        <w:t>age</w:t>
      </w:r>
      <w:r w:rsidR="00245DD9">
        <w:t xml:space="preserve"> of the study has involved mapping </w:t>
      </w:r>
      <w:r w:rsidR="00647E25">
        <w:t>the activities of the Maritime S</w:t>
      </w:r>
      <w:r w:rsidR="00245DD9">
        <w:t xml:space="preserve">ector against the national accounts framework, in order </w:t>
      </w:r>
      <w:r w:rsidR="00245DD9" w:rsidRPr="00245DD9">
        <w:t>to establish clarity on</w:t>
      </w:r>
      <w:r w:rsidR="00245DD9">
        <w:t xml:space="preserve"> the precise definition of the M</w:t>
      </w:r>
      <w:r w:rsidR="00245DD9" w:rsidRPr="00245DD9">
        <w:t xml:space="preserve">aritime </w:t>
      </w:r>
      <w:r w:rsidR="00647E25">
        <w:t>S</w:t>
      </w:r>
      <w:r w:rsidR="00245DD9">
        <w:t>ector</w:t>
      </w:r>
      <w:r w:rsidR="00245DD9" w:rsidRPr="00245DD9">
        <w:t xml:space="preserve"> as </w:t>
      </w:r>
      <w:r w:rsidR="00245DD9">
        <w:t>it</w:t>
      </w:r>
      <w:r w:rsidR="00245DD9" w:rsidRPr="00245DD9">
        <w:t xml:space="preserve"> map</w:t>
      </w:r>
      <w:r w:rsidR="00245DD9">
        <w:t>s</w:t>
      </w:r>
      <w:r w:rsidR="00245DD9" w:rsidRPr="00245DD9">
        <w:t xml:space="preserve"> against the Standard Industrial Classification (SIC) framework.</w:t>
      </w:r>
      <w:r w:rsidR="00245DD9" w:rsidRPr="00B137F4">
        <w:rPr>
          <w:vertAlign w:val="superscript"/>
        </w:rPr>
        <w:footnoteReference w:id="3"/>
      </w:r>
      <w:r w:rsidR="005647A6">
        <w:t xml:space="preserve"> </w:t>
      </w:r>
      <w:r w:rsidR="00C202C1">
        <w:t>For most activit</w:t>
      </w:r>
      <w:r w:rsidR="00647E25">
        <w:t>ies, particularly those of the s</w:t>
      </w:r>
      <w:r w:rsidR="00C202C1">
        <w:t xml:space="preserve">hipping industry, economic activity can be captured through a particular 3, 4 or 5-digit SIC code. </w:t>
      </w:r>
    </w:p>
    <w:p w14:paraId="0F0F8D24" w14:textId="5A7B3F9B" w:rsidR="0010557C" w:rsidRDefault="00173DF9" w:rsidP="00384832">
      <w:r>
        <w:lastRenderedPageBreak/>
        <w:t xml:space="preserve">In essence therefore, this </w:t>
      </w:r>
      <w:r w:rsidR="00647E25">
        <w:t>involves taking each of the five</w:t>
      </w:r>
      <w:r>
        <w:t xml:space="preserve"> Maritime industries and their constituent activities, and mapping these to the most relevant Standard Industrial Classification (SIC) code in order to identify the activity’s economic data.</w:t>
      </w:r>
      <w:r w:rsidR="00D03E97">
        <w:t xml:space="preserve"> </w:t>
      </w:r>
      <w:r w:rsidR="00C202C1">
        <w:t>For example, “</w:t>
      </w:r>
      <w:r w:rsidR="00C202C1" w:rsidRPr="00C202C1">
        <w:t>Transpor</w:t>
      </w:r>
      <w:r w:rsidR="00C202C1">
        <w:t xml:space="preserve">t of Passengers and International </w:t>
      </w:r>
      <w:r w:rsidR="00C202C1" w:rsidRPr="00C202C1">
        <w:t>Sea Faring</w:t>
      </w:r>
      <w:r w:rsidR="00C202C1">
        <w:t>”, identified as an act</w:t>
      </w:r>
      <w:r w:rsidR="00647E25">
        <w:t>ivity of the s</w:t>
      </w:r>
      <w:r w:rsidR="00C202C1">
        <w:t>hipping industry, can be identified through SIC code 50100</w:t>
      </w:r>
      <w:r w:rsidR="00067329">
        <w:t xml:space="preserve"> within the National Accounts framework</w:t>
      </w:r>
      <w:r w:rsidR="00C202C1">
        <w:t>.</w:t>
      </w:r>
      <w:r w:rsidR="00E85A5B">
        <w:t xml:space="preserve"> However, </w:t>
      </w:r>
      <w:r w:rsidR="00B137F4">
        <w:t>s</w:t>
      </w:r>
      <w:r w:rsidR="00647E25">
        <w:t>ome Maritime S</w:t>
      </w:r>
      <w:r w:rsidR="005647A6">
        <w:t xml:space="preserve">ector activities do not </w:t>
      </w:r>
      <w:r w:rsidR="005647A6" w:rsidRPr="005647A6">
        <w:t>ma</w:t>
      </w:r>
      <w:r w:rsidR="005647A6">
        <w:t xml:space="preserve">p neatly onto the SIC framework; </w:t>
      </w:r>
      <w:r w:rsidR="00C202C1">
        <w:t xml:space="preserve">this has required Cebr to </w:t>
      </w:r>
      <w:r w:rsidR="005647A6">
        <w:t>draw upon government or industry sources to quantify the contributions made through these activities.</w:t>
      </w:r>
    </w:p>
    <w:p w14:paraId="62A65230" w14:textId="77777777" w:rsidR="00AC502A" w:rsidRPr="000A2222" w:rsidRDefault="00AC502A" w:rsidP="00B137F4">
      <w:pPr>
        <w:spacing w:after="120"/>
        <w:rPr>
          <w:b/>
        </w:rPr>
      </w:pPr>
      <w:r w:rsidRPr="000A2222">
        <w:rPr>
          <w:b/>
        </w:rPr>
        <w:t>Data Sources</w:t>
      </w:r>
    </w:p>
    <w:p w14:paraId="21ABF529" w14:textId="7F2F5DE0" w:rsidR="00C30063" w:rsidRDefault="005647A6" w:rsidP="00384832">
      <w:r>
        <w:t xml:space="preserve">After </w:t>
      </w:r>
      <w:r w:rsidR="00D53342">
        <w:t>completing the mapping of</w:t>
      </w:r>
      <w:r>
        <w:t xml:space="preserve"> </w:t>
      </w:r>
      <w:r w:rsidR="00647E25">
        <w:t>Maritime S</w:t>
      </w:r>
      <w:r w:rsidR="00D53342">
        <w:t>ector activities, d</w:t>
      </w:r>
      <w:r w:rsidR="0010557C">
        <w:t>ata for the</w:t>
      </w:r>
      <w:r w:rsidR="00FC1297">
        <w:t xml:space="preserve"> </w:t>
      </w:r>
      <w:r w:rsidR="0010557C">
        <w:t xml:space="preserve">macroeconomic </w:t>
      </w:r>
      <w:r w:rsidR="00FC1297">
        <w:t xml:space="preserve">indicators </w:t>
      </w:r>
      <w:r w:rsidR="0010557C">
        <w:t xml:space="preserve">listed above </w:t>
      </w:r>
      <w:r w:rsidR="00FC1297">
        <w:t xml:space="preserve">have been obtained and collated by firstly interrogating the indicators gathered at UK level for the </w:t>
      </w:r>
      <w:r w:rsidR="00647E25">
        <w:t>Maritime S</w:t>
      </w:r>
      <w:r w:rsidR="00C711C8">
        <w:t>ector</w:t>
      </w:r>
      <w:r w:rsidR="00FC1297">
        <w:t xml:space="preserve"> and disaggregating this at Solent-level using a combination of publicly-available data sources</w:t>
      </w:r>
      <w:r w:rsidR="003E0C81">
        <w:t>, industry sources</w:t>
      </w:r>
      <w:r w:rsidR="00FC1297">
        <w:t xml:space="preserve"> and local estimates. </w:t>
      </w:r>
    </w:p>
    <w:p w14:paraId="5CE8EF79" w14:textId="2F5B23B0" w:rsidR="00173DF9" w:rsidRDefault="00647E25" w:rsidP="00384832">
      <w:r>
        <w:t>For those Maritime S</w:t>
      </w:r>
      <w:r w:rsidR="005647A6">
        <w:t>ector activities which are in alignment with the SIC framework and are available on a disaggregated basis, t</w:t>
      </w:r>
      <w:r w:rsidR="0010557C">
        <w:t xml:space="preserve">he main source of information </w:t>
      </w:r>
      <w:r w:rsidR="005647A6">
        <w:t>used in</w:t>
      </w:r>
      <w:r w:rsidR="0010557C">
        <w:t xml:space="preserve"> this study is Bureau van Dijk’s Financial Accounts Made Easy (</w:t>
      </w:r>
      <w:r w:rsidR="0010557C" w:rsidRPr="00440F72">
        <w:rPr>
          <w:i/>
        </w:rPr>
        <w:t>FAME</w:t>
      </w:r>
      <w:r w:rsidR="0010557C">
        <w:t xml:space="preserve">) database. </w:t>
      </w:r>
      <w:r w:rsidR="0010557C" w:rsidRPr="00440F72">
        <w:rPr>
          <w:i/>
        </w:rPr>
        <w:t>FAME</w:t>
      </w:r>
      <w:r w:rsidR="0010557C">
        <w:t xml:space="preserve"> provides detailed information on UK and Irish companies as taken from annual reports and other sources up to the latest available year. FAME has </w:t>
      </w:r>
      <w:r w:rsidR="00173DF9">
        <w:t>been used</w:t>
      </w:r>
      <w:r w:rsidR="0010557C">
        <w:t xml:space="preserve"> to</w:t>
      </w:r>
      <w:r w:rsidR="0010557C" w:rsidRPr="0010557C">
        <w:t xml:space="preserve"> establish the aggregated contribution of </w:t>
      </w:r>
      <w:r w:rsidR="00C30063">
        <w:t xml:space="preserve">businesses in the </w:t>
      </w:r>
      <w:r w:rsidR="0010557C">
        <w:t>Maritime</w:t>
      </w:r>
      <w:r>
        <w:t xml:space="preserve"> S</w:t>
      </w:r>
      <w:r w:rsidR="00C30063">
        <w:t>ector</w:t>
      </w:r>
      <w:r w:rsidR="0010557C">
        <w:t xml:space="preserve"> </w:t>
      </w:r>
      <w:r w:rsidR="0010557C" w:rsidRPr="0010557C">
        <w:t xml:space="preserve">to the UK economy in terms of turnover, employee numbers and estimated </w:t>
      </w:r>
      <w:r w:rsidR="0010557C">
        <w:t>GVA</w:t>
      </w:r>
      <w:r w:rsidR="0010557C" w:rsidRPr="0010557C">
        <w:t xml:space="preserve">. We also evaluate the breakdown of these </w:t>
      </w:r>
      <w:r w:rsidR="005647A6">
        <w:t xml:space="preserve">business </w:t>
      </w:r>
      <w:r w:rsidR="0010557C" w:rsidRPr="0010557C">
        <w:t xml:space="preserve">contributions by SIC industrial sector, using the </w:t>
      </w:r>
      <w:r w:rsidR="00C30063">
        <w:t xml:space="preserve">primary and secondary </w:t>
      </w:r>
      <w:r w:rsidR="0010557C" w:rsidRPr="0010557C">
        <w:t>five-digit UK SIC (2007) code</w:t>
      </w:r>
      <w:r w:rsidR="00C30063">
        <w:t>s</w:t>
      </w:r>
      <w:r w:rsidR="0010557C" w:rsidRPr="0010557C">
        <w:t xml:space="preserve"> </w:t>
      </w:r>
      <w:r w:rsidR="00C30063">
        <w:t>associated with</w:t>
      </w:r>
      <w:r w:rsidR="0010557C" w:rsidRPr="0010557C">
        <w:t xml:space="preserve"> for each company in </w:t>
      </w:r>
      <w:r w:rsidR="0010557C" w:rsidRPr="00440F72">
        <w:rPr>
          <w:i/>
        </w:rPr>
        <w:t>FAME</w:t>
      </w:r>
      <w:r w:rsidR="0010557C" w:rsidRPr="0010557C">
        <w:t xml:space="preserve">. </w:t>
      </w:r>
    </w:p>
    <w:p w14:paraId="6F37DD08" w14:textId="2D6DB872" w:rsidR="00433556" w:rsidRDefault="00A33947" w:rsidP="00384832">
      <w:r>
        <w:t>To capture the contribution of</w:t>
      </w:r>
      <w:r w:rsidR="00647E25">
        <w:t xml:space="preserve"> those Maritime S</w:t>
      </w:r>
      <w:r w:rsidR="00173DF9">
        <w:t xml:space="preserve">ector activities which do not map neatly across the SIC framework, </w:t>
      </w:r>
      <w:r>
        <w:t xml:space="preserve">and in order to disaggregate the economic contribution of the sector at Solent-level, </w:t>
      </w:r>
      <w:r w:rsidR="00173DF9">
        <w:t>a variety of</w:t>
      </w:r>
      <w:r>
        <w:t xml:space="preserve"> other sources have been used</w:t>
      </w:r>
      <w:r w:rsidR="00173DF9">
        <w:t xml:space="preserve">. </w:t>
      </w:r>
      <w:r w:rsidR="00A27132">
        <w:t xml:space="preserve">For the former, the study draws upon insight from </w:t>
      </w:r>
      <w:r w:rsidR="0027436F">
        <w:t>sector bodies</w:t>
      </w:r>
      <w:r w:rsidR="00A27132">
        <w:t xml:space="preserve"> </w:t>
      </w:r>
      <w:r w:rsidR="0027436F">
        <w:t>included</w:t>
      </w:r>
      <w:r w:rsidR="00A27132">
        <w:t xml:space="preserve"> (but not limited to) British Marine, the Society of Maritime Industries (SMI), BEIS and the UK Chamber of Shipping.  A fu</w:t>
      </w:r>
      <w:r w:rsidR="00647E25">
        <w:t>ll list of identified Maritime S</w:t>
      </w:r>
      <w:r w:rsidR="00A27132">
        <w:t>ector activities and</w:t>
      </w:r>
      <w:r w:rsidR="00173DF9">
        <w:t xml:space="preserve"> sources is </w:t>
      </w:r>
      <w:r w:rsidR="005642DD">
        <w:t>set out</w:t>
      </w:r>
      <w:r w:rsidR="000F3E57">
        <w:t xml:space="preserve"> in Section 3 of the report.</w:t>
      </w:r>
    </w:p>
    <w:p w14:paraId="4D276135" w14:textId="32868040" w:rsidR="0027436F" w:rsidRDefault="0027436F" w:rsidP="00384832">
      <w:r>
        <w:t>In order to separately quantify the economic contribution of the Portsmouth Naval Base to the Solent LEP region, we draw upon analysis from the University of Portsmouth</w:t>
      </w:r>
      <w:r w:rsidR="0049142E">
        <w:t xml:space="preserve"> which quantified the economic contribution of the base in 2011</w:t>
      </w:r>
      <w:r>
        <w:t>.</w:t>
      </w:r>
      <w:r w:rsidRPr="0049142E">
        <w:rPr>
          <w:vertAlign w:val="superscript"/>
        </w:rPr>
        <w:footnoteReference w:id="4"/>
      </w:r>
      <w:r w:rsidR="0049142E">
        <w:t xml:space="preserve"> We have </w:t>
      </w:r>
      <w:r w:rsidR="00DA3060">
        <w:t xml:space="preserve">combined this existing </w:t>
      </w:r>
      <w:r w:rsidR="0049142E">
        <w:t>analysis</w:t>
      </w:r>
      <w:r w:rsidR="00DA3060">
        <w:t xml:space="preserve"> with </w:t>
      </w:r>
      <w:r w:rsidR="003D5E11">
        <w:t>additional data sources to obtain estimates for following years.</w:t>
      </w:r>
    </w:p>
    <w:p w14:paraId="7AC91E45" w14:textId="77777777" w:rsidR="009069BE" w:rsidRPr="004A631A" w:rsidRDefault="009069BE" w:rsidP="0049142E">
      <w:pPr>
        <w:spacing w:after="120"/>
        <w:rPr>
          <w:b/>
        </w:rPr>
      </w:pPr>
      <w:r>
        <w:rPr>
          <w:b/>
        </w:rPr>
        <w:t xml:space="preserve">Quantifying the wider </w:t>
      </w:r>
      <w:r w:rsidRPr="009069BE">
        <w:rPr>
          <w:b/>
        </w:rPr>
        <w:t>economic</w:t>
      </w:r>
      <w:r w:rsidRPr="004A631A">
        <w:rPr>
          <w:b/>
        </w:rPr>
        <w:t xml:space="preserve"> impacts</w:t>
      </w:r>
    </w:p>
    <w:p w14:paraId="109B2C1D" w14:textId="5A065EF1" w:rsidR="005F4464" w:rsidRDefault="009069BE" w:rsidP="006A49B2">
      <w:r>
        <w:t xml:space="preserve">After collation and interrogation, </w:t>
      </w:r>
      <w:r w:rsidR="00D642BC">
        <w:t>Solent</w:t>
      </w:r>
      <w:r w:rsidR="006A49B2">
        <w:t xml:space="preserve">-level data </w:t>
      </w:r>
      <w:r w:rsidR="00DA7DEB">
        <w:t xml:space="preserve">have </w:t>
      </w:r>
      <w:r w:rsidR="006A49B2">
        <w:t>then been embedded within</w:t>
      </w:r>
      <w:r w:rsidR="006A49B2" w:rsidRPr="006A49B2">
        <w:t xml:space="preserve"> </w:t>
      </w:r>
      <w:proofErr w:type="spellStart"/>
      <w:r w:rsidR="003E0C81">
        <w:t>Cebr’s</w:t>
      </w:r>
      <w:proofErr w:type="spellEnd"/>
      <w:r w:rsidR="003E0C81">
        <w:t xml:space="preserve"> </w:t>
      </w:r>
      <w:r w:rsidR="006A49B2">
        <w:t xml:space="preserve">regional </w:t>
      </w:r>
      <w:r w:rsidR="003E0C81">
        <w:t xml:space="preserve">economic impacts </w:t>
      </w:r>
      <w:r w:rsidR="006A49B2" w:rsidRPr="006A49B2">
        <w:t xml:space="preserve">models of the UK economy that we use to assess the kinds of impacts that can be associated </w:t>
      </w:r>
      <w:r w:rsidR="006A49B2">
        <w:t xml:space="preserve">with </w:t>
      </w:r>
      <w:r w:rsidR="003E0C81">
        <w:t xml:space="preserve">an entity such as the Solent-based </w:t>
      </w:r>
      <w:r w:rsidR="0049142E">
        <w:t>M</w:t>
      </w:r>
      <w:r w:rsidR="003E0C81">
        <w:t xml:space="preserve">aritime </w:t>
      </w:r>
      <w:r w:rsidR="00647E25">
        <w:t>S</w:t>
      </w:r>
      <w:r w:rsidR="00E02DE4">
        <w:t>ector</w:t>
      </w:r>
      <w:r w:rsidR="003E0C81">
        <w:t>.</w:t>
      </w:r>
      <w:r w:rsidR="009D7036">
        <w:t xml:space="preserve"> </w:t>
      </w:r>
    </w:p>
    <w:p w14:paraId="2BF80F81" w14:textId="77777777" w:rsidR="006A49B2" w:rsidRDefault="005F4464" w:rsidP="006A49B2">
      <w:proofErr w:type="spellStart"/>
      <w:r>
        <w:t>Cebr’s</w:t>
      </w:r>
      <w:proofErr w:type="spellEnd"/>
      <w:r w:rsidR="006A49B2">
        <w:t xml:space="preserve"> models establish the relationships between industries through supply chain linkages, as well as industries’ linkages with government, capital investors and the rest of the world (through trade). The models produce three types of impact for four indicators – </w:t>
      </w:r>
      <w:r w:rsidR="00B04BA1">
        <w:t>turnover</w:t>
      </w:r>
      <w:r w:rsidR="006A49B2">
        <w:t xml:space="preserve">, GVA, </w:t>
      </w:r>
      <w:r w:rsidR="00674664">
        <w:t xml:space="preserve">the compensation of </w:t>
      </w:r>
      <w:r w:rsidR="006A49B2">
        <w:t>employee</w:t>
      </w:r>
      <w:r w:rsidR="00674664">
        <w:t>s,</w:t>
      </w:r>
      <w:r w:rsidR="006A49B2">
        <w:t xml:space="preserve"> and employment. The three types of impact are:</w:t>
      </w:r>
    </w:p>
    <w:p w14:paraId="66779FD4" w14:textId="4420A092" w:rsidR="009D7036" w:rsidRPr="00AE687E" w:rsidRDefault="009D7036" w:rsidP="004940CE">
      <w:pPr>
        <w:pStyle w:val="ListBullet"/>
        <w:numPr>
          <w:ilvl w:val="0"/>
          <w:numId w:val="20"/>
        </w:numPr>
        <w:ind w:left="360"/>
        <w:rPr>
          <w:rFonts w:ascii="Calibri" w:eastAsia="Microsoft JhengHei" w:hAnsi="Calibri"/>
        </w:rPr>
      </w:pPr>
      <w:r w:rsidRPr="00AE687E">
        <w:rPr>
          <w:rFonts w:ascii="Calibri" w:eastAsia="Microsoft JhengHei" w:hAnsi="Calibri"/>
        </w:rPr>
        <w:t>D</w:t>
      </w:r>
      <w:r w:rsidRPr="00AE687E">
        <w:rPr>
          <w:rFonts w:ascii="Calibri" w:eastAsia="Microsoft JhengHei" w:hAnsi="Calibri" w:hint="eastAsia"/>
        </w:rPr>
        <w:t>irect</w:t>
      </w:r>
      <w:r w:rsidR="00346B61">
        <w:rPr>
          <w:rFonts w:ascii="Calibri" w:eastAsia="Microsoft JhengHei" w:hAnsi="Calibri"/>
        </w:rPr>
        <w:t xml:space="preserve"> impact</w:t>
      </w:r>
      <w:r w:rsidRPr="00AE687E">
        <w:rPr>
          <w:rFonts w:ascii="Calibri" w:eastAsia="Microsoft JhengHei" w:hAnsi="Calibri"/>
        </w:rPr>
        <w:t xml:space="preserve">: </w:t>
      </w:r>
      <w:r w:rsidR="00346B61">
        <w:rPr>
          <w:rFonts w:ascii="Calibri" w:eastAsia="Microsoft JhengHei" w:hAnsi="Calibri"/>
        </w:rPr>
        <w:t xml:space="preserve">this is </w:t>
      </w:r>
      <w:r w:rsidRPr="00AE687E">
        <w:rPr>
          <w:rFonts w:ascii="Calibri" w:eastAsia="Microsoft JhengHei" w:hAnsi="Calibri" w:hint="eastAsia"/>
        </w:rPr>
        <w:t xml:space="preserve">the </w:t>
      </w:r>
      <w:r w:rsidRPr="00AE687E">
        <w:rPr>
          <w:rFonts w:ascii="Calibri" w:eastAsia="Microsoft JhengHei" w:hAnsi="Calibri"/>
        </w:rPr>
        <w:t xml:space="preserve">value generated and jobs supported directly by the economic activities of the </w:t>
      </w:r>
      <w:r w:rsidR="004B7075">
        <w:rPr>
          <w:rFonts w:ascii="Calibri" w:eastAsia="Microsoft JhengHei" w:hAnsi="Calibri"/>
        </w:rPr>
        <w:t>M</w:t>
      </w:r>
      <w:r w:rsidR="004B7075" w:rsidRPr="00AE687E">
        <w:rPr>
          <w:rFonts w:ascii="Calibri" w:eastAsia="Microsoft JhengHei" w:hAnsi="Calibri"/>
        </w:rPr>
        <w:t xml:space="preserve">aritime </w:t>
      </w:r>
      <w:r w:rsidR="00647E25">
        <w:rPr>
          <w:rFonts w:ascii="Calibri" w:eastAsia="Microsoft JhengHei" w:hAnsi="Calibri"/>
        </w:rPr>
        <w:t>S</w:t>
      </w:r>
      <w:r w:rsidR="00AE236F">
        <w:rPr>
          <w:rFonts w:ascii="Calibri" w:eastAsia="Microsoft JhengHei" w:hAnsi="Calibri"/>
        </w:rPr>
        <w:t>ector</w:t>
      </w:r>
      <w:r w:rsidR="00AE236F" w:rsidRPr="00AE687E">
        <w:rPr>
          <w:rFonts w:ascii="Calibri" w:eastAsia="Microsoft JhengHei" w:hAnsi="Calibri"/>
        </w:rPr>
        <w:t xml:space="preserve"> </w:t>
      </w:r>
      <w:r w:rsidRPr="00AE687E">
        <w:rPr>
          <w:rFonts w:ascii="Calibri" w:eastAsia="Microsoft JhengHei" w:hAnsi="Calibri"/>
        </w:rPr>
        <w:t>in the Solent.</w:t>
      </w:r>
    </w:p>
    <w:p w14:paraId="163B6B4C" w14:textId="11C9BF8D" w:rsidR="009D7036" w:rsidRPr="00AE687E" w:rsidRDefault="009D7036" w:rsidP="00AE687E">
      <w:pPr>
        <w:pStyle w:val="ListBullet"/>
        <w:numPr>
          <w:ilvl w:val="0"/>
          <w:numId w:val="20"/>
        </w:numPr>
        <w:ind w:left="360"/>
        <w:rPr>
          <w:rFonts w:ascii="Calibri" w:eastAsia="Microsoft JhengHei" w:hAnsi="Calibri"/>
        </w:rPr>
      </w:pPr>
      <w:r w:rsidRPr="00AE687E">
        <w:rPr>
          <w:rFonts w:ascii="Calibri" w:eastAsia="Microsoft JhengHei" w:hAnsi="Calibri"/>
        </w:rPr>
        <w:t>I</w:t>
      </w:r>
      <w:r w:rsidRPr="00AE687E">
        <w:rPr>
          <w:rFonts w:ascii="Calibri" w:eastAsia="Microsoft JhengHei" w:hAnsi="Calibri" w:hint="eastAsia"/>
        </w:rPr>
        <w:t>ndirect</w:t>
      </w:r>
      <w:r w:rsidR="00346B61">
        <w:rPr>
          <w:rFonts w:ascii="Calibri" w:eastAsia="Microsoft JhengHei" w:hAnsi="Calibri"/>
        </w:rPr>
        <w:t xml:space="preserve"> impact</w:t>
      </w:r>
      <w:r w:rsidRPr="00AE687E">
        <w:rPr>
          <w:rFonts w:ascii="Calibri" w:eastAsia="Microsoft JhengHei" w:hAnsi="Calibri"/>
        </w:rPr>
        <w:t>:</w:t>
      </w:r>
      <w:r w:rsidRPr="00AE687E">
        <w:rPr>
          <w:rFonts w:ascii="Calibri" w:eastAsia="Microsoft JhengHei" w:hAnsi="Calibri" w:hint="eastAsia"/>
        </w:rPr>
        <w:t xml:space="preserve"> </w:t>
      </w:r>
      <w:r w:rsidR="00346B61">
        <w:rPr>
          <w:rFonts w:ascii="Calibri" w:eastAsia="Microsoft JhengHei" w:hAnsi="Calibri"/>
        </w:rPr>
        <w:t xml:space="preserve">this is </w:t>
      </w:r>
      <w:r w:rsidRPr="00AE687E">
        <w:rPr>
          <w:rFonts w:ascii="Calibri" w:eastAsia="Microsoft JhengHei" w:hAnsi="Calibri"/>
        </w:rPr>
        <w:t xml:space="preserve">the value generated and jobs supported in industries that supply inputs to the Solent-based </w:t>
      </w:r>
      <w:r w:rsidR="00EB2B72">
        <w:rPr>
          <w:rFonts w:ascii="Calibri" w:eastAsia="Microsoft JhengHei" w:hAnsi="Calibri"/>
        </w:rPr>
        <w:t>M</w:t>
      </w:r>
      <w:r w:rsidRPr="00AE687E">
        <w:rPr>
          <w:rFonts w:ascii="Calibri" w:eastAsia="Microsoft JhengHei" w:hAnsi="Calibri"/>
        </w:rPr>
        <w:t xml:space="preserve">aritime </w:t>
      </w:r>
      <w:r w:rsidR="00647E25">
        <w:rPr>
          <w:rFonts w:ascii="Calibri" w:eastAsia="Microsoft JhengHei" w:hAnsi="Calibri"/>
        </w:rPr>
        <w:t>S</w:t>
      </w:r>
      <w:r w:rsidR="00AE236F">
        <w:rPr>
          <w:rFonts w:ascii="Calibri" w:eastAsia="Microsoft JhengHei" w:hAnsi="Calibri"/>
        </w:rPr>
        <w:t>ector</w:t>
      </w:r>
      <w:r w:rsidRPr="00AE687E">
        <w:rPr>
          <w:rFonts w:ascii="Calibri" w:eastAsia="Microsoft JhengHei" w:hAnsi="Calibri"/>
        </w:rPr>
        <w:t>.</w:t>
      </w:r>
    </w:p>
    <w:p w14:paraId="00900FF1" w14:textId="68C64381" w:rsidR="009D7036" w:rsidRPr="00AE687E" w:rsidRDefault="009D7036" w:rsidP="004940CE">
      <w:pPr>
        <w:pStyle w:val="ListBullet"/>
        <w:numPr>
          <w:ilvl w:val="0"/>
          <w:numId w:val="20"/>
        </w:numPr>
        <w:ind w:left="360"/>
        <w:rPr>
          <w:rFonts w:ascii="Calibri" w:eastAsia="Microsoft JhengHei" w:hAnsi="Calibri"/>
        </w:rPr>
      </w:pPr>
      <w:r w:rsidRPr="00AE687E">
        <w:rPr>
          <w:rFonts w:ascii="Calibri" w:eastAsia="Microsoft JhengHei" w:hAnsi="Calibri"/>
        </w:rPr>
        <w:lastRenderedPageBreak/>
        <w:t>I</w:t>
      </w:r>
      <w:r w:rsidRPr="00AE687E">
        <w:rPr>
          <w:rFonts w:ascii="Calibri" w:eastAsia="Microsoft JhengHei" w:hAnsi="Calibri" w:hint="eastAsia"/>
        </w:rPr>
        <w:t>nduced</w:t>
      </w:r>
      <w:r w:rsidRPr="00AE687E">
        <w:rPr>
          <w:rFonts w:ascii="Calibri" w:eastAsia="Microsoft JhengHei" w:hAnsi="Calibri"/>
        </w:rPr>
        <w:t>:</w:t>
      </w:r>
      <w:r w:rsidRPr="00AE687E">
        <w:rPr>
          <w:rFonts w:ascii="Calibri" w:eastAsia="Microsoft JhengHei" w:hAnsi="Calibri" w:hint="eastAsia"/>
        </w:rPr>
        <w:t xml:space="preserve"> </w:t>
      </w:r>
      <w:r w:rsidR="00346B61">
        <w:rPr>
          <w:rFonts w:ascii="Calibri" w:eastAsia="Microsoft JhengHei" w:hAnsi="Calibri"/>
        </w:rPr>
        <w:t xml:space="preserve">this is </w:t>
      </w:r>
      <w:r w:rsidRPr="00AE687E">
        <w:rPr>
          <w:rFonts w:ascii="Calibri" w:eastAsia="Microsoft JhengHei" w:hAnsi="Calibri"/>
        </w:rPr>
        <w:t xml:space="preserve">the value generated and jobs supported in the wider economy when the direct and indirect employees of </w:t>
      </w:r>
      <w:r w:rsidR="00BC1719" w:rsidRPr="00AE687E">
        <w:rPr>
          <w:rFonts w:ascii="Calibri" w:eastAsia="Microsoft JhengHei" w:hAnsi="Calibri"/>
        </w:rPr>
        <w:t xml:space="preserve">the Solent-based </w:t>
      </w:r>
      <w:r w:rsidR="00966649">
        <w:rPr>
          <w:rFonts w:ascii="Calibri" w:eastAsia="Microsoft JhengHei" w:hAnsi="Calibri"/>
        </w:rPr>
        <w:t>M</w:t>
      </w:r>
      <w:r w:rsidR="00BC1719" w:rsidRPr="00AE687E">
        <w:rPr>
          <w:rFonts w:ascii="Calibri" w:eastAsia="Microsoft JhengHei" w:hAnsi="Calibri"/>
        </w:rPr>
        <w:t xml:space="preserve">aritime </w:t>
      </w:r>
      <w:r w:rsidR="00647E25">
        <w:rPr>
          <w:rFonts w:ascii="Calibri" w:eastAsia="Microsoft JhengHei" w:hAnsi="Calibri"/>
        </w:rPr>
        <w:t>S</w:t>
      </w:r>
      <w:r w:rsidR="00AE236F">
        <w:rPr>
          <w:rFonts w:ascii="Calibri" w:eastAsia="Microsoft JhengHei" w:hAnsi="Calibri"/>
        </w:rPr>
        <w:t>ector</w:t>
      </w:r>
      <w:r w:rsidR="00AE236F" w:rsidRPr="00AE687E">
        <w:rPr>
          <w:rFonts w:ascii="Calibri" w:eastAsia="Microsoft JhengHei" w:hAnsi="Calibri"/>
        </w:rPr>
        <w:t xml:space="preserve"> </w:t>
      </w:r>
      <w:r w:rsidRPr="00AE687E">
        <w:rPr>
          <w:rFonts w:ascii="Calibri" w:eastAsia="Microsoft JhengHei" w:hAnsi="Calibri" w:hint="eastAsia"/>
        </w:rPr>
        <w:t>spend</w:t>
      </w:r>
      <w:r w:rsidRPr="00AE687E">
        <w:rPr>
          <w:rFonts w:ascii="Calibri" w:eastAsia="Microsoft JhengHei" w:hAnsi="Calibri"/>
        </w:rPr>
        <w:t xml:space="preserve"> their wages and salaries on final goods and services. </w:t>
      </w:r>
    </w:p>
    <w:p w14:paraId="31C02F0C" w14:textId="4B43B0DD" w:rsidR="000018E2" w:rsidRDefault="004E1133">
      <w:pPr>
        <w:spacing w:after="0"/>
      </w:pPr>
      <w:r>
        <w:t xml:space="preserve">These three impacts are then combined to convey the total </w:t>
      </w:r>
      <w:r w:rsidR="00F8171A">
        <w:t>footprint</w:t>
      </w:r>
      <w:r>
        <w:t xml:space="preserve"> associated with each Maritime industry and Portsmouth Naval Base in terms of GVA, employment and the compensation of employees. </w:t>
      </w:r>
    </w:p>
    <w:p w14:paraId="34D9B66E" w14:textId="77777777" w:rsidR="005C7466" w:rsidRDefault="005C7466">
      <w:pPr>
        <w:spacing w:after="0"/>
      </w:pPr>
    </w:p>
    <w:p w14:paraId="1F385B7D" w14:textId="6015764C" w:rsidR="00CF5DE1" w:rsidRDefault="00CF5DE1" w:rsidP="00CF5DE1">
      <w:r>
        <w:t xml:space="preserve">Cebr has taken a ‘top-down’ approach to estimate the direct impacts of </w:t>
      </w:r>
      <w:r w:rsidR="004E588A">
        <w:t xml:space="preserve">the </w:t>
      </w:r>
      <w:r w:rsidR="00647E25">
        <w:t>five</w:t>
      </w:r>
      <w:r>
        <w:t xml:space="preserve"> </w:t>
      </w:r>
      <w:r w:rsidR="004E588A">
        <w:t xml:space="preserve">Maritime industries </w:t>
      </w:r>
      <w:r>
        <w:t xml:space="preserve">within the Solent region. In effect, this involves taking the UK direct impacts of each </w:t>
      </w:r>
      <w:r w:rsidR="00346B61">
        <w:t>defined</w:t>
      </w:r>
      <w:r w:rsidR="00700F14">
        <w:t xml:space="preserve"> </w:t>
      </w:r>
      <w:r w:rsidR="004E588A">
        <w:t>M</w:t>
      </w:r>
      <w:r>
        <w:t>aritime industry and applying relevant ratios from publicly</w:t>
      </w:r>
      <w:r w:rsidR="005B7CB8">
        <w:t>-</w:t>
      </w:r>
      <w:r>
        <w:t>available data sources such as the UK Business Register and Employment Survey (BRES</w:t>
      </w:r>
      <w:r w:rsidR="00700F14">
        <w:t xml:space="preserve">) </w:t>
      </w:r>
      <w:r>
        <w:t xml:space="preserve">– as well as private data sources such as Bureau Van Dijk’s </w:t>
      </w:r>
      <w:r>
        <w:rPr>
          <w:i/>
        </w:rPr>
        <w:t xml:space="preserve">Financial Accounts Made Easy </w:t>
      </w:r>
      <w:r>
        <w:t xml:space="preserve">(FAME) database – in order to attribute the contribution from the Solent </w:t>
      </w:r>
      <w:r w:rsidR="00700F14">
        <w:t xml:space="preserve">LEP </w:t>
      </w:r>
      <w:r>
        <w:t>region.</w:t>
      </w:r>
    </w:p>
    <w:p w14:paraId="501A8B1C" w14:textId="6283F352" w:rsidR="004940CE" w:rsidRDefault="00647E25" w:rsidP="004940CE">
      <w:r>
        <w:t>For each of the five</w:t>
      </w:r>
      <w:r w:rsidR="004940CE">
        <w:t xml:space="preserve"> </w:t>
      </w:r>
      <w:r w:rsidR="001D2F8A">
        <w:t>industries and Portsmouth Naval Base</w:t>
      </w:r>
      <w:r w:rsidR="004940CE">
        <w:t xml:space="preserve">, the direct impacts are then combined with the regional economic multipliers provided by </w:t>
      </w:r>
      <w:proofErr w:type="spellStart"/>
      <w:r w:rsidR="004940CE">
        <w:t>Cebr’s</w:t>
      </w:r>
      <w:proofErr w:type="spellEnd"/>
      <w:r w:rsidR="004940CE">
        <w:t xml:space="preserve"> </w:t>
      </w:r>
      <w:r w:rsidR="00346B61">
        <w:t xml:space="preserve">suite of regional </w:t>
      </w:r>
      <w:r w:rsidR="004940CE">
        <w:t>input-output models</w:t>
      </w:r>
      <w:r w:rsidR="00F51821">
        <w:t xml:space="preserve"> for the Solent, in order</w:t>
      </w:r>
      <w:r w:rsidR="004940CE">
        <w:t xml:space="preserve"> to </w:t>
      </w:r>
      <w:r w:rsidR="00F51821">
        <w:t xml:space="preserve">then </w:t>
      </w:r>
      <w:r w:rsidR="004940CE">
        <w:t xml:space="preserve">generate indirect, induced and subsequently aggregate impacts. </w:t>
      </w:r>
    </w:p>
    <w:p w14:paraId="45AC3517" w14:textId="77777777" w:rsidR="00763374" w:rsidRDefault="00763374" w:rsidP="00353E72">
      <w:bookmarkStart w:id="13" w:name="_Toc486495366"/>
      <w:bookmarkStart w:id="14" w:name="_Toc486495424"/>
      <w:bookmarkEnd w:id="13"/>
      <w:bookmarkEnd w:id="14"/>
    </w:p>
    <w:p w14:paraId="7A7D8DCA" w14:textId="77777777" w:rsidR="00353E72" w:rsidRDefault="00C05FB7" w:rsidP="00353E72">
      <w:pPr>
        <w:pStyle w:val="Heading1"/>
      </w:pPr>
      <w:bookmarkStart w:id="15" w:name="_Toc486495368"/>
      <w:bookmarkStart w:id="16" w:name="_Toc486495426"/>
      <w:bookmarkStart w:id="17" w:name="_Toc20139725"/>
      <w:bookmarkEnd w:id="15"/>
      <w:bookmarkEnd w:id="16"/>
      <w:r>
        <w:lastRenderedPageBreak/>
        <w:t>Macroeconomic trends in the Solent LEP region</w:t>
      </w:r>
      <w:bookmarkEnd w:id="17"/>
    </w:p>
    <w:p w14:paraId="3DB587CD" w14:textId="65D4F47F" w:rsidR="00365FD0" w:rsidRPr="00365FD0" w:rsidRDefault="00365FD0" w:rsidP="00365FD0">
      <w:r>
        <w:t>The purpose of this section is to identify the scope of the study, in terms of geographical coverage (in other words, ide</w:t>
      </w:r>
      <w:r w:rsidR="00780E06">
        <w:t>ntifying the Solent LEP region).</w:t>
      </w:r>
    </w:p>
    <w:p w14:paraId="7827A267" w14:textId="77777777" w:rsidR="00914A14" w:rsidRPr="00FB192D" w:rsidRDefault="00914A14" w:rsidP="00FB192D">
      <w:pPr>
        <w:pStyle w:val="Heading2"/>
      </w:pPr>
      <w:bookmarkStart w:id="18" w:name="_Toc20139726"/>
      <w:r w:rsidRPr="00914A14">
        <w:t>Geographical location of the Solent LEP region</w:t>
      </w:r>
      <w:bookmarkEnd w:id="18"/>
    </w:p>
    <w:p w14:paraId="238E4EF1" w14:textId="79E75D92" w:rsidR="00FA434B" w:rsidRDefault="00F8171A" w:rsidP="00EA6C26">
      <w:pPr>
        <w:spacing w:after="120"/>
      </w:pPr>
      <w:r>
        <w:t>Located in the South-East of England</w:t>
      </w:r>
      <w:r w:rsidR="00BF673A">
        <w:t xml:space="preserve">, </w:t>
      </w:r>
      <w:r>
        <w:t xml:space="preserve">the Solent LEP </w:t>
      </w:r>
      <w:r w:rsidR="00BF673A">
        <w:t>has a population exceeding 1.</w:t>
      </w:r>
      <w:r w:rsidR="00804E1A">
        <w:t>25</w:t>
      </w:r>
      <w:r w:rsidR="00BF673A">
        <w:t xml:space="preserve"> million, and over </w:t>
      </w:r>
      <w:r w:rsidR="00804E1A">
        <w:t>42</w:t>
      </w:r>
      <w:r w:rsidR="00BF673A">
        <w:t>,000 businesses</w:t>
      </w:r>
      <w:r w:rsidR="00914A14">
        <w:t xml:space="preserve"> operating in the</w:t>
      </w:r>
      <w:r w:rsidR="00E05296">
        <w:t xml:space="preserve"> region</w:t>
      </w:r>
      <w:r w:rsidR="00BF673A">
        <w:t>.</w:t>
      </w:r>
      <w:r w:rsidR="00BF673A" w:rsidRPr="00252D38">
        <w:rPr>
          <w:vertAlign w:val="superscript"/>
        </w:rPr>
        <w:footnoteReference w:id="5"/>
      </w:r>
      <w:r w:rsidR="00BF673A">
        <w:t xml:space="preserve"> The geography of the Solent region</w:t>
      </w:r>
      <w:r w:rsidR="00401A48">
        <w:t>, disaggregated by local authority,</w:t>
      </w:r>
      <w:r w:rsidR="00BF673A">
        <w:t xml:space="preserve"> </w:t>
      </w:r>
      <w:r w:rsidR="00A52D0F">
        <w:t>is shown in</w:t>
      </w:r>
      <w:r w:rsidR="00BF673A">
        <w:t xml:space="preserve"> </w:t>
      </w:r>
      <w:r w:rsidR="002220A0">
        <w:fldChar w:fldCharType="begin"/>
      </w:r>
      <w:r w:rsidR="002220A0">
        <w:instrText xml:space="preserve"> REF _Ref485202311 \h </w:instrText>
      </w:r>
      <w:r w:rsidR="00E9167B">
        <w:instrText xml:space="preserve"> \* MERGEFORMAT </w:instrText>
      </w:r>
      <w:r w:rsidR="002220A0">
        <w:fldChar w:fldCharType="separate"/>
      </w:r>
      <w:r w:rsidR="00D17FEA">
        <w:t>Figure 1</w:t>
      </w:r>
      <w:r w:rsidR="002220A0">
        <w:fldChar w:fldCharType="end"/>
      </w:r>
      <w:r w:rsidR="00BF673A">
        <w:t xml:space="preserve"> below.</w:t>
      </w:r>
      <w:r>
        <w:t xml:space="preserve"> In all, eight local authorities</w:t>
      </w:r>
      <w:r w:rsidR="00671F1D">
        <w:t xml:space="preserve">, as well as most of the New Forest National Park Authority and part of Hampshire County Council </w:t>
      </w:r>
      <w:r>
        <w:t>combine to form the Solent LEP.</w:t>
      </w:r>
    </w:p>
    <w:p w14:paraId="25774167" w14:textId="77DF9CCA" w:rsidR="00BF673A" w:rsidRDefault="00BF673A" w:rsidP="0064509B">
      <w:pPr>
        <w:pStyle w:val="Caption"/>
        <w:keepNext/>
        <w:spacing w:after="120"/>
      </w:pPr>
      <w:bookmarkStart w:id="19" w:name="_Ref485202311"/>
      <w:r>
        <w:t xml:space="preserve">Figure </w:t>
      </w:r>
      <w:r w:rsidR="00F604FD">
        <w:rPr>
          <w:noProof/>
        </w:rPr>
        <w:fldChar w:fldCharType="begin"/>
      </w:r>
      <w:r w:rsidR="00F604FD">
        <w:rPr>
          <w:noProof/>
        </w:rPr>
        <w:instrText xml:space="preserve"> SEQ Figure \* ARABIC </w:instrText>
      </w:r>
      <w:r w:rsidR="00F604FD">
        <w:rPr>
          <w:noProof/>
        </w:rPr>
        <w:fldChar w:fldCharType="separate"/>
      </w:r>
      <w:r w:rsidR="00D17FEA">
        <w:rPr>
          <w:noProof/>
        </w:rPr>
        <w:t>1</w:t>
      </w:r>
      <w:r w:rsidR="00F604FD">
        <w:rPr>
          <w:noProof/>
        </w:rPr>
        <w:fldChar w:fldCharType="end"/>
      </w:r>
      <w:bookmarkEnd w:id="19"/>
      <w:r>
        <w:t xml:space="preserve">: The constituent geographic regions of the Solent </w:t>
      </w:r>
      <w:r w:rsidR="00A52D0F">
        <w:t>LEP</w:t>
      </w:r>
      <w:r>
        <w:t xml:space="preserve"> region</w:t>
      </w:r>
    </w:p>
    <w:p w14:paraId="6B14DBB1" w14:textId="4E2960C0" w:rsidR="00FA434B" w:rsidRDefault="00B402EE" w:rsidP="00F8354F">
      <w:pPr>
        <w:spacing w:after="120"/>
        <w:jc w:val="center"/>
      </w:pPr>
      <w:r>
        <w:rPr>
          <w:noProof/>
          <w:lang w:eastAsia="en-GB"/>
        </w:rPr>
        <w:drawing>
          <wp:inline distT="0" distB="0" distL="0" distR="0" wp14:anchorId="1E20553F" wp14:editId="4B833767">
            <wp:extent cx="6119395" cy="4039737"/>
            <wp:effectExtent l="0" t="0" r="0" b="0"/>
            <wp:docPr id="14" name="Picture 14" descr="https://solentlep.org.uk/media/2632/lep-map_whole-region-rev.jpg?width=854&amp;height=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entlep.org.uk/media/2632/lep-map_whole-region-rev.jpg?width=854&amp;height=6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395" cy="4039737"/>
                    </a:xfrm>
                    <a:prstGeom prst="rect">
                      <a:avLst/>
                    </a:prstGeom>
                    <a:noFill/>
                    <a:ln>
                      <a:noFill/>
                    </a:ln>
                  </pic:spPr>
                </pic:pic>
              </a:graphicData>
            </a:graphic>
          </wp:inline>
        </w:drawing>
      </w:r>
    </w:p>
    <w:p w14:paraId="1A3CF5E3" w14:textId="77777777" w:rsidR="00FA434B" w:rsidRDefault="00FA434B" w:rsidP="00895615">
      <w:pPr>
        <w:spacing w:before="60" w:after="120"/>
        <w:jc w:val="right"/>
        <w:rPr>
          <w:rStyle w:val="SubtleEmphasis"/>
          <w:sz w:val="18"/>
        </w:rPr>
      </w:pPr>
      <w:r w:rsidRPr="00252D38">
        <w:rPr>
          <w:rStyle w:val="SubtleEmphasis"/>
          <w:sz w:val="18"/>
        </w:rPr>
        <w:t xml:space="preserve">Source: </w:t>
      </w:r>
      <w:r w:rsidR="0006652D" w:rsidRPr="00252D38">
        <w:rPr>
          <w:rStyle w:val="SubtleEmphasis"/>
          <w:sz w:val="18"/>
        </w:rPr>
        <w:t>Solent LEP</w:t>
      </w:r>
    </w:p>
    <w:p w14:paraId="50B11841" w14:textId="77777777" w:rsidR="00CC4272" w:rsidRPr="00252D38" w:rsidRDefault="00CC4272" w:rsidP="00895615">
      <w:pPr>
        <w:spacing w:before="60" w:after="120"/>
        <w:jc w:val="right"/>
        <w:rPr>
          <w:rStyle w:val="SubtleEmphasis"/>
          <w:sz w:val="18"/>
        </w:rPr>
      </w:pPr>
    </w:p>
    <w:p w14:paraId="2FB1BE30" w14:textId="77777777" w:rsidR="00914A14" w:rsidRPr="00FB192D" w:rsidRDefault="007E4219" w:rsidP="00FB192D">
      <w:pPr>
        <w:pStyle w:val="Heading2"/>
      </w:pPr>
      <w:bookmarkStart w:id="20" w:name="_Toc20139727"/>
      <w:r>
        <w:t>M</w:t>
      </w:r>
      <w:r w:rsidR="00C10D2D">
        <w:t>acro</w:t>
      </w:r>
      <w:r>
        <w:t xml:space="preserve">economic trends in </w:t>
      </w:r>
      <w:r w:rsidR="00914A14" w:rsidRPr="00C213C5">
        <w:t>the Solent LEP region</w:t>
      </w:r>
      <w:bookmarkEnd w:id="20"/>
    </w:p>
    <w:p w14:paraId="50D9FE2B" w14:textId="0788A364" w:rsidR="0094072E" w:rsidRDefault="00E05296" w:rsidP="00FA434B">
      <w:r>
        <w:t xml:space="preserve">Before undertaking a comparison of the Solent-based Maritime sector against the wider UK sector, we </w:t>
      </w:r>
      <w:r w:rsidR="00D02B2F">
        <w:t xml:space="preserve">compare the </w:t>
      </w:r>
      <w:r w:rsidR="00780E06">
        <w:t xml:space="preserve">entire </w:t>
      </w:r>
      <w:r w:rsidR="00D02B2F">
        <w:t>economy of the Solent LEP region against those of the South-East region, and the wider UK. With t</w:t>
      </w:r>
      <w:r w:rsidR="00BF673A">
        <w:t xml:space="preserve">he Solent </w:t>
      </w:r>
      <w:r w:rsidR="004154E6">
        <w:t xml:space="preserve">LEP region </w:t>
      </w:r>
      <w:r w:rsidR="00D02B2F">
        <w:t xml:space="preserve">boasting </w:t>
      </w:r>
      <w:r w:rsidR="006874A4">
        <w:t>a significant maritime presence</w:t>
      </w:r>
      <w:r w:rsidR="00D02B2F">
        <w:t xml:space="preserve">, the constituent breakdown of economic activity by industrial sector is markedly different in the Solent. </w:t>
      </w:r>
    </w:p>
    <w:p w14:paraId="2D93CE2E" w14:textId="4DF69DDD" w:rsidR="00D17FEA" w:rsidRDefault="00D17FEA" w:rsidP="00883BEE">
      <w:r>
        <w:lastRenderedPageBreak/>
        <w:t>The Solent LEP region had</w:t>
      </w:r>
      <w:r w:rsidR="00883BEE">
        <w:t xml:space="preserve"> a GVA of £30.5 billion in 2017,</w:t>
      </w:r>
      <w:r w:rsidR="00883BEE" w:rsidRPr="00883BEE">
        <w:rPr>
          <w:rStyle w:val="FootnoteReference"/>
          <w:vertAlign w:val="baseline"/>
        </w:rPr>
        <w:footnoteReference w:id="6"/>
      </w:r>
      <w:r w:rsidR="00883BEE">
        <w:t xml:space="preserve"> accounting for 11.4% of the South East and 1.7% of the UK. The Solent LEP’s GVA has experienced a growth of 19% since 2010, </w:t>
      </w:r>
      <w:r w:rsidR="00B75A48">
        <w:t>increasing by</w:t>
      </w:r>
      <w:r w:rsidR="00883BEE">
        <w:t xml:space="preserve"> £4.8 billion over the period.</w:t>
      </w:r>
      <w:r w:rsidR="00B26C61" w:rsidRPr="00883BEE">
        <w:rPr>
          <w:rStyle w:val="FootnoteReference"/>
          <w:vertAlign w:val="baseline"/>
        </w:rPr>
        <w:footnoteReference w:id="7"/>
      </w:r>
      <w:r w:rsidR="00693519">
        <w:t xml:space="preserve"> </w:t>
      </w:r>
    </w:p>
    <w:p w14:paraId="752A81EB" w14:textId="2D2A5DCC" w:rsidR="00F87296" w:rsidRDefault="00F87296" w:rsidP="00883BEE">
      <w:r>
        <w:t xml:space="preserve">Employment in the region in 2018 was approximately 588,300, accounting for 13.9% of South East and 1.9% of </w:t>
      </w:r>
      <w:r w:rsidR="00846DEC">
        <w:t xml:space="preserve">total </w:t>
      </w:r>
      <w:r>
        <w:t>UK employment.</w:t>
      </w:r>
      <w:r w:rsidR="00ED0154">
        <w:t xml:space="preserve"> The region’s employment has also grown significantly</w:t>
      </w:r>
      <w:r w:rsidR="00846DEC">
        <w:t xml:space="preserve"> with </w:t>
      </w:r>
      <w:r w:rsidR="00ED0154">
        <w:t xml:space="preserve">13,400 additional </w:t>
      </w:r>
      <w:r w:rsidR="00846DEC">
        <w:t>employees</w:t>
      </w:r>
      <w:r w:rsidR="00ED0154">
        <w:t xml:space="preserve"> since 2010, equivalent to a 2.3% increase.</w:t>
      </w:r>
      <w:r w:rsidR="00ED0154" w:rsidRPr="00C10FEB">
        <w:rPr>
          <w:rStyle w:val="FootnoteReference"/>
          <w:vertAlign w:val="baseline"/>
        </w:rPr>
        <w:footnoteReference w:id="8"/>
      </w:r>
    </w:p>
    <w:p w14:paraId="6B686AAD" w14:textId="12474665" w:rsidR="00FE69FC" w:rsidRDefault="00925004" w:rsidP="00A43E07">
      <w:pPr>
        <w:spacing w:after="120"/>
      </w:pPr>
      <w:r>
        <w:fldChar w:fldCharType="begin"/>
      </w:r>
      <w:r>
        <w:instrText xml:space="preserve"> REF _Ref485315017 \h </w:instrText>
      </w:r>
      <w:r>
        <w:fldChar w:fldCharType="separate"/>
      </w:r>
      <w:r w:rsidR="00D17FEA">
        <w:t xml:space="preserve">Figure </w:t>
      </w:r>
      <w:r w:rsidR="00D17FEA">
        <w:rPr>
          <w:noProof/>
        </w:rPr>
        <w:t>2</w:t>
      </w:r>
      <w:r>
        <w:fldChar w:fldCharType="end"/>
      </w:r>
      <w:r w:rsidR="00FE69FC">
        <w:t xml:space="preserve"> shows </w:t>
      </w:r>
      <w:r w:rsidR="007A6BA2">
        <w:t xml:space="preserve">the </w:t>
      </w:r>
      <w:r w:rsidR="00FE69FC">
        <w:t xml:space="preserve">growth in Solent LEP GVA </w:t>
      </w:r>
      <w:r w:rsidR="00EE31CF">
        <w:t>in nominal terms</w:t>
      </w:r>
      <w:r w:rsidR="00837AC5">
        <w:t xml:space="preserve"> since 199</w:t>
      </w:r>
      <w:r w:rsidR="007A6BA2">
        <w:t xml:space="preserve">8 </w:t>
      </w:r>
      <w:r w:rsidR="00837AC5">
        <w:t>compared</w:t>
      </w:r>
      <w:r w:rsidR="00EE31CF">
        <w:t xml:space="preserve"> to the GVA </w:t>
      </w:r>
      <w:r w:rsidR="00837AC5">
        <w:t xml:space="preserve">growth performance of </w:t>
      </w:r>
      <w:r w:rsidR="00EE31CF">
        <w:t xml:space="preserve">the wider South East region and the United Kingdom. </w:t>
      </w:r>
      <w:r w:rsidR="00EF357F">
        <w:t>In 201</w:t>
      </w:r>
      <w:r w:rsidR="00BF6B3A">
        <w:t>7</w:t>
      </w:r>
      <w:r w:rsidR="00EF357F">
        <w:t>, the GVA of the Solent LEP region was 7</w:t>
      </w:r>
      <w:r w:rsidR="00BF6B3A">
        <w:t>0</w:t>
      </w:r>
      <w:r w:rsidR="00EF357F">
        <w:t>% higher in nominal terms than in 199</w:t>
      </w:r>
      <w:r w:rsidR="00BF6B3A">
        <w:t>8</w:t>
      </w:r>
      <w:r w:rsidR="00EF357F">
        <w:t>, compared to 9</w:t>
      </w:r>
      <w:r w:rsidR="00BF6B3A">
        <w:t>9</w:t>
      </w:r>
      <w:r w:rsidR="00EF357F">
        <w:t xml:space="preserve">% across the wider South East region, and </w:t>
      </w:r>
      <w:r w:rsidR="00BF6B3A">
        <w:t>104</w:t>
      </w:r>
      <w:r w:rsidR="00EF357F">
        <w:t xml:space="preserve">% for the UK as a whole. </w:t>
      </w:r>
      <w:r w:rsidR="007A6BA2">
        <w:t>Therefore,</w:t>
      </w:r>
      <w:r w:rsidR="00EF357F">
        <w:t xml:space="preserve"> in terms of GVA growth, the Solent LEP </w:t>
      </w:r>
      <w:r w:rsidR="008F77CA">
        <w:t>has lagged</w:t>
      </w:r>
      <w:r w:rsidR="00E423BE">
        <w:t xml:space="preserve"> behind the</w:t>
      </w:r>
      <w:r w:rsidR="008F77CA">
        <w:t xml:space="preserve"> </w:t>
      </w:r>
      <w:r w:rsidR="00EF357F">
        <w:t xml:space="preserve">wider region and UK average. </w:t>
      </w:r>
    </w:p>
    <w:p w14:paraId="3E313367" w14:textId="562E6C07" w:rsidR="00E46210" w:rsidRPr="00E46210" w:rsidRDefault="007A6BA2" w:rsidP="007A6BA2">
      <w:pPr>
        <w:pStyle w:val="Caption"/>
        <w:keepNext/>
        <w:spacing w:after="120"/>
      </w:pPr>
      <w:bookmarkStart w:id="21" w:name="_Ref485315017"/>
      <w:r>
        <w:rPr>
          <w:noProof/>
          <w:lang w:eastAsia="en-GB"/>
        </w:rPr>
        <w:drawing>
          <wp:anchor distT="0" distB="0" distL="114300" distR="114300" simplePos="0" relativeHeight="251667456" behindDoc="0" locked="0" layoutInCell="1" allowOverlap="1" wp14:anchorId="057B6069" wp14:editId="4CB3A554">
            <wp:simplePos x="0" y="0"/>
            <wp:positionH relativeFrom="margin">
              <wp:align>center</wp:align>
            </wp:positionH>
            <wp:positionV relativeFrom="paragraph">
              <wp:posOffset>214685</wp:posOffset>
            </wp:positionV>
            <wp:extent cx="5760000" cy="2880000"/>
            <wp:effectExtent l="0" t="0" r="0" b="0"/>
            <wp:wrapTopAndBottom/>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925004">
        <w:t xml:space="preserve">Figure </w:t>
      </w:r>
      <w:r w:rsidR="00F604FD">
        <w:rPr>
          <w:noProof/>
        </w:rPr>
        <w:fldChar w:fldCharType="begin"/>
      </w:r>
      <w:r w:rsidR="00F604FD">
        <w:rPr>
          <w:noProof/>
        </w:rPr>
        <w:instrText xml:space="preserve"> SEQ Figure \* ARABIC </w:instrText>
      </w:r>
      <w:r w:rsidR="00F604FD">
        <w:rPr>
          <w:noProof/>
        </w:rPr>
        <w:fldChar w:fldCharType="separate"/>
      </w:r>
      <w:r w:rsidR="00D17FEA">
        <w:rPr>
          <w:noProof/>
        </w:rPr>
        <w:t>2</w:t>
      </w:r>
      <w:r w:rsidR="00F604FD">
        <w:rPr>
          <w:noProof/>
        </w:rPr>
        <w:fldChar w:fldCharType="end"/>
      </w:r>
      <w:bookmarkEnd w:id="21"/>
      <w:r w:rsidR="00925004">
        <w:t xml:space="preserve">: </w:t>
      </w:r>
      <w:r w:rsidR="00925004" w:rsidRPr="00D96FEC">
        <w:t>GVA in the Solent LEP, South East and United Kingdom expressed at 1997 levels, 199</w:t>
      </w:r>
      <w:r w:rsidR="00BF6B3A">
        <w:t>8</w:t>
      </w:r>
      <w:r w:rsidR="00925004" w:rsidRPr="00D96FEC">
        <w:t xml:space="preserve"> to 201</w:t>
      </w:r>
      <w:r w:rsidR="00BF6B3A">
        <w:t>7</w:t>
      </w:r>
      <w:r w:rsidR="00925004" w:rsidRPr="00D96FEC">
        <w:t xml:space="preserve"> (199</w:t>
      </w:r>
      <w:r w:rsidR="00BF6B3A">
        <w:t>8</w:t>
      </w:r>
      <w:r w:rsidR="00925004" w:rsidRPr="00D96FEC">
        <w:t xml:space="preserve"> = 100%)</w:t>
      </w:r>
    </w:p>
    <w:p w14:paraId="5DA04CF2" w14:textId="7B7B697B" w:rsidR="00FE69FC" w:rsidRPr="0024093B" w:rsidRDefault="0024093B" w:rsidP="0024093B">
      <w:pPr>
        <w:keepNext/>
        <w:keepLines/>
        <w:spacing w:before="60" w:after="120"/>
        <w:jc w:val="right"/>
        <w:rPr>
          <w:i/>
          <w:color w:val="404040" w:themeColor="text1" w:themeTint="BF"/>
          <w:sz w:val="18"/>
        </w:rPr>
      </w:pPr>
      <w:r>
        <w:rPr>
          <w:i/>
          <w:color w:val="404040" w:themeColor="text1" w:themeTint="BF"/>
          <w:sz w:val="18"/>
        </w:rPr>
        <w:t>Source: ONS, Cebr analysis</w:t>
      </w:r>
    </w:p>
    <w:p w14:paraId="69B4CBCF" w14:textId="7B571903" w:rsidR="00CD5994" w:rsidRDefault="00837A22" w:rsidP="00FA434B">
      <w:r>
        <w:t>Table 2</w:t>
      </w:r>
      <w:r w:rsidR="00CD5994">
        <w:t xml:space="preserve"> shows the breakdown of employment across each broad category of industrial sector</w:t>
      </w:r>
      <w:r w:rsidR="00BF1C99">
        <w:t xml:space="preserve"> in 201</w:t>
      </w:r>
      <w:r w:rsidR="000C4F16">
        <w:t>7</w:t>
      </w:r>
      <w:r w:rsidR="00BF1C99">
        <w:t xml:space="preserve">. </w:t>
      </w:r>
      <w:r w:rsidR="000C4F16">
        <w:t>We find that Solent LEP</w:t>
      </w:r>
      <w:r w:rsidR="00C30EBF">
        <w:t xml:space="preserve"> </w:t>
      </w:r>
      <w:r w:rsidR="000C4F16">
        <w:t xml:space="preserve">has a higher than average concentration in three of our defined sectors. </w:t>
      </w:r>
      <w:r w:rsidR="00B0151A">
        <w:t xml:space="preserve">These sectors have been highlighted in bold. </w:t>
      </w:r>
      <w:r w:rsidR="00C30EBF">
        <w:t>F</w:t>
      </w:r>
      <w:r w:rsidR="00D76FB5">
        <w:t xml:space="preserve">or example, the proportion of employment in </w:t>
      </w:r>
      <w:r w:rsidR="009E37FF">
        <w:t>Public Administration and Defence, Education and Health</w:t>
      </w:r>
      <w:r w:rsidR="00D76FB5">
        <w:t xml:space="preserve"> is </w:t>
      </w:r>
      <w:r w:rsidR="009E37FF">
        <w:t>2.</w:t>
      </w:r>
      <w:r w:rsidR="000C4F16">
        <w:t>5</w:t>
      </w:r>
      <w:r w:rsidR="00D76FB5">
        <w:t xml:space="preserve"> </w:t>
      </w:r>
      <w:r w:rsidR="00835F5D">
        <w:t>percentage-points</w:t>
      </w:r>
      <w:r w:rsidR="00D76FB5">
        <w:t xml:space="preserve"> higher than the South East and UK in general.</w:t>
      </w:r>
      <w:r w:rsidR="000A1D11">
        <w:t xml:space="preserve"> </w:t>
      </w:r>
      <w:r w:rsidR="00D76FB5">
        <w:t xml:space="preserve">As many of the </w:t>
      </w:r>
      <w:r w:rsidR="001238E3">
        <w:t xml:space="preserve">Maritime </w:t>
      </w:r>
      <w:r w:rsidR="007A6BA2">
        <w:t>S</w:t>
      </w:r>
      <w:r w:rsidR="001238E3">
        <w:t>ector</w:t>
      </w:r>
      <w:r w:rsidR="007A6BA2">
        <w:t xml:space="preserve"> activities</w:t>
      </w:r>
      <w:r w:rsidR="00D76FB5">
        <w:t xml:space="preserve"> are found within these broader industry categories, this provides initial evidence </w:t>
      </w:r>
      <w:r w:rsidR="007A6BA2">
        <w:t>of the importance of Solent LEP to the UK maritime sector</w:t>
      </w:r>
      <w:r w:rsidR="00D76FB5">
        <w:t xml:space="preserve">. </w:t>
      </w:r>
    </w:p>
    <w:p w14:paraId="0912F464" w14:textId="77777777" w:rsidR="00B75A48" w:rsidRDefault="00B75A48" w:rsidP="00FA434B"/>
    <w:p w14:paraId="37365048" w14:textId="77777777" w:rsidR="00B75A48" w:rsidRDefault="00B75A48" w:rsidP="00FA434B"/>
    <w:p w14:paraId="57FBBF15" w14:textId="68428796" w:rsidR="004C61AB" w:rsidRDefault="004C61AB" w:rsidP="009421C5">
      <w:pPr>
        <w:pStyle w:val="Caption"/>
        <w:keepNext/>
        <w:spacing w:after="120"/>
      </w:pPr>
      <w:bookmarkStart w:id="22" w:name="_Ref499889346"/>
      <w:r>
        <w:lastRenderedPageBreak/>
        <w:t xml:space="preserve">Table </w:t>
      </w:r>
      <w:r w:rsidR="00F604FD">
        <w:rPr>
          <w:noProof/>
        </w:rPr>
        <w:fldChar w:fldCharType="begin"/>
      </w:r>
      <w:r w:rsidR="00F604FD">
        <w:rPr>
          <w:noProof/>
        </w:rPr>
        <w:instrText xml:space="preserve"> SEQ Table \* ARABIC </w:instrText>
      </w:r>
      <w:r w:rsidR="00F604FD">
        <w:rPr>
          <w:noProof/>
        </w:rPr>
        <w:fldChar w:fldCharType="separate"/>
      </w:r>
      <w:r w:rsidR="00D17FEA">
        <w:rPr>
          <w:noProof/>
        </w:rPr>
        <w:t>1</w:t>
      </w:r>
      <w:r w:rsidR="00F604FD">
        <w:rPr>
          <w:noProof/>
        </w:rPr>
        <w:fldChar w:fldCharType="end"/>
      </w:r>
      <w:bookmarkEnd w:id="22"/>
      <w:r>
        <w:t xml:space="preserve">: </w:t>
      </w:r>
      <w:r w:rsidRPr="00D0671B">
        <w:t>Breakdown of employment in 201</w:t>
      </w:r>
      <w:r w:rsidR="000C4F16">
        <w:t>7</w:t>
      </w:r>
      <w:r w:rsidRPr="00D0671B">
        <w:t xml:space="preserve"> by industrial sector: Solent LEP, South East and the UK</w:t>
      </w:r>
    </w:p>
    <w:tbl>
      <w:tblPr>
        <w:tblW w:w="5000" w:type="pct"/>
        <w:tblLook w:val="04A0" w:firstRow="1" w:lastRow="0" w:firstColumn="1" w:lastColumn="0" w:noHBand="0" w:noVBand="1"/>
      </w:tblPr>
      <w:tblGrid>
        <w:gridCol w:w="7241"/>
        <w:gridCol w:w="720"/>
        <w:gridCol w:w="720"/>
        <w:gridCol w:w="932"/>
      </w:tblGrid>
      <w:tr w:rsidR="000C4F16" w:rsidRPr="000C4F16" w14:paraId="4233E127" w14:textId="77777777" w:rsidTr="006A226D">
        <w:trPr>
          <w:trHeight w:val="495"/>
        </w:trPr>
        <w:tc>
          <w:tcPr>
            <w:tcW w:w="3793" w:type="pct"/>
            <w:tcBorders>
              <w:top w:val="nil"/>
              <w:left w:val="single" w:sz="8" w:space="0" w:color="FFFFFF"/>
              <w:bottom w:val="single" w:sz="8" w:space="0" w:color="FFFFFF"/>
              <w:right w:val="single" w:sz="12" w:space="0" w:color="FFFFFF"/>
            </w:tcBorders>
            <w:shd w:val="clear" w:color="000000" w:fill="008C9B"/>
            <w:vAlign w:val="center"/>
            <w:hideMark/>
          </w:tcPr>
          <w:p w14:paraId="4F226CE6" w14:textId="77777777" w:rsidR="000C4F16" w:rsidRPr="000C4F16" w:rsidRDefault="000C4F16" w:rsidP="000C4F16">
            <w:pPr>
              <w:spacing w:after="0"/>
              <w:rPr>
                <w:rFonts w:ascii="Calibri" w:eastAsia="Times New Roman" w:hAnsi="Calibri"/>
                <w:b/>
                <w:bCs/>
                <w:color w:val="FFFFFF"/>
                <w:sz w:val="20"/>
                <w:lang w:eastAsia="en-GB"/>
              </w:rPr>
            </w:pPr>
            <w:r w:rsidRPr="000C4F16">
              <w:rPr>
                <w:rFonts w:ascii="Calibri" w:eastAsia="Times New Roman" w:hAnsi="Calibri"/>
                <w:b/>
                <w:bCs/>
                <w:color w:val="FFFFFF"/>
                <w:sz w:val="20"/>
                <w:lang w:eastAsia="en-GB"/>
              </w:rPr>
              <w:t> Sector</w:t>
            </w:r>
          </w:p>
        </w:tc>
        <w:tc>
          <w:tcPr>
            <w:tcW w:w="374" w:type="pct"/>
            <w:tcBorders>
              <w:top w:val="single" w:sz="8" w:space="0" w:color="FFFFFF"/>
              <w:left w:val="nil"/>
              <w:bottom w:val="single" w:sz="12" w:space="0" w:color="FFFFFF"/>
              <w:right w:val="single" w:sz="12" w:space="0" w:color="FFFFFF"/>
            </w:tcBorders>
            <w:shd w:val="clear" w:color="000000" w:fill="008C9B"/>
            <w:vAlign w:val="center"/>
            <w:hideMark/>
          </w:tcPr>
          <w:p w14:paraId="76B88586" w14:textId="77777777" w:rsidR="000C4F16" w:rsidRPr="000C4F16" w:rsidRDefault="000C4F16" w:rsidP="000C4F16">
            <w:pPr>
              <w:spacing w:after="0"/>
              <w:jc w:val="center"/>
              <w:rPr>
                <w:rFonts w:ascii="Calibri" w:eastAsia="Times New Roman" w:hAnsi="Calibri"/>
                <w:b/>
                <w:bCs/>
                <w:color w:val="FFFFFF"/>
                <w:sz w:val="18"/>
                <w:szCs w:val="18"/>
                <w:lang w:eastAsia="en-GB"/>
              </w:rPr>
            </w:pPr>
            <w:r w:rsidRPr="000C4F16">
              <w:rPr>
                <w:rFonts w:ascii="Calibri" w:eastAsia="Times New Roman" w:hAnsi="Calibri"/>
                <w:b/>
                <w:bCs/>
                <w:color w:val="FFFFFF"/>
                <w:sz w:val="18"/>
                <w:szCs w:val="18"/>
                <w:lang w:eastAsia="en-GB"/>
              </w:rPr>
              <w:t>Solent LEP</w:t>
            </w:r>
          </w:p>
        </w:tc>
        <w:tc>
          <w:tcPr>
            <w:tcW w:w="374" w:type="pct"/>
            <w:tcBorders>
              <w:top w:val="single" w:sz="8" w:space="0" w:color="FFFFFF"/>
              <w:left w:val="nil"/>
              <w:bottom w:val="single" w:sz="12" w:space="0" w:color="FFFFFF"/>
              <w:right w:val="single" w:sz="12" w:space="0" w:color="FFFFFF"/>
            </w:tcBorders>
            <w:shd w:val="clear" w:color="000000" w:fill="008C9B"/>
            <w:vAlign w:val="center"/>
            <w:hideMark/>
          </w:tcPr>
          <w:p w14:paraId="1FE75AF2" w14:textId="77777777" w:rsidR="000C4F16" w:rsidRPr="000C4F16" w:rsidRDefault="000C4F16" w:rsidP="000C4F16">
            <w:pPr>
              <w:spacing w:after="0"/>
              <w:jc w:val="center"/>
              <w:rPr>
                <w:rFonts w:ascii="Calibri" w:eastAsia="Times New Roman" w:hAnsi="Calibri"/>
                <w:b/>
                <w:bCs/>
                <w:color w:val="FFFFFF"/>
                <w:sz w:val="18"/>
                <w:szCs w:val="18"/>
                <w:lang w:eastAsia="en-GB"/>
              </w:rPr>
            </w:pPr>
            <w:r w:rsidRPr="000C4F16">
              <w:rPr>
                <w:rFonts w:ascii="Calibri" w:eastAsia="Times New Roman" w:hAnsi="Calibri"/>
                <w:b/>
                <w:bCs/>
                <w:color w:val="FFFFFF"/>
                <w:sz w:val="18"/>
                <w:szCs w:val="18"/>
                <w:lang w:eastAsia="en-GB"/>
              </w:rPr>
              <w:t>South East</w:t>
            </w:r>
          </w:p>
        </w:tc>
        <w:tc>
          <w:tcPr>
            <w:tcW w:w="458" w:type="pct"/>
            <w:tcBorders>
              <w:top w:val="single" w:sz="8" w:space="0" w:color="FFFFFF"/>
              <w:left w:val="nil"/>
              <w:bottom w:val="single" w:sz="12" w:space="0" w:color="FFFFFF"/>
              <w:right w:val="single" w:sz="12" w:space="0" w:color="FFFFFF"/>
            </w:tcBorders>
            <w:shd w:val="clear" w:color="000000" w:fill="008C9B"/>
            <w:vAlign w:val="center"/>
            <w:hideMark/>
          </w:tcPr>
          <w:p w14:paraId="0998B3BC" w14:textId="3F1D1C17" w:rsidR="000C4F16" w:rsidRPr="000C4F16" w:rsidRDefault="000C4F16" w:rsidP="000C4F16">
            <w:pPr>
              <w:spacing w:after="0"/>
              <w:jc w:val="center"/>
              <w:rPr>
                <w:rFonts w:ascii="Calibri" w:eastAsia="Times New Roman" w:hAnsi="Calibri"/>
                <w:b/>
                <w:bCs/>
                <w:color w:val="FFFFFF"/>
                <w:sz w:val="18"/>
                <w:szCs w:val="18"/>
                <w:lang w:eastAsia="en-GB"/>
              </w:rPr>
            </w:pPr>
            <w:r w:rsidRPr="000C4F16">
              <w:rPr>
                <w:rFonts w:ascii="Calibri" w:eastAsia="Times New Roman" w:hAnsi="Calibri"/>
                <w:b/>
                <w:bCs/>
                <w:color w:val="FFFFFF"/>
                <w:sz w:val="18"/>
                <w:szCs w:val="18"/>
                <w:lang w:eastAsia="en-GB"/>
              </w:rPr>
              <w:t>United Kingdom</w:t>
            </w:r>
            <w:r w:rsidR="0024093B" w:rsidRPr="00F87296">
              <w:rPr>
                <w:rStyle w:val="FootnoteReference"/>
                <w:rFonts w:ascii="Calibri" w:eastAsia="Times New Roman" w:hAnsi="Calibri"/>
                <w:b/>
                <w:bCs/>
                <w:color w:val="FFFFFF" w:themeColor="background1"/>
                <w:szCs w:val="18"/>
                <w:lang w:eastAsia="en-GB"/>
              </w:rPr>
              <w:footnoteReference w:id="9"/>
            </w:r>
          </w:p>
        </w:tc>
      </w:tr>
      <w:tr w:rsidR="000C4F16" w:rsidRPr="000C4F16" w14:paraId="2F806854" w14:textId="77777777" w:rsidTr="00056F55">
        <w:trPr>
          <w:trHeight w:val="315"/>
        </w:trPr>
        <w:tc>
          <w:tcPr>
            <w:tcW w:w="3793" w:type="pct"/>
            <w:tcBorders>
              <w:top w:val="nil"/>
              <w:left w:val="single" w:sz="8" w:space="0" w:color="FFFFFF"/>
              <w:bottom w:val="single" w:sz="8" w:space="0" w:color="FFFFFF"/>
              <w:right w:val="single" w:sz="12" w:space="0" w:color="FFFFFF"/>
            </w:tcBorders>
            <w:shd w:val="clear" w:color="000000" w:fill="008C9B"/>
            <w:vAlign w:val="center"/>
            <w:hideMark/>
          </w:tcPr>
          <w:p w14:paraId="5B51754D" w14:textId="77777777" w:rsidR="000C4F16" w:rsidRPr="000C4F16" w:rsidRDefault="000C4F16" w:rsidP="000C4F16">
            <w:pPr>
              <w:spacing w:after="0"/>
              <w:rPr>
                <w:rFonts w:ascii="Calibri" w:eastAsia="Times New Roman" w:hAnsi="Calibri"/>
                <w:color w:val="FFFFFF"/>
                <w:sz w:val="20"/>
                <w:lang w:eastAsia="en-GB"/>
              </w:rPr>
            </w:pPr>
            <w:r w:rsidRPr="000C4F16">
              <w:rPr>
                <w:rFonts w:ascii="Calibri" w:eastAsia="Times New Roman" w:hAnsi="Calibri"/>
                <w:color w:val="FFFFFF"/>
                <w:sz w:val="20"/>
                <w:lang w:eastAsia="en-GB"/>
              </w:rPr>
              <w:t>Agriculture, forestry and fishing</w:t>
            </w:r>
          </w:p>
        </w:tc>
        <w:tc>
          <w:tcPr>
            <w:tcW w:w="374" w:type="pct"/>
            <w:tcBorders>
              <w:top w:val="nil"/>
              <w:left w:val="nil"/>
              <w:bottom w:val="single" w:sz="8" w:space="0" w:color="FFFFFF"/>
              <w:right w:val="single" w:sz="8" w:space="0" w:color="FFFFFF"/>
            </w:tcBorders>
            <w:shd w:val="clear" w:color="auto" w:fill="E7EEEF"/>
            <w:vAlign w:val="center"/>
            <w:hideMark/>
          </w:tcPr>
          <w:p w14:paraId="5F0DE689"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0.5%</w:t>
            </w:r>
          </w:p>
        </w:tc>
        <w:tc>
          <w:tcPr>
            <w:tcW w:w="374" w:type="pct"/>
            <w:tcBorders>
              <w:top w:val="nil"/>
              <w:left w:val="nil"/>
              <w:bottom w:val="single" w:sz="8" w:space="0" w:color="FFFFFF"/>
              <w:right w:val="single" w:sz="8" w:space="0" w:color="FFFFFF"/>
            </w:tcBorders>
            <w:shd w:val="clear" w:color="auto" w:fill="E7EEEF"/>
            <w:vAlign w:val="center"/>
            <w:hideMark/>
          </w:tcPr>
          <w:p w14:paraId="3351EE43"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1.1%</w:t>
            </w:r>
          </w:p>
        </w:tc>
        <w:tc>
          <w:tcPr>
            <w:tcW w:w="458" w:type="pct"/>
            <w:tcBorders>
              <w:top w:val="nil"/>
              <w:left w:val="nil"/>
              <w:bottom w:val="single" w:sz="8" w:space="0" w:color="FFFFFF"/>
              <w:right w:val="single" w:sz="8" w:space="0" w:color="FFFFFF"/>
            </w:tcBorders>
            <w:shd w:val="clear" w:color="auto" w:fill="E7EEEF"/>
            <w:vAlign w:val="center"/>
            <w:hideMark/>
          </w:tcPr>
          <w:p w14:paraId="692E47AB"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1.6%</w:t>
            </w:r>
          </w:p>
        </w:tc>
      </w:tr>
      <w:tr w:rsidR="000C4F16" w:rsidRPr="000C4F16" w14:paraId="49C63A7A" w14:textId="77777777" w:rsidTr="00056F55">
        <w:trPr>
          <w:trHeight w:val="315"/>
        </w:trPr>
        <w:tc>
          <w:tcPr>
            <w:tcW w:w="3793" w:type="pct"/>
            <w:tcBorders>
              <w:top w:val="nil"/>
              <w:left w:val="single" w:sz="8" w:space="0" w:color="FFFFFF"/>
              <w:bottom w:val="single" w:sz="8" w:space="0" w:color="FFFFFF"/>
              <w:right w:val="single" w:sz="12" w:space="0" w:color="FFFFFF"/>
            </w:tcBorders>
            <w:shd w:val="clear" w:color="000000" w:fill="008C9B"/>
            <w:vAlign w:val="center"/>
            <w:hideMark/>
          </w:tcPr>
          <w:p w14:paraId="6C2F25FF" w14:textId="77777777" w:rsidR="000C4F16" w:rsidRPr="000C4F16" w:rsidRDefault="000C4F16" w:rsidP="000C4F16">
            <w:pPr>
              <w:spacing w:after="0"/>
              <w:rPr>
                <w:rFonts w:ascii="Calibri" w:eastAsia="Times New Roman" w:hAnsi="Calibri"/>
                <w:color w:val="FFFFFF"/>
                <w:sz w:val="20"/>
                <w:lang w:eastAsia="en-GB"/>
              </w:rPr>
            </w:pPr>
            <w:r w:rsidRPr="000C4F16">
              <w:rPr>
                <w:rFonts w:ascii="Calibri" w:eastAsia="Times New Roman" w:hAnsi="Calibri"/>
                <w:color w:val="FFFFFF"/>
                <w:sz w:val="20"/>
                <w:lang w:eastAsia="en-GB"/>
              </w:rPr>
              <w:t>Mining; Energy and Water</w:t>
            </w:r>
          </w:p>
        </w:tc>
        <w:tc>
          <w:tcPr>
            <w:tcW w:w="374" w:type="pct"/>
            <w:tcBorders>
              <w:top w:val="nil"/>
              <w:left w:val="nil"/>
              <w:bottom w:val="single" w:sz="8" w:space="0" w:color="FFFFFF"/>
              <w:right w:val="single" w:sz="8" w:space="0" w:color="FFFFFF"/>
            </w:tcBorders>
            <w:shd w:val="clear" w:color="auto" w:fill="D0CECE"/>
            <w:vAlign w:val="center"/>
            <w:hideMark/>
          </w:tcPr>
          <w:p w14:paraId="67D18C6A"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0.8%</w:t>
            </w:r>
          </w:p>
        </w:tc>
        <w:tc>
          <w:tcPr>
            <w:tcW w:w="374" w:type="pct"/>
            <w:tcBorders>
              <w:top w:val="nil"/>
              <w:left w:val="nil"/>
              <w:bottom w:val="single" w:sz="8" w:space="0" w:color="FFFFFF"/>
              <w:right w:val="single" w:sz="8" w:space="0" w:color="FFFFFF"/>
            </w:tcBorders>
            <w:shd w:val="clear" w:color="auto" w:fill="D0CECE"/>
            <w:vAlign w:val="center"/>
            <w:hideMark/>
          </w:tcPr>
          <w:p w14:paraId="6D04A42F"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1.2%</w:t>
            </w:r>
          </w:p>
        </w:tc>
        <w:tc>
          <w:tcPr>
            <w:tcW w:w="458" w:type="pct"/>
            <w:tcBorders>
              <w:top w:val="nil"/>
              <w:left w:val="nil"/>
              <w:bottom w:val="single" w:sz="8" w:space="0" w:color="FFFFFF"/>
              <w:right w:val="single" w:sz="8" w:space="0" w:color="FFFFFF"/>
            </w:tcBorders>
            <w:shd w:val="clear" w:color="auto" w:fill="D0CECE"/>
            <w:vAlign w:val="center"/>
            <w:hideMark/>
          </w:tcPr>
          <w:p w14:paraId="661B8B92"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1.2%</w:t>
            </w:r>
          </w:p>
        </w:tc>
      </w:tr>
      <w:tr w:rsidR="000C4F16" w:rsidRPr="000C4F16" w14:paraId="7780DDA1" w14:textId="77777777" w:rsidTr="00056F55">
        <w:trPr>
          <w:trHeight w:val="315"/>
        </w:trPr>
        <w:tc>
          <w:tcPr>
            <w:tcW w:w="3793" w:type="pct"/>
            <w:tcBorders>
              <w:top w:val="nil"/>
              <w:left w:val="single" w:sz="8" w:space="0" w:color="FFFFFF"/>
              <w:bottom w:val="single" w:sz="8" w:space="0" w:color="FFFFFF"/>
              <w:right w:val="single" w:sz="12" w:space="0" w:color="FFFFFF"/>
            </w:tcBorders>
            <w:shd w:val="clear" w:color="000000" w:fill="008C9B"/>
            <w:vAlign w:val="center"/>
            <w:hideMark/>
          </w:tcPr>
          <w:p w14:paraId="54BE3D60" w14:textId="77777777" w:rsidR="000C4F16" w:rsidRPr="000C4F16" w:rsidRDefault="000C4F16" w:rsidP="000C4F16">
            <w:pPr>
              <w:spacing w:after="0"/>
              <w:rPr>
                <w:rFonts w:ascii="Calibri" w:eastAsia="Times New Roman" w:hAnsi="Calibri"/>
                <w:b/>
                <w:color w:val="FFFFFF"/>
                <w:sz w:val="20"/>
                <w:lang w:eastAsia="en-GB"/>
              </w:rPr>
            </w:pPr>
            <w:r w:rsidRPr="000C4F16">
              <w:rPr>
                <w:rFonts w:ascii="Calibri" w:eastAsia="Times New Roman" w:hAnsi="Calibri"/>
                <w:b/>
                <w:color w:val="FFFFFF"/>
                <w:sz w:val="20"/>
                <w:lang w:eastAsia="en-GB"/>
              </w:rPr>
              <w:t>Manufacturing</w:t>
            </w:r>
          </w:p>
        </w:tc>
        <w:tc>
          <w:tcPr>
            <w:tcW w:w="374" w:type="pct"/>
            <w:tcBorders>
              <w:top w:val="nil"/>
              <w:left w:val="nil"/>
              <w:bottom w:val="single" w:sz="8" w:space="0" w:color="FFFFFF"/>
              <w:right w:val="single" w:sz="8" w:space="0" w:color="FFFFFF"/>
            </w:tcBorders>
            <w:shd w:val="clear" w:color="auto" w:fill="E7EEEF"/>
            <w:vAlign w:val="center"/>
            <w:hideMark/>
          </w:tcPr>
          <w:p w14:paraId="21456AA9" w14:textId="77777777" w:rsidR="000C4F16" w:rsidRPr="000C4F16" w:rsidRDefault="000C4F16" w:rsidP="000C4F16">
            <w:pPr>
              <w:spacing w:after="0"/>
              <w:jc w:val="center"/>
              <w:rPr>
                <w:rFonts w:ascii="Calibri" w:eastAsia="Times New Roman" w:hAnsi="Calibri"/>
                <w:b/>
                <w:color w:val="000000"/>
                <w:sz w:val="20"/>
                <w:lang w:eastAsia="en-GB"/>
              </w:rPr>
            </w:pPr>
            <w:r w:rsidRPr="000C4F16">
              <w:rPr>
                <w:rFonts w:ascii="Calibri" w:eastAsia="Times New Roman" w:hAnsi="Calibri"/>
                <w:b/>
                <w:color w:val="000000"/>
                <w:sz w:val="20"/>
                <w:lang w:eastAsia="en-GB"/>
              </w:rPr>
              <w:t>8.2%</w:t>
            </w:r>
          </w:p>
        </w:tc>
        <w:tc>
          <w:tcPr>
            <w:tcW w:w="374" w:type="pct"/>
            <w:tcBorders>
              <w:top w:val="nil"/>
              <w:left w:val="nil"/>
              <w:bottom w:val="single" w:sz="8" w:space="0" w:color="FFFFFF"/>
              <w:right w:val="single" w:sz="8" w:space="0" w:color="FFFFFF"/>
            </w:tcBorders>
            <w:shd w:val="clear" w:color="auto" w:fill="E7EEEF"/>
            <w:vAlign w:val="center"/>
            <w:hideMark/>
          </w:tcPr>
          <w:p w14:paraId="7F19A69D" w14:textId="77777777" w:rsidR="000C4F16" w:rsidRPr="000C4F16" w:rsidRDefault="000C4F16" w:rsidP="000C4F16">
            <w:pPr>
              <w:spacing w:after="0"/>
              <w:jc w:val="center"/>
              <w:rPr>
                <w:rFonts w:ascii="Calibri" w:eastAsia="Times New Roman" w:hAnsi="Calibri"/>
                <w:b/>
                <w:color w:val="000000"/>
                <w:sz w:val="20"/>
                <w:lang w:eastAsia="en-GB"/>
              </w:rPr>
            </w:pPr>
            <w:r w:rsidRPr="000C4F16">
              <w:rPr>
                <w:rFonts w:ascii="Calibri" w:eastAsia="Times New Roman" w:hAnsi="Calibri"/>
                <w:b/>
                <w:color w:val="000000"/>
                <w:sz w:val="20"/>
                <w:lang w:eastAsia="en-GB"/>
              </w:rPr>
              <w:t>6.2%</w:t>
            </w:r>
          </w:p>
        </w:tc>
        <w:tc>
          <w:tcPr>
            <w:tcW w:w="458" w:type="pct"/>
            <w:tcBorders>
              <w:top w:val="nil"/>
              <w:left w:val="nil"/>
              <w:bottom w:val="single" w:sz="8" w:space="0" w:color="FFFFFF"/>
              <w:right w:val="single" w:sz="8" w:space="0" w:color="FFFFFF"/>
            </w:tcBorders>
            <w:shd w:val="clear" w:color="auto" w:fill="E7EEEF"/>
            <w:vAlign w:val="center"/>
            <w:hideMark/>
          </w:tcPr>
          <w:p w14:paraId="1619D158" w14:textId="77777777" w:rsidR="000C4F16" w:rsidRPr="000C4F16" w:rsidRDefault="000C4F16" w:rsidP="000C4F16">
            <w:pPr>
              <w:spacing w:after="0"/>
              <w:jc w:val="center"/>
              <w:rPr>
                <w:rFonts w:ascii="Calibri" w:eastAsia="Times New Roman" w:hAnsi="Calibri"/>
                <w:b/>
                <w:color w:val="000000"/>
                <w:sz w:val="20"/>
                <w:lang w:eastAsia="en-GB"/>
              </w:rPr>
            </w:pPr>
            <w:r w:rsidRPr="000C4F16">
              <w:rPr>
                <w:rFonts w:ascii="Calibri" w:eastAsia="Times New Roman" w:hAnsi="Calibri"/>
                <w:b/>
                <w:color w:val="000000"/>
                <w:sz w:val="20"/>
                <w:lang w:eastAsia="en-GB"/>
              </w:rPr>
              <w:t>7.9%</w:t>
            </w:r>
          </w:p>
        </w:tc>
      </w:tr>
      <w:tr w:rsidR="000C4F16" w:rsidRPr="000C4F16" w14:paraId="0513467D" w14:textId="77777777" w:rsidTr="00056F55">
        <w:trPr>
          <w:trHeight w:val="315"/>
        </w:trPr>
        <w:tc>
          <w:tcPr>
            <w:tcW w:w="3793" w:type="pct"/>
            <w:tcBorders>
              <w:top w:val="nil"/>
              <w:left w:val="single" w:sz="8" w:space="0" w:color="FFFFFF"/>
              <w:bottom w:val="single" w:sz="8" w:space="0" w:color="FFFFFF"/>
              <w:right w:val="single" w:sz="12" w:space="0" w:color="FFFFFF"/>
            </w:tcBorders>
            <w:shd w:val="clear" w:color="000000" w:fill="008C9B"/>
            <w:vAlign w:val="center"/>
            <w:hideMark/>
          </w:tcPr>
          <w:p w14:paraId="25C36054" w14:textId="77777777" w:rsidR="000C4F16" w:rsidRPr="000C4F16" w:rsidRDefault="000C4F16" w:rsidP="000C4F16">
            <w:pPr>
              <w:spacing w:after="0"/>
              <w:rPr>
                <w:rFonts w:ascii="Calibri" w:eastAsia="Times New Roman" w:hAnsi="Calibri"/>
                <w:color w:val="FFFFFF"/>
                <w:sz w:val="20"/>
                <w:lang w:eastAsia="en-GB"/>
              </w:rPr>
            </w:pPr>
            <w:r w:rsidRPr="000C4F16">
              <w:rPr>
                <w:rFonts w:ascii="Calibri" w:eastAsia="Times New Roman" w:hAnsi="Calibri"/>
                <w:color w:val="FFFFFF"/>
                <w:sz w:val="20"/>
                <w:lang w:eastAsia="en-GB"/>
              </w:rPr>
              <w:t>Construction</w:t>
            </w:r>
          </w:p>
        </w:tc>
        <w:tc>
          <w:tcPr>
            <w:tcW w:w="374" w:type="pct"/>
            <w:tcBorders>
              <w:top w:val="nil"/>
              <w:left w:val="nil"/>
              <w:bottom w:val="single" w:sz="8" w:space="0" w:color="FFFFFF"/>
              <w:right w:val="single" w:sz="8" w:space="0" w:color="FFFFFF"/>
            </w:tcBorders>
            <w:shd w:val="clear" w:color="auto" w:fill="D0CECE"/>
            <w:vAlign w:val="center"/>
            <w:hideMark/>
          </w:tcPr>
          <w:p w14:paraId="53532D4A"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5.0%</w:t>
            </w:r>
          </w:p>
        </w:tc>
        <w:tc>
          <w:tcPr>
            <w:tcW w:w="374" w:type="pct"/>
            <w:tcBorders>
              <w:top w:val="nil"/>
              <w:left w:val="nil"/>
              <w:bottom w:val="single" w:sz="8" w:space="0" w:color="FFFFFF"/>
              <w:right w:val="single" w:sz="8" w:space="0" w:color="FFFFFF"/>
            </w:tcBorders>
            <w:shd w:val="clear" w:color="auto" w:fill="D0CECE"/>
            <w:vAlign w:val="center"/>
            <w:hideMark/>
          </w:tcPr>
          <w:p w14:paraId="38FD4141"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5.2%</w:t>
            </w:r>
          </w:p>
        </w:tc>
        <w:tc>
          <w:tcPr>
            <w:tcW w:w="458" w:type="pct"/>
            <w:tcBorders>
              <w:top w:val="nil"/>
              <w:left w:val="nil"/>
              <w:bottom w:val="single" w:sz="8" w:space="0" w:color="FFFFFF"/>
              <w:right w:val="single" w:sz="8" w:space="0" w:color="FFFFFF"/>
            </w:tcBorders>
            <w:shd w:val="clear" w:color="auto" w:fill="D0CECE"/>
            <w:vAlign w:val="center"/>
            <w:hideMark/>
          </w:tcPr>
          <w:p w14:paraId="66BD3E7E"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4.7%</w:t>
            </w:r>
          </w:p>
        </w:tc>
      </w:tr>
      <w:tr w:rsidR="000C4F16" w:rsidRPr="000C4F16" w14:paraId="0C0BFC46" w14:textId="77777777" w:rsidTr="00056F55">
        <w:trPr>
          <w:trHeight w:val="315"/>
        </w:trPr>
        <w:tc>
          <w:tcPr>
            <w:tcW w:w="3793" w:type="pct"/>
            <w:tcBorders>
              <w:top w:val="nil"/>
              <w:left w:val="single" w:sz="8" w:space="0" w:color="FFFFFF"/>
              <w:bottom w:val="single" w:sz="8" w:space="0" w:color="FFFFFF"/>
              <w:right w:val="single" w:sz="12" w:space="0" w:color="FFFFFF"/>
            </w:tcBorders>
            <w:shd w:val="clear" w:color="000000" w:fill="008C9B"/>
            <w:vAlign w:val="center"/>
            <w:hideMark/>
          </w:tcPr>
          <w:p w14:paraId="4F83CD4D" w14:textId="77777777" w:rsidR="000C4F16" w:rsidRPr="000C4F16" w:rsidRDefault="000C4F16" w:rsidP="000C4F16">
            <w:pPr>
              <w:spacing w:after="0"/>
              <w:rPr>
                <w:rFonts w:ascii="Calibri" w:eastAsia="Times New Roman" w:hAnsi="Calibri"/>
                <w:b/>
                <w:color w:val="FFFFFF"/>
                <w:sz w:val="20"/>
                <w:lang w:eastAsia="en-GB"/>
              </w:rPr>
            </w:pPr>
            <w:r w:rsidRPr="000C4F16">
              <w:rPr>
                <w:rFonts w:ascii="Calibri" w:eastAsia="Times New Roman" w:hAnsi="Calibri"/>
                <w:b/>
                <w:color w:val="FFFFFF"/>
                <w:sz w:val="20"/>
                <w:lang w:eastAsia="en-GB"/>
              </w:rPr>
              <w:t>Wholesale and repair; transportation; accommodation and food</w:t>
            </w:r>
          </w:p>
        </w:tc>
        <w:tc>
          <w:tcPr>
            <w:tcW w:w="374" w:type="pct"/>
            <w:tcBorders>
              <w:top w:val="nil"/>
              <w:left w:val="nil"/>
              <w:bottom w:val="single" w:sz="8" w:space="0" w:color="FFFFFF"/>
              <w:right w:val="single" w:sz="8" w:space="0" w:color="FFFFFF"/>
            </w:tcBorders>
            <w:shd w:val="clear" w:color="auto" w:fill="E7EEEF"/>
            <w:vAlign w:val="center"/>
            <w:hideMark/>
          </w:tcPr>
          <w:p w14:paraId="0E67DD0A" w14:textId="77777777" w:rsidR="000C4F16" w:rsidRPr="000C4F16" w:rsidRDefault="000C4F16" w:rsidP="000C4F16">
            <w:pPr>
              <w:spacing w:after="0"/>
              <w:jc w:val="center"/>
              <w:rPr>
                <w:rFonts w:ascii="Calibri" w:eastAsia="Times New Roman" w:hAnsi="Calibri"/>
                <w:b/>
                <w:color w:val="000000"/>
                <w:sz w:val="20"/>
                <w:lang w:eastAsia="en-GB"/>
              </w:rPr>
            </w:pPr>
            <w:r w:rsidRPr="000C4F16">
              <w:rPr>
                <w:rFonts w:ascii="Calibri" w:eastAsia="Times New Roman" w:hAnsi="Calibri"/>
                <w:b/>
                <w:color w:val="000000"/>
                <w:sz w:val="20"/>
                <w:lang w:eastAsia="en-GB"/>
              </w:rPr>
              <w:t>29.1%</w:t>
            </w:r>
          </w:p>
        </w:tc>
        <w:tc>
          <w:tcPr>
            <w:tcW w:w="374" w:type="pct"/>
            <w:tcBorders>
              <w:top w:val="nil"/>
              <w:left w:val="nil"/>
              <w:bottom w:val="single" w:sz="8" w:space="0" w:color="FFFFFF"/>
              <w:right w:val="single" w:sz="8" w:space="0" w:color="FFFFFF"/>
            </w:tcBorders>
            <w:shd w:val="clear" w:color="auto" w:fill="E7EEEF"/>
            <w:vAlign w:val="center"/>
            <w:hideMark/>
          </w:tcPr>
          <w:p w14:paraId="419788D9" w14:textId="77777777" w:rsidR="000C4F16" w:rsidRPr="000C4F16" w:rsidRDefault="000C4F16" w:rsidP="000C4F16">
            <w:pPr>
              <w:spacing w:after="0"/>
              <w:jc w:val="center"/>
              <w:rPr>
                <w:rFonts w:ascii="Calibri" w:eastAsia="Times New Roman" w:hAnsi="Calibri"/>
                <w:b/>
                <w:color w:val="000000"/>
                <w:sz w:val="20"/>
                <w:lang w:eastAsia="en-GB"/>
              </w:rPr>
            </w:pPr>
            <w:r w:rsidRPr="000C4F16">
              <w:rPr>
                <w:rFonts w:ascii="Calibri" w:eastAsia="Times New Roman" w:hAnsi="Calibri"/>
                <w:b/>
                <w:color w:val="000000"/>
                <w:sz w:val="20"/>
                <w:lang w:eastAsia="en-GB"/>
              </w:rPr>
              <w:t>28.0%</w:t>
            </w:r>
          </w:p>
        </w:tc>
        <w:tc>
          <w:tcPr>
            <w:tcW w:w="458" w:type="pct"/>
            <w:tcBorders>
              <w:top w:val="nil"/>
              <w:left w:val="nil"/>
              <w:bottom w:val="single" w:sz="8" w:space="0" w:color="FFFFFF"/>
              <w:right w:val="single" w:sz="8" w:space="0" w:color="FFFFFF"/>
            </w:tcBorders>
            <w:shd w:val="clear" w:color="auto" w:fill="E7EEEF"/>
            <w:vAlign w:val="center"/>
            <w:hideMark/>
          </w:tcPr>
          <w:p w14:paraId="6D69B9DB" w14:textId="77777777" w:rsidR="000C4F16" w:rsidRPr="000C4F16" w:rsidRDefault="000C4F16" w:rsidP="000C4F16">
            <w:pPr>
              <w:spacing w:after="0"/>
              <w:jc w:val="center"/>
              <w:rPr>
                <w:rFonts w:ascii="Calibri" w:eastAsia="Times New Roman" w:hAnsi="Calibri"/>
                <w:b/>
                <w:color w:val="000000"/>
                <w:sz w:val="20"/>
                <w:lang w:eastAsia="en-GB"/>
              </w:rPr>
            </w:pPr>
            <w:r w:rsidRPr="000C4F16">
              <w:rPr>
                <w:rFonts w:ascii="Calibri" w:eastAsia="Times New Roman" w:hAnsi="Calibri"/>
                <w:b/>
                <w:color w:val="000000"/>
                <w:sz w:val="20"/>
                <w:lang w:eastAsia="en-GB"/>
              </w:rPr>
              <w:t>27.4%</w:t>
            </w:r>
          </w:p>
        </w:tc>
      </w:tr>
      <w:tr w:rsidR="000C4F16" w:rsidRPr="000C4F16" w14:paraId="63B3ABFF" w14:textId="77777777" w:rsidTr="00056F55">
        <w:trPr>
          <w:trHeight w:val="315"/>
        </w:trPr>
        <w:tc>
          <w:tcPr>
            <w:tcW w:w="3793" w:type="pct"/>
            <w:tcBorders>
              <w:top w:val="nil"/>
              <w:left w:val="single" w:sz="8" w:space="0" w:color="FFFFFF"/>
              <w:bottom w:val="single" w:sz="8" w:space="0" w:color="FFFFFF"/>
              <w:right w:val="single" w:sz="12" w:space="0" w:color="FFFFFF"/>
            </w:tcBorders>
            <w:shd w:val="clear" w:color="000000" w:fill="008C9B"/>
            <w:vAlign w:val="center"/>
            <w:hideMark/>
          </w:tcPr>
          <w:p w14:paraId="42D9CAB1" w14:textId="77777777" w:rsidR="000C4F16" w:rsidRPr="000C4F16" w:rsidRDefault="000C4F16" w:rsidP="000C4F16">
            <w:pPr>
              <w:spacing w:after="0"/>
              <w:rPr>
                <w:rFonts w:ascii="Calibri" w:eastAsia="Times New Roman" w:hAnsi="Calibri"/>
                <w:color w:val="FFFFFF"/>
                <w:sz w:val="20"/>
                <w:lang w:eastAsia="en-GB"/>
              </w:rPr>
            </w:pPr>
            <w:r w:rsidRPr="000C4F16">
              <w:rPr>
                <w:rFonts w:ascii="Calibri" w:eastAsia="Times New Roman" w:hAnsi="Calibri"/>
                <w:color w:val="FFFFFF"/>
                <w:sz w:val="20"/>
                <w:lang w:eastAsia="en-GB"/>
              </w:rPr>
              <w:t>Information and communication</w:t>
            </w:r>
          </w:p>
        </w:tc>
        <w:tc>
          <w:tcPr>
            <w:tcW w:w="374" w:type="pct"/>
            <w:tcBorders>
              <w:top w:val="nil"/>
              <w:left w:val="nil"/>
              <w:bottom w:val="single" w:sz="8" w:space="0" w:color="FFFFFF"/>
              <w:right w:val="single" w:sz="8" w:space="0" w:color="FFFFFF"/>
            </w:tcBorders>
            <w:shd w:val="clear" w:color="auto" w:fill="D0CECE"/>
            <w:vAlign w:val="center"/>
            <w:hideMark/>
          </w:tcPr>
          <w:p w14:paraId="3841CA28"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5.0%</w:t>
            </w:r>
          </w:p>
        </w:tc>
        <w:tc>
          <w:tcPr>
            <w:tcW w:w="374" w:type="pct"/>
            <w:tcBorders>
              <w:top w:val="nil"/>
              <w:left w:val="nil"/>
              <w:bottom w:val="single" w:sz="8" w:space="0" w:color="FFFFFF"/>
              <w:right w:val="single" w:sz="8" w:space="0" w:color="FFFFFF"/>
            </w:tcBorders>
            <w:shd w:val="clear" w:color="auto" w:fill="D0CECE"/>
            <w:vAlign w:val="center"/>
            <w:hideMark/>
          </w:tcPr>
          <w:p w14:paraId="4EF542E9"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6.0%</w:t>
            </w:r>
          </w:p>
        </w:tc>
        <w:tc>
          <w:tcPr>
            <w:tcW w:w="458" w:type="pct"/>
            <w:tcBorders>
              <w:top w:val="nil"/>
              <w:left w:val="nil"/>
              <w:bottom w:val="single" w:sz="8" w:space="0" w:color="FFFFFF"/>
              <w:right w:val="single" w:sz="8" w:space="0" w:color="FFFFFF"/>
            </w:tcBorders>
            <w:shd w:val="clear" w:color="auto" w:fill="D0CECE"/>
            <w:vAlign w:val="center"/>
            <w:hideMark/>
          </w:tcPr>
          <w:p w14:paraId="3214D171"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4.1%</w:t>
            </w:r>
          </w:p>
        </w:tc>
      </w:tr>
      <w:tr w:rsidR="000C4F16" w:rsidRPr="000C4F16" w14:paraId="42D2B353" w14:textId="77777777" w:rsidTr="00056F55">
        <w:trPr>
          <w:trHeight w:val="315"/>
        </w:trPr>
        <w:tc>
          <w:tcPr>
            <w:tcW w:w="3793" w:type="pct"/>
            <w:tcBorders>
              <w:top w:val="nil"/>
              <w:left w:val="single" w:sz="8" w:space="0" w:color="FFFFFF"/>
              <w:bottom w:val="single" w:sz="8" w:space="0" w:color="FFFFFF"/>
              <w:right w:val="single" w:sz="12" w:space="0" w:color="FFFFFF"/>
            </w:tcBorders>
            <w:shd w:val="clear" w:color="000000" w:fill="008C9B"/>
            <w:vAlign w:val="center"/>
            <w:hideMark/>
          </w:tcPr>
          <w:p w14:paraId="7EDA4E91" w14:textId="77777777" w:rsidR="000C4F16" w:rsidRPr="000C4F16" w:rsidRDefault="000C4F16" w:rsidP="000C4F16">
            <w:pPr>
              <w:spacing w:after="0"/>
              <w:rPr>
                <w:rFonts w:ascii="Calibri" w:eastAsia="Times New Roman" w:hAnsi="Calibri"/>
                <w:color w:val="FFFFFF"/>
                <w:sz w:val="20"/>
                <w:lang w:eastAsia="en-GB"/>
              </w:rPr>
            </w:pPr>
            <w:r w:rsidRPr="000C4F16">
              <w:rPr>
                <w:rFonts w:ascii="Calibri" w:eastAsia="Times New Roman" w:hAnsi="Calibri"/>
                <w:color w:val="FFFFFF"/>
                <w:sz w:val="20"/>
                <w:lang w:eastAsia="en-GB"/>
              </w:rPr>
              <w:t>Financial and insurance activities</w:t>
            </w:r>
          </w:p>
        </w:tc>
        <w:tc>
          <w:tcPr>
            <w:tcW w:w="374" w:type="pct"/>
            <w:tcBorders>
              <w:top w:val="nil"/>
              <w:left w:val="nil"/>
              <w:bottom w:val="single" w:sz="8" w:space="0" w:color="FFFFFF"/>
              <w:right w:val="single" w:sz="8" w:space="0" w:color="FFFFFF"/>
            </w:tcBorders>
            <w:shd w:val="clear" w:color="auto" w:fill="E7EEEF"/>
            <w:vAlign w:val="center"/>
            <w:hideMark/>
          </w:tcPr>
          <w:p w14:paraId="18051753"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2.6%</w:t>
            </w:r>
          </w:p>
        </w:tc>
        <w:tc>
          <w:tcPr>
            <w:tcW w:w="374" w:type="pct"/>
            <w:tcBorders>
              <w:top w:val="nil"/>
              <w:left w:val="nil"/>
              <w:bottom w:val="single" w:sz="8" w:space="0" w:color="FFFFFF"/>
              <w:right w:val="single" w:sz="8" w:space="0" w:color="FFFFFF"/>
            </w:tcBorders>
            <w:shd w:val="clear" w:color="auto" w:fill="E7EEEF"/>
            <w:vAlign w:val="center"/>
            <w:hideMark/>
          </w:tcPr>
          <w:p w14:paraId="165C8E5E"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2.8%</w:t>
            </w:r>
          </w:p>
        </w:tc>
        <w:tc>
          <w:tcPr>
            <w:tcW w:w="458" w:type="pct"/>
            <w:tcBorders>
              <w:top w:val="nil"/>
              <w:left w:val="nil"/>
              <w:bottom w:val="single" w:sz="8" w:space="0" w:color="FFFFFF"/>
              <w:right w:val="single" w:sz="8" w:space="0" w:color="FFFFFF"/>
            </w:tcBorders>
            <w:shd w:val="clear" w:color="auto" w:fill="E7EEEF"/>
            <w:vAlign w:val="center"/>
            <w:hideMark/>
          </w:tcPr>
          <w:p w14:paraId="77CE5D00"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3.5%</w:t>
            </w:r>
          </w:p>
        </w:tc>
      </w:tr>
      <w:tr w:rsidR="000C4F16" w:rsidRPr="000C4F16" w14:paraId="6D96F0D5" w14:textId="77777777" w:rsidTr="00056F55">
        <w:trPr>
          <w:trHeight w:val="315"/>
        </w:trPr>
        <w:tc>
          <w:tcPr>
            <w:tcW w:w="3793" w:type="pct"/>
            <w:tcBorders>
              <w:top w:val="nil"/>
              <w:left w:val="single" w:sz="8" w:space="0" w:color="FFFFFF"/>
              <w:bottom w:val="single" w:sz="8" w:space="0" w:color="FFFFFF"/>
              <w:right w:val="single" w:sz="12" w:space="0" w:color="FFFFFF"/>
            </w:tcBorders>
            <w:shd w:val="clear" w:color="000000" w:fill="008C9B"/>
            <w:vAlign w:val="center"/>
            <w:hideMark/>
          </w:tcPr>
          <w:p w14:paraId="28364767" w14:textId="77777777" w:rsidR="000C4F16" w:rsidRPr="000C4F16" w:rsidRDefault="000C4F16" w:rsidP="000C4F16">
            <w:pPr>
              <w:spacing w:after="0"/>
              <w:rPr>
                <w:rFonts w:ascii="Calibri" w:eastAsia="Times New Roman" w:hAnsi="Calibri"/>
                <w:color w:val="FFFFFF"/>
                <w:sz w:val="20"/>
                <w:lang w:eastAsia="en-GB"/>
              </w:rPr>
            </w:pPr>
            <w:r w:rsidRPr="000C4F16">
              <w:rPr>
                <w:rFonts w:ascii="Calibri" w:eastAsia="Times New Roman" w:hAnsi="Calibri"/>
                <w:color w:val="FFFFFF"/>
                <w:sz w:val="20"/>
                <w:lang w:eastAsia="en-GB"/>
              </w:rPr>
              <w:t>Real estate activities</w:t>
            </w:r>
          </w:p>
        </w:tc>
        <w:tc>
          <w:tcPr>
            <w:tcW w:w="374" w:type="pct"/>
            <w:tcBorders>
              <w:top w:val="nil"/>
              <w:left w:val="nil"/>
              <w:bottom w:val="single" w:sz="8" w:space="0" w:color="FFFFFF"/>
              <w:right w:val="single" w:sz="8" w:space="0" w:color="FFFFFF"/>
            </w:tcBorders>
            <w:shd w:val="clear" w:color="auto" w:fill="D0CECE"/>
            <w:vAlign w:val="center"/>
            <w:hideMark/>
          </w:tcPr>
          <w:p w14:paraId="455E0280"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1.7%</w:t>
            </w:r>
          </w:p>
        </w:tc>
        <w:tc>
          <w:tcPr>
            <w:tcW w:w="374" w:type="pct"/>
            <w:tcBorders>
              <w:top w:val="nil"/>
              <w:left w:val="nil"/>
              <w:bottom w:val="single" w:sz="8" w:space="0" w:color="FFFFFF"/>
              <w:right w:val="single" w:sz="8" w:space="0" w:color="FFFFFF"/>
            </w:tcBorders>
            <w:shd w:val="clear" w:color="auto" w:fill="D0CECE"/>
            <w:vAlign w:val="center"/>
            <w:hideMark/>
          </w:tcPr>
          <w:p w14:paraId="4292B84C"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2.0%</w:t>
            </w:r>
          </w:p>
        </w:tc>
        <w:tc>
          <w:tcPr>
            <w:tcW w:w="458" w:type="pct"/>
            <w:tcBorders>
              <w:top w:val="nil"/>
              <w:left w:val="nil"/>
              <w:bottom w:val="single" w:sz="8" w:space="0" w:color="FFFFFF"/>
              <w:right w:val="single" w:sz="8" w:space="0" w:color="FFFFFF"/>
            </w:tcBorders>
            <w:shd w:val="clear" w:color="auto" w:fill="D0CECE"/>
            <w:vAlign w:val="center"/>
            <w:hideMark/>
          </w:tcPr>
          <w:p w14:paraId="11B5269C"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1.7%</w:t>
            </w:r>
          </w:p>
        </w:tc>
      </w:tr>
      <w:tr w:rsidR="000C4F16" w:rsidRPr="000C4F16" w14:paraId="70D71440" w14:textId="77777777" w:rsidTr="00056F55">
        <w:trPr>
          <w:trHeight w:val="315"/>
        </w:trPr>
        <w:tc>
          <w:tcPr>
            <w:tcW w:w="3793" w:type="pct"/>
            <w:tcBorders>
              <w:top w:val="nil"/>
              <w:left w:val="single" w:sz="8" w:space="0" w:color="FFFFFF"/>
              <w:bottom w:val="single" w:sz="8" w:space="0" w:color="FFFFFF"/>
              <w:right w:val="single" w:sz="12" w:space="0" w:color="FFFFFF"/>
            </w:tcBorders>
            <w:shd w:val="clear" w:color="000000" w:fill="008C9B"/>
            <w:vAlign w:val="center"/>
            <w:hideMark/>
          </w:tcPr>
          <w:p w14:paraId="52A20421" w14:textId="77777777" w:rsidR="000C4F16" w:rsidRPr="000C4F16" w:rsidRDefault="000C4F16" w:rsidP="000C4F16">
            <w:pPr>
              <w:spacing w:after="0"/>
              <w:rPr>
                <w:rFonts w:ascii="Calibri" w:eastAsia="Times New Roman" w:hAnsi="Calibri"/>
                <w:color w:val="FFFFFF"/>
                <w:sz w:val="20"/>
                <w:lang w:eastAsia="en-GB"/>
              </w:rPr>
            </w:pPr>
            <w:r w:rsidRPr="000C4F16">
              <w:rPr>
                <w:rFonts w:ascii="Calibri" w:eastAsia="Times New Roman" w:hAnsi="Calibri"/>
                <w:color w:val="FFFFFF"/>
                <w:sz w:val="20"/>
                <w:lang w:eastAsia="en-GB"/>
              </w:rPr>
              <w:t>Professional, scientific and technical, Administrative</w:t>
            </w:r>
          </w:p>
        </w:tc>
        <w:tc>
          <w:tcPr>
            <w:tcW w:w="374" w:type="pct"/>
            <w:tcBorders>
              <w:top w:val="nil"/>
              <w:left w:val="nil"/>
              <w:bottom w:val="single" w:sz="8" w:space="0" w:color="FFFFFF"/>
              <w:right w:val="single" w:sz="8" w:space="0" w:color="FFFFFF"/>
            </w:tcBorders>
            <w:shd w:val="clear" w:color="auto" w:fill="E7EEEF"/>
            <w:vAlign w:val="center"/>
            <w:hideMark/>
          </w:tcPr>
          <w:p w14:paraId="2C853D6E"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15.8%</w:t>
            </w:r>
          </w:p>
        </w:tc>
        <w:tc>
          <w:tcPr>
            <w:tcW w:w="374" w:type="pct"/>
            <w:tcBorders>
              <w:top w:val="nil"/>
              <w:left w:val="nil"/>
              <w:bottom w:val="single" w:sz="8" w:space="0" w:color="FFFFFF"/>
              <w:right w:val="single" w:sz="8" w:space="0" w:color="FFFFFF"/>
            </w:tcBorders>
            <w:shd w:val="clear" w:color="auto" w:fill="E7EEEF"/>
            <w:vAlign w:val="center"/>
            <w:hideMark/>
          </w:tcPr>
          <w:p w14:paraId="0E927DD4"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18.0%</w:t>
            </w:r>
          </w:p>
        </w:tc>
        <w:tc>
          <w:tcPr>
            <w:tcW w:w="458" w:type="pct"/>
            <w:tcBorders>
              <w:top w:val="nil"/>
              <w:left w:val="nil"/>
              <w:bottom w:val="single" w:sz="8" w:space="0" w:color="FFFFFF"/>
              <w:right w:val="single" w:sz="8" w:space="0" w:color="FFFFFF"/>
            </w:tcBorders>
            <w:shd w:val="clear" w:color="auto" w:fill="E7EEEF"/>
            <w:vAlign w:val="center"/>
            <w:hideMark/>
          </w:tcPr>
          <w:p w14:paraId="24F1F1D4"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17.5%</w:t>
            </w:r>
          </w:p>
        </w:tc>
      </w:tr>
      <w:tr w:rsidR="000C4F16" w:rsidRPr="000C4F16" w14:paraId="30165F80" w14:textId="77777777" w:rsidTr="00056F55">
        <w:trPr>
          <w:trHeight w:val="315"/>
        </w:trPr>
        <w:tc>
          <w:tcPr>
            <w:tcW w:w="3793" w:type="pct"/>
            <w:tcBorders>
              <w:top w:val="nil"/>
              <w:left w:val="single" w:sz="8" w:space="0" w:color="FFFFFF"/>
              <w:bottom w:val="single" w:sz="8" w:space="0" w:color="FFFFFF"/>
              <w:right w:val="single" w:sz="12" w:space="0" w:color="FFFFFF"/>
            </w:tcBorders>
            <w:shd w:val="clear" w:color="000000" w:fill="008C9B"/>
            <w:vAlign w:val="center"/>
            <w:hideMark/>
          </w:tcPr>
          <w:p w14:paraId="0630CAF9" w14:textId="77777777" w:rsidR="000C4F16" w:rsidRPr="000C4F16" w:rsidRDefault="000C4F16" w:rsidP="000C4F16">
            <w:pPr>
              <w:spacing w:after="0"/>
              <w:rPr>
                <w:rFonts w:ascii="Calibri" w:eastAsia="Times New Roman" w:hAnsi="Calibri"/>
                <w:b/>
                <w:color w:val="FFFFFF"/>
                <w:sz w:val="20"/>
                <w:lang w:eastAsia="en-GB"/>
              </w:rPr>
            </w:pPr>
            <w:r w:rsidRPr="000C4F16">
              <w:rPr>
                <w:rFonts w:ascii="Calibri" w:eastAsia="Times New Roman" w:hAnsi="Calibri"/>
                <w:b/>
                <w:color w:val="FFFFFF"/>
                <w:sz w:val="20"/>
                <w:lang w:eastAsia="en-GB"/>
              </w:rPr>
              <w:t>Public Administration and Defence, Education and Health</w:t>
            </w:r>
          </w:p>
        </w:tc>
        <w:tc>
          <w:tcPr>
            <w:tcW w:w="374" w:type="pct"/>
            <w:tcBorders>
              <w:top w:val="nil"/>
              <w:left w:val="nil"/>
              <w:bottom w:val="single" w:sz="8" w:space="0" w:color="FFFFFF"/>
              <w:right w:val="single" w:sz="8" w:space="0" w:color="FFFFFF"/>
            </w:tcBorders>
            <w:shd w:val="clear" w:color="auto" w:fill="D0CECE"/>
            <w:vAlign w:val="center"/>
            <w:hideMark/>
          </w:tcPr>
          <w:p w14:paraId="18E75F57" w14:textId="77777777" w:rsidR="000C4F16" w:rsidRPr="000C4F16" w:rsidRDefault="000C4F16" w:rsidP="000C4F16">
            <w:pPr>
              <w:spacing w:after="0"/>
              <w:jc w:val="center"/>
              <w:rPr>
                <w:rFonts w:ascii="Calibri" w:eastAsia="Times New Roman" w:hAnsi="Calibri"/>
                <w:b/>
                <w:color w:val="000000"/>
                <w:sz w:val="20"/>
                <w:lang w:eastAsia="en-GB"/>
              </w:rPr>
            </w:pPr>
            <w:r w:rsidRPr="000C4F16">
              <w:rPr>
                <w:rFonts w:ascii="Calibri" w:eastAsia="Times New Roman" w:hAnsi="Calibri"/>
                <w:b/>
                <w:color w:val="000000"/>
                <w:sz w:val="20"/>
                <w:lang w:eastAsia="en-GB"/>
              </w:rPr>
              <w:t>27.2%</w:t>
            </w:r>
          </w:p>
        </w:tc>
        <w:tc>
          <w:tcPr>
            <w:tcW w:w="374" w:type="pct"/>
            <w:tcBorders>
              <w:top w:val="nil"/>
              <w:left w:val="nil"/>
              <w:bottom w:val="single" w:sz="8" w:space="0" w:color="FFFFFF"/>
              <w:right w:val="single" w:sz="8" w:space="0" w:color="FFFFFF"/>
            </w:tcBorders>
            <w:shd w:val="clear" w:color="auto" w:fill="D0CECE"/>
            <w:vAlign w:val="center"/>
            <w:hideMark/>
          </w:tcPr>
          <w:p w14:paraId="7F415EE0" w14:textId="77777777" w:rsidR="000C4F16" w:rsidRPr="000C4F16" w:rsidRDefault="000C4F16" w:rsidP="000C4F16">
            <w:pPr>
              <w:spacing w:after="0"/>
              <w:jc w:val="center"/>
              <w:rPr>
                <w:rFonts w:ascii="Calibri" w:eastAsia="Times New Roman" w:hAnsi="Calibri"/>
                <w:b/>
                <w:color w:val="000000"/>
                <w:sz w:val="20"/>
                <w:lang w:eastAsia="en-GB"/>
              </w:rPr>
            </w:pPr>
            <w:r w:rsidRPr="000C4F16">
              <w:rPr>
                <w:rFonts w:ascii="Calibri" w:eastAsia="Times New Roman" w:hAnsi="Calibri"/>
                <w:b/>
                <w:color w:val="000000"/>
                <w:sz w:val="20"/>
                <w:lang w:eastAsia="en-GB"/>
              </w:rPr>
              <w:t>24.7%</w:t>
            </w:r>
          </w:p>
        </w:tc>
        <w:tc>
          <w:tcPr>
            <w:tcW w:w="458" w:type="pct"/>
            <w:tcBorders>
              <w:top w:val="nil"/>
              <w:left w:val="nil"/>
              <w:bottom w:val="single" w:sz="8" w:space="0" w:color="FFFFFF"/>
              <w:right w:val="single" w:sz="8" w:space="0" w:color="FFFFFF"/>
            </w:tcBorders>
            <w:shd w:val="clear" w:color="auto" w:fill="D0CECE"/>
            <w:vAlign w:val="center"/>
            <w:hideMark/>
          </w:tcPr>
          <w:p w14:paraId="09E1A227" w14:textId="77777777" w:rsidR="000C4F16" w:rsidRPr="000C4F16" w:rsidRDefault="000C4F16" w:rsidP="000C4F16">
            <w:pPr>
              <w:spacing w:after="0"/>
              <w:jc w:val="center"/>
              <w:rPr>
                <w:rFonts w:ascii="Calibri" w:eastAsia="Times New Roman" w:hAnsi="Calibri"/>
                <w:b/>
                <w:color w:val="000000"/>
                <w:sz w:val="20"/>
                <w:lang w:eastAsia="en-GB"/>
              </w:rPr>
            </w:pPr>
            <w:r w:rsidRPr="000C4F16">
              <w:rPr>
                <w:rFonts w:ascii="Calibri" w:eastAsia="Times New Roman" w:hAnsi="Calibri"/>
                <w:b/>
                <w:color w:val="000000"/>
                <w:sz w:val="20"/>
                <w:lang w:eastAsia="en-GB"/>
              </w:rPr>
              <w:t>25.7%</w:t>
            </w:r>
          </w:p>
        </w:tc>
      </w:tr>
      <w:tr w:rsidR="000C4F16" w:rsidRPr="000C4F16" w14:paraId="1F21CC6F" w14:textId="77777777" w:rsidTr="00056F55">
        <w:trPr>
          <w:trHeight w:val="315"/>
        </w:trPr>
        <w:tc>
          <w:tcPr>
            <w:tcW w:w="3793" w:type="pct"/>
            <w:tcBorders>
              <w:top w:val="nil"/>
              <w:left w:val="single" w:sz="8" w:space="0" w:color="FFFFFF"/>
              <w:bottom w:val="single" w:sz="8" w:space="0" w:color="FFFFFF"/>
              <w:right w:val="single" w:sz="12" w:space="0" w:color="FFFFFF"/>
            </w:tcBorders>
            <w:shd w:val="clear" w:color="000000" w:fill="008C9B"/>
            <w:vAlign w:val="center"/>
            <w:hideMark/>
          </w:tcPr>
          <w:p w14:paraId="655A8737" w14:textId="77777777" w:rsidR="000C4F16" w:rsidRPr="000C4F16" w:rsidRDefault="000C4F16" w:rsidP="000C4F16">
            <w:pPr>
              <w:spacing w:after="0"/>
              <w:rPr>
                <w:rFonts w:ascii="Calibri" w:eastAsia="Times New Roman" w:hAnsi="Calibri"/>
                <w:color w:val="FFFFFF"/>
                <w:sz w:val="20"/>
                <w:lang w:eastAsia="en-GB"/>
              </w:rPr>
            </w:pPr>
            <w:r w:rsidRPr="000C4F16">
              <w:rPr>
                <w:rFonts w:ascii="Calibri" w:eastAsia="Times New Roman" w:hAnsi="Calibri"/>
                <w:color w:val="FFFFFF"/>
                <w:sz w:val="20"/>
                <w:lang w:eastAsia="en-GB"/>
              </w:rPr>
              <w:t>Arts, entertainment and recreation, household and other services</w:t>
            </w:r>
          </w:p>
        </w:tc>
        <w:tc>
          <w:tcPr>
            <w:tcW w:w="374" w:type="pct"/>
            <w:tcBorders>
              <w:top w:val="nil"/>
              <w:left w:val="nil"/>
              <w:bottom w:val="single" w:sz="8" w:space="0" w:color="FFFFFF"/>
              <w:right w:val="single" w:sz="8" w:space="0" w:color="FFFFFF"/>
            </w:tcBorders>
            <w:shd w:val="clear" w:color="auto" w:fill="E7EEEF"/>
            <w:vAlign w:val="center"/>
            <w:hideMark/>
          </w:tcPr>
          <w:p w14:paraId="5D024164"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4.1%</w:t>
            </w:r>
          </w:p>
        </w:tc>
        <w:tc>
          <w:tcPr>
            <w:tcW w:w="374" w:type="pct"/>
            <w:tcBorders>
              <w:top w:val="nil"/>
              <w:left w:val="nil"/>
              <w:bottom w:val="single" w:sz="8" w:space="0" w:color="FFFFFF"/>
              <w:right w:val="single" w:sz="8" w:space="0" w:color="FFFFFF"/>
            </w:tcBorders>
            <w:shd w:val="clear" w:color="auto" w:fill="E7EEEF"/>
            <w:vAlign w:val="center"/>
            <w:hideMark/>
          </w:tcPr>
          <w:p w14:paraId="3A936F32"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4.9%</w:t>
            </w:r>
          </w:p>
        </w:tc>
        <w:tc>
          <w:tcPr>
            <w:tcW w:w="458" w:type="pct"/>
            <w:tcBorders>
              <w:top w:val="nil"/>
              <w:left w:val="nil"/>
              <w:bottom w:val="single" w:sz="8" w:space="0" w:color="FFFFFF"/>
              <w:right w:val="single" w:sz="8" w:space="0" w:color="FFFFFF"/>
            </w:tcBorders>
            <w:shd w:val="clear" w:color="auto" w:fill="E7EEEF"/>
            <w:vAlign w:val="center"/>
            <w:hideMark/>
          </w:tcPr>
          <w:p w14:paraId="451DB126" w14:textId="77777777" w:rsidR="000C4F16" w:rsidRPr="000C4F16" w:rsidRDefault="000C4F16" w:rsidP="000C4F16">
            <w:pPr>
              <w:spacing w:after="0"/>
              <w:jc w:val="center"/>
              <w:rPr>
                <w:rFonts w:ascii="Calibri" w:eastAsia="Times New Roman" w:hAnsi="Calibri"/>
                <w:color w:val="000000"/>
                <w:sz w:val="20"/>
                <w:lang w:eastAsia="en-GB"/>
              </w:rPr>
            </w:pPr>
            <w:r w:rsidRPr="000C4F16">
              <w:rPr>
                <w:rFonts w:ascii="Calibri" w:eastAsia="Times New Roman" w:hAnsi="Calibri"/>
                <w:color w:val="000000"/>
                <w:sz w:val="20"/>
                <w:lang w:eastAsia="en-GB"/>
              </w:rPr>
              <w:t>4.6%</w:t>
            </w:r>
          </w:p>
        </w:tc>
      </w:tr>
    </w:tbl>
    <w:p w14:paraId="088C1A05" w14:textId="77777777" w:rsidR="00D76FB5" w:rsidRDefault="00017CB2" w:rsidP="0024093B">
      <w:pPr>
        <w:keepNext/>
        <w:keepLines/>
        <w:spacing w:before="60" w:after="120"/>
        <w:jc w:val="right"/>
        <w:rPr>
          <w:i/>
          <w:sz w:val="18"/>
        </w:rPr>
      </w:pPr>
      <w:r>
        <w:rPr>
          <w:i/>
          <w:sz w:val="18"/>
        </w:rPr>
        <w:t xml:space="preserve">Note: </w:t>
      </w:r>
      <w:r w:rsidR="0052627D">
        <w:rPr>
          <w:i/>
          <w:sz w:val="18"/>
        </w:rPr>
        <w:t xml:space="preserve">Sector U has been excluded. </w:t>
      </w:r>
      <w:r w:rsidR="00D76FB5">
        <w:rPr>
          <w:i/>
          <w:sz w:val="18"/>
        </w:rPr>
        <w:t>Source: ONS</w:t>
      </w:r>
      <w:r>
        <w:rPr>
          <w:i/>
          <w:sz w:val="18"/>
        </w:rPr>
        <w:t xml:space="preserve"> NOMIS and Workforce Jobs</w:t>
      </w:r>
      <w:r w:rsidR="00D76FB5">
        <w:rPr>
          <w:i/>
          <w:sz w:val="18"/>
        </w:rPr>
        <w:t>, Cebr analysis</w:t>
      </w:r>
    </w:p>
    <w:p w14:paraId="75DF7C4B" w14:textId="77777777" w:rsidR="007A6BA2" w:rsidRDefault="007A6BA2" w:rsidP="0024093B">
      <w:pPr>
        <w:keepNext/>
        <w:keepLines/>
        <w:spacing w:before="60" w:after="120"/>
        <w:jc w:val="right"/>
        <w:rPr>
          <w:i/>
          <w:sz w:val="18"/>
        </w:rPr>
      </w:pPr>
    </w:p>
    <w:p w14:paraId="01CEE6A5" w14:textId="7B734295" w:rsidR="00423A10" w:rsidRDefault="00925004" w:rsidP="00FA434B">
      <w:r>
        <w:fldChar w:fldCharType="begin"/>
      </w:r>
      <w:r>
        <w:instrText xml:space="preserve"> REF _Ref485314961 \h </w:instrText>
      </w:r>
      <w:r>
        <w:fldChar w:fldCharType="separate"/>
      </w:r>
      <w:r w:rsidR="00D17FEA">
        <w:t xml:space="preserve">Table </w:t>
      </w:r>
      <w:r w:rsidR="00D17FEA">
        <w:rPr>
          <w:noProof/>
        </w:rPr>
        <w:t>2</w:t>
      </w:r>
      <w:r>
        <w:fldChar w:fldCharType="end"/>
      </w:r>
      <w:r w:rsidR="00BD4D7F">
        <w:t xml:space="preserve"> below shows the same industrial sector breakdown for GVA in 201</w:t>
      </w:r>
      <w:r w:rsidR="0024093B">
        <w:t>7</w:t>
      </w:r>
      <w:r w:rsidR="0024093B" w:rsidRPr="00F87296">
        <w:rPr>
          <w:rStyle w:val="FootnoteReference"/>
          <w:vertAlign w:val="baseline"/>
        </w:rPr>
        <w:footnoteReference w:id="10"/>
      </w:r>
      <w:r w:rsidR="00BD4D7F" w:rsidRPr="00F87296">
        <w:t>.</w:t>
      </w:r>
      <w:r w:rsidR="00BD4D7F">
        <w:t xml:space="preserve"> </w:t>
      </w:r>
      <w:r w:rsidR="0005284D">
        <w:t xml:space="preserve">In contrast to the employment breakdown shown in Table </w:t>
      </w:r>
      <w:r w:rsidR="007A6BA2">
        <w:t xml:space="preserve">2 above </w:t>
      </w:r>
      <w:r w:rsidR="0005284D">
        <w:t xml:space="preserve">the proportion of GVA </w:t>
      </w:r>
      <w:r w:rsidR="00B0151A">
        <w:t>attributed to</w:t>
      </w:r>
      <w:r w:rsidR="0005284D">
        <w:t xml:space="preserve"> combined Wholesale and repair, transportation and </w:t>
      </w:r>
      <w:r w:rsidR="0005284D" w:rsidRPr="0005284D">
        <w:t>accommodation and food</w:t>
      </w:r>
      <w:r w:rsidR="0005284D">
        <w:t xml:space="preserve"> sector is slightly lower than that of the South East and UK.</w:t>
      </w:r>
    </w:p>
    <w:p w14:paraId="7972FD96" w14:textId="64E5E74E" w:rsidR="00925004" w:rsidRDefault="00925004" w:rsidP="009421C5">
      <w:pPr>
        <w:pStyle w:val="Caption"/>
        <w:keepNext/>
        <w:spacing w:after="120"/>
      </w:pPr>
      <w:bookmarkStart w:id="23" w:name="_Ref485314961"/>
      <w:r>
        <w:t xml:space="preserve">Table </w:t>
      </w:r>
      <w:r w:rsidR="00F604FD">
        <w:rPr>
          <w:noProof/>
        </w:rPr>
        <w:fldChar w:fldCharType="begin"/>
      </w:r>
      <w:r w:rsidR="00F604FD">
        <w:rPr>
          <w:noProof/>
        </w:rPr>
        <w:instrText xml:space="preserve"> SEQ Table \* ARABIC </w:instrText>
      </w:r>
      <w:r w:rsidR="00F604FD">
        <w:rPr>
          <w:noProof/>
        </w:rPr>
        <w:fldChar w:fldCharType="separate"/>
      </w:r>
      <w:r w:rsidR="00D17FEA">
        <w:rPr>
          <w:noProof/>
        </w:rPr>
        <w:t>2</w:t>
      </w:r>
      <w:r w:rsidR="00F604FD">
        <w:rPr>
          <w:noProof/>
        </w:rPr>
        <w:fldChar w:fldCharType="end"/>
      </w:r>
      <w:bookmarkEnd w:id="23"/>
      <w:r>
        <w:t xml:space="preserve">: </w:t>
      </w:r>
      <w:r w:rsidRPr="000478E0">
        <w:t>Breakdown of GVA in 201</w:t>
      </w:r>
      <w:r w:rsidR="007A6BA2">
        <w:t>7</w:t>
      </w:r>
      <w:r w:rsidRPr="000478E0">
        <w:t xml:space="preserve"> by industrial sector: Solent LEP, South East and the UK</w:t>
      </w:r>
    </w:p>
    <w:tbl>
      <w:tblPr>
        <w:tblW w:w="5082" w:type="pct"/>
        <w:tblLayout w:type="fixed"/>
        <w:tblLook w:val="04A0" w:firstRow="1" w:lastRow="0" w:firstColumn="1" w:lastColumn="0" w:noHBand="0" w:noVBand="1"/>
      </w:tblPr>
      <w:tblGrid>
        <w:gridCol w:w="5659"/>
        <w:gridCol w:w="1370"/>
        <w:gridCol w:w="1372"/>
        <w:gridCol w:w="1370"/>
      </w:tblGrid>
      <w:tr w:rsidR="0024093B" w:rsidRPr="006A226D" w14:paraId="5C0A1182" w14:textId="77777777" w:rsidTr="009B2B3D">
        <w:trPr>
          <w:trHeight w:val="340"/>
        </w:trPr>
        <w:tc>
          <w:tcPr>
            <w:tcW w:w="2896" w:type="pct"/>
            <w:tcBorders>
              <w:top w:val="nil"/>
              <w:left w:val="single" w:sz="8" w:space="0" w:color="FFFFFF"/>
              <w:bottom w:val="single" w:sz="8" w:space="0" w:color="FFFFFF"/>
              <w:right w:val="single" w:sz="12" w:space="0" w:color="FFFFFF"/>
            </w:tcBorders>
            <w:shd w:val="clear" w:color="000000" w:fill="008C9B"/>
            <w:vAlign w:val="center"/>
            <w:hideMark/>
          </w:tcPr>
          <w:p w14:paraId="77FCD078" w14:textId="77777777" w:rsidR="006A226D" w:rsidRPr="006A226D" w:rsidRDefault="006A226D" w:rsidP="006A226D">
            <w:pPr>
              <w:spacing w:after="0"/>
              <w:rPr>
                <w:rFonts w:ascii="Calibri" w:eastAsia="Times New Roman" w:hAnsi="Calibri"/>
                <w:b/>
                <w:bCs/>
                <w:color w:val="FFFFFF"/>
                <w:sz w:val="18"/>
                <w:lang w:eastAsia="en-GB"/>
              </w:rPr>
            </w:pPr>
            <w:r w:rsidRPr="006A226D">
              <w:rPr>
                <w:rFonts w:ascii="Calibri" w:eastAsia="Times New Roman" w:hAnsi="Calibri"/>
                <w:b/>
                <w:bCs/>
                <w:color w:val="FFFFFF"/>
                <w:sz w:val="18"/>
                <w:lang w:eastAsia="en-GB"/>
              </w:rPr>
              <w:t> Sector</w:t>
            </w:r>
          </w:p>
        </w:tc>
        <w:tc>
          <w:tcPr>
            <w:tcW w:w="701" w:type="pct"/>
            <w:tcBorders>
              <w:top w:val="single" w:sz="8" w:space="0" w:color="FFFFFF"/>
              <w:left w:val="nil"/>
              <w:bottom w:val="single" w:sz="12" w:space="0" w:color="FFFFFF"/>
              <w:right w:val="single" w:sz="12" w:space="0" w:color="FFFFFF"/>
            </w:tcBorders>
            <w:shd w:val="clear" w:color="000000" w:fill="008C9B"/>
            <w:vAlign w:val="center"/>
            <w:hideMark/>
          </w:tcPr>
          <w:p w14:paraId="38D69217" w14:textId="77777777" w:rsidR="006A226D" w:rsidRPr="006A226D" w:rsidRDefault="006A226D" w:rsidP="006A226D">
            <w:pPr>
              <w:spacing w:after="0"/>
              <w:jc w:val="center"/>
              <w:rPr>
                <w:rFonts w:ascii="Calibri" w:eastAsia="Times New Roman" w:hAnsi="Calibri"/>
                <w:b/>
                <w:bCs/>
                <w:color w:val="FFFFFF"/>
                <w:sz w:val="18"/>
                <w:lang w:eastAsia="en-GB"/>
              </w:rPr>
            </w:pPr>
            <w:r w:rsidRPr="006A226D">
              <w:rPr>
                <w:rFonts w:ascii="Calibri" w:eastAsia="Times New Roman" w:hAnsi="Calibri"/>
                <w:b/>
                <w:bCs/>
                <w:color w:val="FFFFFF"/>
                <w:sz w:val="18"/>
                <w:lang w:eastAsia="en-GB"/>
              </w:rPr>
              <w:t>Solent LEP</w:t>
            </w:r>
          </w:p>
        </w:tc>
        <w:tc>
          <w:tcPr>
            <w:tcW w:w="702" w:type="pct"/>
            <w:tcBorders>
              <w:top w:val="single" w:sz="8" w:space="0" w:color="FFFFFF"/>
              <w:left w:val="nil"/>
              <w:bottom w:val="single" w:sz="12" w:space="0" w:color="FFFFFF"/>
              <w:right w:val="single" w:sz="12" w:space="0" w:color="FFFFFF"/>
            </w:tcBorders>
            <w:shd w:val="clear" w:color="000000" w:fill="008C9B"/>
            <w:vAlign w:val="center"/>
            <w:hideMark/>
          </w:tcPr>
          <w:p w14:paraId="1AAF57FF" w14:textId="77777777" w:rsidR="006A226D" w:rsidRPr="006A226D" w:rsidRDefault="006A226D" w:rsidP="006A226D">
            <w:pPr>
              <w:spacing w:after="0"/>
              <w:jc w:val="center"/>
              <w:rPr>
                <w:rFonts w:ascii="Calibri" w:eastAsia="Times New Roman" w:hAnsi="Calibri"/>
                <w:b/>
                <w:bCs/>
                <w:color w:val="FFFFFF"/>
                <w:sz w:val="18"/>
                <w:lang w:eastAsia="en-GB"/>
              </w:rPr>
            </w:pPr>
            <w:r w:rsidRPr="006A226D">
              <w:rPr>
                <w:rFonts w:ascii="Calibri" w:eastAsia="Times New Roman" w:hAnsi="Calibri"/>
                <w:b/>
                <w:bCs/>
                <w:color w:val="FFFFFF"/>
                <w:sz w:val="18"/>
                <w:lang w:eastAsia="en-GB"/>
              </w:rPr>
              <w:t>South East</w:t>
            </w:r>
          </w:p>
        </w:tc>
        <w:tc>
          <w:tcPr>
            <w:tcW w:w="702" w:type="pct"/>
            <w:tcBorders>
              <w:top w:val="single" w:sz="8" w:space="0" w:color="FFFFFF"/>
              <w:left w:val="nil"/>
              <w:bottom w:val="single" w:sz="12" w:space="0" w:color="FFFFFF"/>
              <w:right w:val="single" w:sz="12" w:space="0" w:color="FFFFFF"/>
            </w:tcBorders>
            <w:shd w:val="clear" w:color="000000" w:fill="008C9B"/>
            <w:vAlign w:val="center"/>
            <w:hideMark/>
          </w:tcPr>
          <w:p w14:paraId="53CF8ABB" w14:textId="7858C776" w:rsidR="006A226D" w:rsidRPr="006A226D" w:rsidRDefault="006A226D" w:rsidP="006A226D">
            <w:pPr>
              <w:spacing w:after="0"/>
              <w:jc w:val="center"/>
              <w:rPr>
                <w:rFonts w:ascii="Calibri" w:eastAsia="Times New Roman" w:hAnsi="Calibri"/>
                <w:b/>
                <w:bCs/>
                <w:color w:val="FFFFFF"/>
                <w:sz w:val="18"/>
                <w:lang w:eastAsia="en-GB"/>
              </w:rPr>
            </w:pPr>
            <w:r w:rsidRPr="006A226D">
              <w:rPr>
                <w:rFonts w:ascii="Calibri" w:eastAsia="Times New Roman" w:hAnsi="Calibri"/>
                <w:b/>
                <w:bCs/>
                <w:color w:val="FFFFFF"/>
                <w:sz w:val="18"/>
                <w:lang w:eastAsia="en-GB"/>
              </w:rPr>
              <w:t>United Kingdom</w:t>
            </w:r>
            <w:r w:rsidR="0024093B" w:rsidRPr="009B2B3D">
              <w:rPr>
                <w:rStyle w:val="FootnoteReference"/>
                <w:rFonts w:ascii="Calibri" w:eastAsia="Times New Roman" w:hAnsi="Calibri"/>
                <w:b/>
                <w:bCs/>
                <w:color w:val="FFFFFF" w:themeColor="background1"/>
                <w:sz w:val="18"/>
                <w:vertAlign w:val="baseline"/>
                <w:lang w:eastAsia="en-GB"/>
              </w:rPr>
              <w:footnoteReference w:id="11"/>
            </w:r>
          </w:p>
        </w:tc>
      </w:tr>
      <w:tr w:rsidR="0024093B" w:rsidRPr="006A226D" w14:paraId="4A63E3A9" w14:textId="77777777" w:rsidTr="009B2B3D">
        <w:trPr>
          <w:trHeight w:val="340"/>
        </w:trPr>
        <w:tc>
          <w:tcPr>
            <w:tcW w:w="2896" w:type="pct"/>
            <w:tcBorders>
              <w:top w:val="nil"/>
              <w:left w:val="single" w:sz="8" w:space="0" w:color="FFFFFF"/>
              <w:bottom w:val="single" w:sz="8" w:space="0" w:color="FFFFFF"/>
              <w:right w:val="single" w:sz="12" w:space="0" w:color="FFFFFF"/>
            </w:tcBorders>
            <w:shd w:val="clear" w:color="000000" w:fill="008C9B"/>
            <w:vAlign w:val="center"/>
            <w:hideMark/>
          </w:tcPr>
          <w:p w14:paraId="094E7F72" w14:textId="77777777" w:rsidR="006A226D" w:rsidRPr="009520D1" w:rsidRDefault="006A226D" w:rsidP="006A226D">
            <w:pPr>
              <w:spacing w:after="0"/>
              <w:rPr>
                <w:rFonts w:ascii="Calibri" w:eastAsia="Times New Roman" w:hAnsi="Calibri"/>
                <w:bCs/>
                <w:color w:val="FFFFFF"/>
                <w:sz w:val="20"/>
                <w:lang w:eastAsia="en-GB"/>
              </w:rPr>
            </w:pPr>
            <w:r w:rsidRPr="009520D1">
              <w:rPr>
                <w:rFonts w:ascii="Calibri" w:eastAsia="Times New Roman" w:hAnsi="Calibri"/>
                <w:bCs/>
                <w:color w:val="FFFFFF"/>
                <w:sz w:val="20"/>
                <w:lang w:eastAsia="en-GB"/>
              </w:rPr>
              <w:t>Agriculture, forestry and fishing</w:t>
            </w:r>
          </w:p>
        </w:tc>
        <w:tc>
          <w:tcPr>
            <w:tcW w:w="701" w:type="pct"/>
            <w:tcBorders>
              <w:top w:val="nil"/>
              <w:left w:val="nil"/>
              <w:bottom w:val="single" w:sz="8" w:space="0" w:color="FFFFFF"/>
              <w:right w:val="single" w:sz="8" w:space="0" w:color="FFFFFF"/>
            </w:tcBorders>
            <w:shd w:val="clear" w:color="auto" w:fill="E7EEEF"/>
            <w:vAlign w:val="center"/>
            <w:hideMark/>
          </w:tcPr>
          <w:p w14:paraId="237BFC60"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0.7%</w:t>
            </w:r>
          </w:p>
        </w:tc>
        <w:tc>
          <w:tcPr>
            <w:tcW w:w="702" w:type="pct"/>
            <w:tcBorders>
              <w:top w:val="nil"/>
              <w:left w:val="nil"/>
              <w:bottom w:val="single" w:sz="8" w:space="0" w:color="FFFFFF"/>
              <w:right w:val="single" w:sz="8" w:space="0" w:color="FFFFFF"/>
            </w:tcBorders>
            <w:shd w:val="clear" w:color="auto" w:fill="E7EEEF"/>
            <w:vAlign w:val="center"/>
            <w:hideMark/>
          </w:tcPr>
          <w:p w14:paraId="668DBF0C"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0.6%</w:t>
            </w:r>
          </w:p>
        </w:tc>
        <w:tc>
          <w:tcPr>
            <w:tcW w:w="702" w:type="pct"/>
            <w:tcBorders>
              <w:top w:val="nil"/>
              <w:left w:val="nil"/>
              <w:bottom w:val="single" w:sz="8" w:space="0" w:color="FFFFFF"/>
              <w:right w:val="single" w:sz="8" w:space="0" w:color="FFFFFF"/>
            </w:tcBorders>
            <w:shd w:val="clear" w:color="auto" w:fill="E7EEEF"/>
            <w:vAlign w:val="center"/>
            <w:hideMark/>
          </w:tcPr>
          <w:p w14:paraId="66E716D5"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0.7%</w:t>
            </w:r>
          </w:p>
        </w:tc>
      </w:tr>
      <w:tr w:rsidR="0024093B" w:rsidRPr="006A226D" w14:paraId="38A8CE1F" w14:textId="77777777" w:rsidTr="009B2B3D">
        <w:trPr>
          <w:trHeight w:val="340"/>
        </w:trPr>
        <w:tc>
          <w:tcPr>
            <w:tcW w:w="2896" w:type="pct"/>
            <w:tcBorders>
              <w:top w:val="nil"/>
              <w:left w:val="single" w:sz="8" w:space="0" w:color="FFFFFF"/>
              <w:bottom w:val="single" w:sz="8" w:space="0" w:color="FFFFFF"/>
              <w:right w:val="single" w:sz="12" w:space="0" w:color="FFFFFF"/>
            </w:tcBorders>
            <w:shd w:val="clear" w:color="000000" w:fill="008C9B"/>
            <w:vAlign w:val="center"/>
            <w:hideMark/>
          </w:tcPr>
          <w:p w14:paraId="7521B504" w14:textId="77777777" w:rsidR="006A226D" w:rsidRPr="009520D1" w:rsidRDefault="006A226D" w:rsidP="006A226D">
            <w:pPr>
              <w:spacing w:after="0"/>
              <w:rPr>
                <w:rFonts w:ascii="Calibri" w:eastAsia="Times New Roman" w:hAnsi="Calibri"/>
                <w:bCs/>
                <w:color w:val="FFFFFF"/>
                <w:sz w:val="20"/>
                <w:lang w:eastAsia="en-GB"/>
              </w:rPr>
            </w:pPr>
            <w:r w:rsidRPr="009520D1">
              <w:rPr>
                <w:rFonts w:ascii="Calibri" w:eastAsia="Times New Roman" w:hAnsi="Calibri"/>
                <w:bCs/>
                <w:color w:val="FFFFFF"/>
                <w:sz w:val="20"/>
                <w:lang w:eastAsia="en-GB"/>
              </w:rPr>
              <w:t>Mining; Energy and Water</w:t>
            </w:r>
          </w:p>
        </w:tc>
        <w:tc>
          <w:tcPr>
            <w:tcW w:w="701" w:type="pct"/>
            <w:tcBorders>
              <w:top w:val="nil"/>
              <w:left w:val="nil"/>
              <w:bottom w:val="single" w:sz="8" w:space="0" w:color="FFFFFF"/>
              <w:right w:val="single" w:sz="8" w:space="0" w:color="FFFFFF"/>
            </w:tcBorders>
            <w:shd w:val="clear" w:color="auto" w:fill="D0CECE"/>
            <w:vAlign w:val="center"/>
            <w:hideMark/>
          </w:tcPr>
          <w:p w14:paraId="292A4680"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2.2%</w:t>
            </w:r>
          </w:p>
        </w:tc>
        <w:tc>
          <w:tcPr>
            <w:tcW w:w="702" w:type="pct"/>
            <w:tcBorders>
              <w:top w:val="nil"/>
              <w:left w:val="nil"/>
              <w:bottom w:val="single" w:sz="8" w:space="0" w:color="FFFFFF"/>
              <w:right w:val="single" w:sz="8" w:space="0" w:color="FFFFFF"/>
            </w:tcBorders>
            <w:shd w:val="clear" w:color="auto" w:fill="D0CECE"/>
            <w:vAlign w:val="center"/>
            <w:hideMark/>
          </w:tcPr>
          <w:p w14:paraId="55DF73A4"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3.3%</w:t>
            </w:r>
          </w:p>
        </w:tc>
        <w:tc>
          <w:tcPr>
            <w:tcW w:w="702" w:type="pct"/>
            <w:tcBorders>
              <w:top w:val="nil"/>
              <w:left w:val="nil"/>
              <w:bottom w:val="single" w:sz="8" w:space="0" w:color="FFFFFF"/>
              <w:right w:val="single" w:sz="8" w:space="0" w:color="FFFFFF"/>
            </w:tcBorders>
            <w:shd w:val="clear" w:color="auto" w:fill="D0CECE"/>
            <w:vAlign w:val="center"/>
            <w:hideMark/>
          </w:tcPr>
          <w:p w14:paraId="78643DEE"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3.9%</w:t>
            </w:r>
          </w:p>
        </w:tc>
      </w:tr>
      <w:tr w:rsidR="0024093B" w:rsidRPr="006A226D" w14:paraId="6DB641AD" w14:textId="77777777" w:rsidTr="009B2B3D">
        <w:trPr>
          <w:trHeight w:val="340"/>
        </w:trPr>
        <w:tc>
          <w:tcPr>
            <w:tcW w:w="2896" w:type="pct"/>
            <w:tcBorders>
              <w:top w:val="nil"/>
              <w:left w:val="single" w:sz="8" w:space="0" w:color="FFFFFF"/>
              <w:bottom w:val="single" w:sz="8" w:space="0" w:color="FFFFFF"/>
              <w:right w:val="single" w:sz="12" w:space="0" w:color="FFFFFF"/>
            </w:tcBorders>
            <w:shd w:val="clear" w:color="000000" w:fill="008C9B"/>
            <w:vAlign w:val="center"/>
            <w:hideMark/>
          </w:tcPr>
          <w:p w14:paraId="3EF83C13" w14:textId="77777777" w:rsidR="006A226D" w:rsidRPr="009520D1" w:rsidRDefault="006A226D" w:rsidP="006A226D">
            <w:pPr>
              <w:spacing w:after="0"/>
              <w:rPr>
                <w:rFonts w:ascii="Calibri" w:eastAsia="Times New Roman" w:hAnsi="Calibri"/>
                <w:b/>
                <w:bCs/>
                <w:color w:val="FFFFFF"/>
                <w:sz w:val="20"/>
                <w:lang w:eastAsia="en-GB"/>
              </w:rPr>
            </w:pPr>
            <w:r w:rsidRPr="009520D1">
              <w:rPr>
                <w:rFonts w:ascii="Calibri" w:eastAsia="Times New Roman" w:hAnsi="Calibri"/>
                <w:b/>
                <w:bCs/>
                <w:color w:val="FFFFFF"/>
                <w:sz w:val="20"/>
                <w:lang w:eastAsia="en-GB"/>
              </w:rPr>
              <w:t>Manufacturing</w:t>
            </w:r>
          </w:p>
        </w:tc>
        <w:tc>
          <w:tcPr>
            <w:tcW w:w="701" w:type="pct"/>
            <w:tcBorders>
              <w:top w:val="nil"/>
              <w:left w:val="nil"/>
              <w:bottom w:val="single" w:sz="8" w:space="0" w:color="FFFFFF"/>
              <w:right w:val="single" w:sz="8" w:space="0" w:color="FFFFFF"/>
            </w:tcBorders>
            <w:shd w:val="clear" w:color="auto" w:fill="E7EEEF"/>
            <w:vAlign w:val="center"/>
            <w:hideMark/>
          </w:tcPr>
          <w:p w14:paraId="54258350" w14:textId="77777777" w:rsidR="006A226D" w:rsidRPr="009520D1" w:rsidRDefault="006A226D" w:rsidP="006A226D">
            <w:pPr>
              <w:spacing w:after="0"/>
              <w:jc w:val="center"/>
              <w:rPr>
                <w:rFonts w:ascii="Calibri" w:eastAsia="Times New Roman" w:hAnsi="Calibri"/>
                <w:b/>
                <w:color w:val="000000"/>
                <w:sz w:val="20"/>
                <w:lang w:eastAsia="en-GB"/>
              </w:rPr>
            </w:pPr>
            <w:r w:rsidRPr="009520D1">
              <w:rPr>
                <w:rFonts w:ascii="Calibri" w:eastAsia="Times New Roman" w:hAnsi="Calibri"/>
                <w:b/>
                <w:color w:val="000000"/>
                <w:sz w:val="20"/>
                <w:lang w:eastAsia="en-GB"/>
              </w:rPr>
              <w:t>11.3%</w:t>
            </w:r>
          </w:p>
        </w:tc>
        <w:tc>
          <w:tcPr>
            <w:tcW w:w="702" w:type="pct"/>
            <w:tcBorders>
              <w:top w:val="nil"/>
              <w:left w:val="nil"/>
              <w:bottom w:val="single" w:sz="8" w:space="0" w:color="FFFFFF"/>
              <w:right w:val="single" w:sz="8" w:space="0" w:color="FFFFFF"/>
            </w:tcBorders>
            <w:shd w:val="clear" w:color="auto" w:fill="E7EEEF"/>
            <w:vAlign w:val="center"/>
            <w:hideMark/>
          </w:tcPr>
          <w:p w14:paraId="3E2B68CF" w14:textId="77777777" w:rsidR="006A226D" w:rsidRPr="009520D1" w:rsidRDefault="006A226D" w:rsidP="006A226D">
            <w:pPr>
              <w:spacing w:after="0"/>
              <w:jc w:val="center"/>
              <w:rPr>
                <w:rFonts w:ascii="Calibri" w:eastAsia="Times New Roman" w:hAnsi="Calibri"/>
                <w:b/>
                <w:color w:val="000000"/>
                <w:sz w:val="20"/>
                <w:lang w:eastAsia="en-GB"/>
              </w:rPr>
            </w:pPr>
            <w:r w:rsidRPr="009520D1">
              <w:rPr>
                <w:rFonts w:ascii="Calibri" w:eastAsia="Times New Roman" w:hAnsi="Calibri"/>
                <w:b/>
                <w:color w:val="000000"/>
                <w:sz w:val="20"/>
                <w:lang w:eastAsia="en-GB"/>
              </w:rPr>
              <w:t>7.8%</w:t>
            </w:r>
          </w:p>
        </w:tc>
        <w:tc>
          <w:tcPr>
            <w:tcW w:w="702" w:type="pct"/>
            <w:tcBorders>
              <w:top w:val="nil"/>
              <w:left w:val="nil"/>
              <w:bottom w:val="single" w:sz="8" w:space="0" w:color="FFFFFF"/>
              <w:right w:val="single" w:sz="8" w:space="0" w:color="FFFFFF"/>
            </w:tcBorders>
            <w:shd w:val="clear" w:color="auto" w:fill="E7EEEF"/>
            <w:vAlign w:val="center"/>
            <w:hideMark/>
          </w:tcPr>
          <w:p w14:paraId="22609163" w14:textId="77777777" w:rsidR="006A226D" w:rsidRPr="009520D1" w:rsidRDefault="006A226D" w:rsidP="006A226D">
            <w:pPr>
              <w:spacing w:after="0"/>
              <w:jc w:val="center"/>
              <w:rPr>
                <w:rFonts w:ascii="Calibri" w:eastAsia="Times New Roman" w:hAnsi="Calibri"/>
                <w:b/>
                <w:color w:val="000000"/>
                <w:sz w:val="20"/>
                <w:lang w:eastAsia="en-GB"/>
              </w:rPr>
            </w:pPr>
            <w:r w:rsidRPr="009520D1">
              <w:rPr>
                <w:rFonts w:ascii="Calibri" w:eastAsia="Times New Roman" w:hAnsi="Calibri"/>
                <w:b/>
                <w:color w:val="000000"/>
                <w:sz w:val="20"/>
                <w:lang w:eastAsia="en-GB"/>
              </w:rPr>
              <w:t>10.1%</w:t>
            </w:r>
          </w:p>
        </w:tc>
      </w:tr>
      <w:tr w:rsidR="0024093B" w:rsidRPr="006A226D" w14:paraId="5CC64B66" w14:textId="77777777" w:rsidTr="009B2B3D">
        <w:trPr>
          <w:trHeight w:val="340"/>
        </w:trPr>
        <w:tc>
          <w:tcPr>
            <w:tcW w:w="2896" w:type="pct"/>
            <w:tcBorders>
              <w:top w:val="nil"/>
              <w:left w:val="single" w:sz="8" w:space="0" w:color="FFFFFF"/>
              <w:bottom w:val="single" w:sz="8" w:space="0" w:color="FFFFFF"/>
              <w:right w:val="single" w:sz="12" w:space="0" w:color="FFFFFF"/>
            </w:tcBorders>
            <w:shd w:val="clear" w:color="000000" w:fill="008C9B"/>
            <w:vAlign w:val="center"/>
            <w:hideMark/>
          </w:tcPr>
          <w:p w14:paraId="04028B54" w14:textId="77777777" w:rsidR="006A226D" w:rsidRPr="009520D1" w:rsidRDefault="006A226D" w:rsidP="006A226D">
            <w:pPr>
              <w:spacing w:after="0"/>
              <w:rPr>
                <w:rFonts w:ascii="Calibri" w:eastAsia="Times New Roman" w:hAnsi="Calibri"/>
                <w:bCs/>
                <w:color w:val="FFFFFF"/>
                <w:sz w:val="20"/>
                <w:lang w:eastAsia="en-GB"/>
              </w:rPr>
            </w:pPr>
            <w:r w:rsidRPr="009520D1">
              <w:rPr>
                <w:rFonts w:ascii="Calibri" w:eastAsia="Times New Roman" w:hAnsi="Calibri"/>
                <w:bCs/>
                <w:color w:val="FFFFFF"/>
                <w:sz w:val="20"/>
                <w:lang w:eastAsia="en-GB"/>
              </w:rPr>
              <w:t>Construction</w:t>
            </w:r>
          </w:p>
        </w:tc>
        <w:tc>
          <w:tcPr>
            <w:tcW w:w="701" w:type="pct"/>
            <w:tcBorders>
              <w:top w:val="nil"/>
              <w:left w:val="nil"/>
              <w:bottom w:val="single" w:sz="8" w:space="0" w:color="FFFFFF"/>
              <w:right w:val="single" w:sz="8" w:space="0" w:color="FFFFFF"/>
            </w:tcBorders>
            <w:shd w:val="clear" w:color="auto" w:fill="D0CECE"/>
            <w:vAlign w:val="center"/>
            <w:hideMark/>
          </w:tcPr>
          <w:p w14:paraId="70A7C431"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6.8%</w:t>
            </w:r>
          </w:p>
        </w:tc>
        <w:tc>
          <w:tcPr>
            <w:tcW w:w="702" w:type="pct"/>
            <w:tcBorders>
              <w:top w:val="nil"/>
              <w:left w:val="nil"/>
              <w:bottom w:val="single" w:sz="8" w:space="0" w:color="FFFFFF"/>
              <w:right w:val="single" w:sz="8" w:space="0" w:color="FFFFFF"/>
            </w:tcBorders>
            <w:shd w:val="clear" w:color="auto" w:fill="D0CECE"/>
            <w:vAlign w:val="center"/>
            <w:hideMark/>
          </w:tcPr>
          <w:p w14:paraId="6F1E9238"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6.8%</w:t>
            </w:r>
          </w:p>
        </w:tc>
        <w:tc>
          <w:tcPr>
            <w:tcW w:w="702" w:type="pct"/>
            <w:tcBorders>
              <w:top w:val="nil"/>
              <w:left w:val="nil"/>
              <w:bottom w:val="single" w:sz="8" w:space="0" w:color="FFFFFF"/>
              <w:right w:val="single" w:sz="8" w:space="0" w:color="FFFFFF"/>
            </w:tcBorders>
            <w:shd w:val="clear" w:color="auto" w:fill="D0CECE"/>
            <w:vAlign w:val="center"/>
            <w:hideMark/>
          </w:tcPr>
          <w:p w14:paraId="02DC6974"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6.1%</w:t>
            </w:r>
          </w:p>
        </w:tc>
      </w:tr>
      <w:tr w:rsidR="0024093B" w:rsidRPr="006A226D" w14:paraId="174EFA93" w14:textId="77777777" w:rsidTr="009B2B3D">
        <w:trPr>
          <w:trHeight w:val="340"/>
        </w:trPr>
        <w:tc>
          <w:tcPr>
            <w:tcW w:w="2896" w:type="pct"/>
            <w:tcBorders>
              <w:top w:val="nil"/>
              <w:left w:val="single" w:sz="8" w:space="0" w:color="FFFFFF"/>
              <w:bottom w:val="single" w:sz="8" w:space="0" w:color="FFFFFF"/>
              <w:right w:val="single" w:sz="12" w:space="0" w:color="FFFFFF"/>
            </w:tcBorders>
            <w:shd w:val="clear" w:color="000000" w:fill="008C9B"/>
            <w:vAlign w:val="center"/>
            <w:hideMark/>
          </w:tcPr>
          <w:p w14:paraId="3E47741B" w14:textId="77777777" w:rsidR="006A226D" w:rsidRPr="009520D1" w:rsidRDefault="006A226D" w:rsidP="006A226D">
            <w:pPr>
              <w:spacing w:after="0"/>
              <w:rPr>
                <w:rFonts w:ascii="Calibri" w:eastAsia="Times New Roman" w:hAnsi="Calibri"/>
                <w:bCs/>
                <w:color w:val="FFFFFF"/>
                <w:sz w:val="20"/>
                <w:lang w:eastAsia="en-GB"/>
              </w:rPr>
            </w:pPr>
            <w:r w:rsidRPr="009520D1">
              <w:rPr>
                <w:rFonts w:ascii="Calibri" w:eastAsia="Times New Roman" w:hAnsi="Calibri"/>
                <w:bCs/>
                <w:color w:val="FFFFFF"/>
                <w:sz w:val="20"/>
                <w:lang w:eastAsia="en-GB"/>
              </w:rPr>
              <w:t>Wholesale and repair; transportation; accommodation and food</w:t>
            </w:r>
          </w:p>
        </w:tc>
        <w:tc>
          <w:tcPr>
            <w:tcW w:w="701" w:type="pct"/>
            <w:tcBorders>
              <w:top w:val="nil"/>
              <w:left w:val="nil"/>
              <w:bottom w:val="single" w:sz="8" w:space="0" w:color="FFFFFF"/>
              <w:right w:val="single" w:sz="8" w:space="0" w:color="FFFFFF"/>
            </w:tcBorders>
            <w:shd w:val="clear" w:color="auto" w:fill="E7EEEF"/>
            <w:vAlign w:val="center"/>
            <w:hideMark/>
          </w:tcPr>
          <w:p w14:paraId="563DF770"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19.4%</w:t>
            </w:r>
          </w:p>
        </w:tc>
        <w:tc>
          <w:tcPr>
            <w:tcW w:w="702" w:type="pct"/>
            <w:tcBorders>
              <w:top w:val="nil"/>
              <w:left w:val="nil"/>
              <w:bottom w:val="single" w:sz="8" w:space="0" w:color="FFFFFF"/>
              <w:right w:val="single" w:sz="8" w:space="0" w:color="FFFFFF"/>
            </w:tcBorders>
            <w:shd w:val="clear" w:color="auto" w:fill="E7EEEF"/>
            <w:vAlign w:val="center"/>
            <w:hideMark/>
          </w:tcPr>
          <w:p w14:paraId="224A7668"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19.7%</w:t>
            </w:r>
          </w:p>
        </w:tc>
        <w:tc>
          <w:tcPr>
            <w:tcW w:w="702" w:type="pct"/>
            <w:tcBorders>
              <w:top w:val="nil"/>
              <w:left w:val="nil"/>
              <w:bottom w:val="single" w:sz="8" w:space="0" w:color="FFFFFF"/>
              <w:right w:val="single" w:sz="8" w:space="0" w:color="FFFFFF"/>
            </w:tcBorders>
            <w:shd w:val="clear" w:color="auto" w:fill="E7EEEF"/>
            <w:vAlign w:val="center"/>
            <w:hideMark/>
          </w:tcPr>
          <w:p w14:paraId="1DAD2AC8"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17.7%</w:t>
            </w:r>
          </w:p>
        </w:tc>
      </w:tr>
      <w:tr w:rsidR="0024093B" w:rsidRPr="006A226D" w14:paraId="57BAC506" w14:textId="77777777" w:rsidTr="009B2B3D">
        <w:trPr>
          <w:trHeight w:val="340"/>
        </w:trPr>
        <w:tc>
          <w:tcPr>
            <w:tcW w:w="2896" w:type="pct"/>
            <w:tcBorders>
              <w:top w:val="nil"/>
              <w:left w:val="single" w:sz="8" w:space="0" w:color="FFFFFF"/>
              <w:bottom w:val="single" w:sz="8" w:space="0" w:color="FFFFFF"/>
              <w:right w:val="single" w:sz="12" w:space="0" w:color="FFFFFF"/>
            </w:tcBorders>
            <w:shd w:val="clear" w:color="000000" w:fill="008C9B"/>
            <w:vAlign w:val="center"/>
            <w:hideMark/>
          </w:tcPr>
          <w:p w14:paraId="4BEF8A8E" w14:textId="77777777" w:rsidR="006A226D" w:rsidRPr="009520D1" w:rsidRDefault="006A226D" w:rsidP="006A226D">
            <w:pPr>
              <w:spacing w:after="0"/>
              <w:rPr>
                <w:rFonts w:ascii="Calibri" w:eastAsia="Times New Roman" w:hAnsi="Calibri"/>
                <w:bCs/>
                <w:color w:val="FFFFFF"/>
                <w:sz w:val="20"/>
                <w:lang w:eastAsia="en-GB"/>
              </w:rPr>
            </w:pPr>
            <w:r w:rsidRPr="009520D1">
              <w:rPr>
                <w:rFonts w:ascii="Calibri" w:eastAsia="Times New Roman" w:hAnsi="Calibri"/>
                <w:bCs/>
                <w:color w:val="FFFFFF"/>
                <w:sz w:val="20"/>
                <w:lang w:eastAsia="en-GB"/>
              </w:rPr>
              <w:t>Information and communication</w:t>
            </w:r>
          </w:p>
        </w:tc>
        <w:tc>
          <w:tcPr>
            <w:tcW w:w="701" w:type="pct"/>
            <w:tcBorders>
              <w:top w:val="nil"/>
              <w:left w:val="nil"/>
              <w:bottom w:val="single" w:sz="8" w:space="0" w:color="FFFFFF"/>
              <w:right w:val="single" w:sz="8" w:space="0" w:color="FFFFFF"/>
            </w:tcBorders>
            <w:shd w:val="clear" w:color="auto" w:fill="D0CECE"/>
            <w:vAlign w:val="center"/>
            <w:hideMark/>
          </w:tcPr>
          <w:p w14:paraId="3FA3496B"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6.5%</w:t>
            </w:r>
          </w:p>
        </w:tc>
        <w:tc>
          <w:tcPr>
            <w:tcW w:w="702" w:type="pct"/>
            <w:tcBorders>
              <w:top w:val="nil"/>
              <w:left w:val="nil"/>
              <w:bottom w:val="single" w:sz="8" w:space="0" w:color="FFFFFF"/>
              <w:right w:val="single" w:sz="8" w:space="0" w:color="FFFFFF"/>
            </w:tcBorders>
            <w:shd w:val="clear" w:color="auto" w:fill="D0CECE"/>
            <w:vAlign w:val="center"/>
            <w:hideMark/>
          </w:tcPr>
          <w:p w14:paraId="764473EC"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8.6%</w:t>
            </w:r>
          </w:p>
        </w:tc>
        <w:tc>
          <w:tcPr>
            <w:tcW w:w="702" w:type="pct"/>
            <w:tcBorders>
              <w:top w:val="nil"/>
              <w:left w:val="nil"/>
              <w:bottom w:val="single" w:sz="8" w:space="0" w:color="FFFFFF"/>
              <w:right w:val="single" w:sz="8" w:space="0" w:color="FFFFFF"/>
            </w:tcBorders>
            <w:shd w:val="clear" w:color="auto" w:fill="D0CECE"/>
            <w:vAlign w:val="center"/>
            <w:hideMark/>
          </w:tcPr>
          <w:p w14:paraId="3B200DB6"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6.4%</w:t>
            </w:r>
          </w:p>
        </w:tc>
      </w:tr>
      <w:tr w:rsidR="0024093B" w:rsidRPr="006A226D" w14:paraId="3DEF36B5" w14:textId="77777777" w:rsidTr="009B2B3D">
        <w:trPr>
          <w:trHeight w:val="340"/>
        </w:trPr>
        <w:tc>
          <w:tcPr>
            <w:tcW w:w="2896" w:type="pct"/>
            <w:tcBorders>
              <w:top w:val="nil"/>
              <w:left w:val="single" w:sz="8" w:space="0" w:color="FFFFFF"/>
              <w:bottom w:val="single" w:sz="8" w:space="0" w:color="FFFFFF"/>
              <w:right w:val="single" w:sz="12" w:space="0" w:color="FFFFFF"/>
            </w:tcBorders>
            <w:shd w:val="clear" w:color="000000" w:fill="008C9B"/>
            <w:vAlign w:val="center"/>
            <w:hideMark/>
          </w:tcPr>
          <w:p w14:paraId="33256314" w14:textId="77777777" w:rsidR="006A226D" w:rsidRPr="009520D1" w:rsidRDefault="006A226D" w:rsidP="006A226D">
            <w:pPr>
              <w:spacing w:after="0"/>
              <w:rPr>
                <w:rFonts w:ascii="Calibri" w:eastAsia="Times New Roman" w:hAnsi="Calibri"/>
                <w:bCs/>
                <w:color w:val="FFFFFF"/>
                <w:sz w:val="20"/>
                <w:lang w:eastAsia="en-GB"/>
              </w:rPr>
            </w:pPr>
            <w:r w:rsidRPr="009520D1">
              <w:rPr>
                <w:rFonts w:ascii="Calibri" w:eastAsia="Times New Roman" w:hAnsi="Calibri"/>
                <w:bCs/>
                <w:color w:val="FFFFFF"/>
                <w:sz w:val="20"/>
                <w:lang w:eastAsia="en-GB"/>
              </w:rPr>
              <w:t>Financial and insurance activities</w:t>
            </w:r>
          </w:p>
        </w:tc>
        <w:tc>
          <w:tcPr>
            <w:tcW w:w="701" w:type="pct"/>
            <w:tcBorders>
              <w:top w:val="nil"/>
              <w:left w:val="nil"/>
              <w:bottom w:val="single" w:sz="8" w:space="0" w:color="FFFFFF"/>
              <w:right w:val="single" w:sz="8" w:space="0" w:color="FFFFFF"/>
            </w:tcBorders>
            <w:shd w:val="clear" w:color="auto" w:fill="E7EEEF"/>
            <w:vAlign w:val="center"/>
            <w:hideMark/>
          </w:tcPr>
          <w:p w14:paraId="3C56BF52"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3.7%</w:t>
            </w:r>
          </w:p>
        </w:tc>
        <w:tc>
          <w:tcPr>
            <w:tcW w:w="702" w:type="pct"/>
            <w:tcBorders>
              <w:top w:val="nil"/>
              <w:left w:val="nil"/>
              <w:bottom w:val="single" w:sz="8" w:space="0" w:color="FFFFFF"/>
              <w:right w:val="single" w:sz="8" w:space="0" w:color="FFFFFF"/>
            </w:tcBorders>
            <w:shd w:val="clear" w:color="auto" w:fill="E7EEEF"/>
            <w:vAlign w:val="center"/>
            <w:hideMark/>
          </w:tcPr>
          <w:p w14:paraId="66F68A73"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4.5%</w:t>
            </w:r>
          </w:p>
        </w:tc>
        <w:tc>
          <w:tcPr>
            <w:tcW w:w="702" w:type="pct"/>
            <w:tcBorders>
              <w:top w:val="nil"/>
              <w:left w:val="nil"/>
              <w:bottom w:val="single" w:sz="8" w:space="0" w:color="FFFFFF"/>
              <w:right w:val="single" w:sz="8" w:space="0" w:color="FFFFFF"/>
            </w:tcBorders>
            <w:shd w:val="clear" w:color="auto" w:fill="E7EEEF"/>
            <w:vAlign w:val="center"/>
            <w:hideMark/>
          </w:tcPr>
          <w:p w14:paraId="1B2A3991"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7.1%</w:t>
            </w:r>
          </w:p>
        </w:tc>
      </w:tr>
      <w:tr w:rsidR="0024093B" w:rsidRPr="006A226D" w14:paraId="6D573A8F" w14:textId="77777777" w:rsidTr="009B2B3D">
        <w:trPr>
          <w:trHeight w:val="340"/>
        </w:trPr>
        <w:tc>
          <w:tcPr>
            <w:tcW w:w="2896" w:type="pct"/>
            <w:tcBorders>
              <w:top w:val="nil"/>
              <w:left w:val="single" w:sz="8" w:space="0" w:color="FFFFFF"/>
              <w:bottom w:val="single" w:sz="8" w:space="0" w:color="FFFFFF"/>
              <w:right w:val="single" w:sz="12" w:space="0" w:color="FFFFFF"/>
            </w:tcBorders>
            <w:shd w:val="clear" w:color="000000" w:fill="008C9B"/>
            <w:vAlign w:val="center"/>
            <w:hideMark/>
          </w:tcPr>
          <w:p w14:paraId="1D129F17" w14:textId="77777777" w:rsidR="006A226D" w:rsidRPr="009520D1" w:rsidRDefault="006A226D" w:rsidP="006A226D">
            <w:pPr>
              <w:spacing w:after="0"/>
              <w:rPr>
                <w:rFonts w:ascii="Calibri" w:eastAsia="Times New Roman" w:hAnsi="Calibri"/>
                <w:bCs/>
                <w:color w:val="FFFFFF"/>
                <w:sz w:val="20"/>
                <w:lang w:eastAsia="en-GB"/>
              </w:rPr>
            </w:pPr>
            <w:r w:rsidRPr="009520D1">
              <w:rPr>
                <w:rFonts w:ascii="Calibri" w:eastAsia="Times New Roman" w:hAnsi="Calibri"/>
                <w:bCs/>
                <w:color w:val="FFFFFF"/>
                <w:sz w:val="20"/>
                <w:lang w:eastAsia="en-GB"/>
              </w:rPr>
              <w:t>Real estate activities</w:t>
            </w:r>
          </w:p>
        </w:tc>
        <w:tc>
          <w:tcPr>
            <w:tcW w:w="701" w:type="pct"/>
            <w:tcBorders>
              <w:top w:val="nil"/>
              <w:left w:val="nil"/>
              <w:bottom w:val="single" w:sz="8" w:space="0" w:color="FFFFFF"/>
              <w:right w:val="single" w:sz="8" w:space="0" w:color="FFFFFF"/>
            </w:tcBorders>
            <w:shd w:val="clear" w:color="auto" w:fill="D0CECE"/>
            <w:vAlign w:val="center"/>
            <w:hideMark/>
          </w:tcPr>
          <w:p w14:paraId="6E6DE6F5"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12.5%</w:t>
            </w:r>
          </w:p>
        </w:tc>
        <w:tc>
          <w:tcPr>
            <w:tcW w:w="702" w:type="pct"/>
            <w:tcBorders>
              <w:top w:val="nil"/>
              <w:left w:val="nil"/>
              <w:bottom w:val="single" w:sz="8" w:space="0" w:color="FFFFFF"/>
              <w:right w:val="single" w:sz="8" w:space="0" w:color="FFFFFF"/>
            </w:tcBorders>
            <w:shd w:val="clear" w:color="auto" w:fill="D0CECE"/>
            <w:vAlign w:val="center"/>
            <w:hideMark/>
          </w:tcPr>
          <w:p w14:paraId="0942284A"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15.2%</w:t>
            </w:r>
          </w:p>
        </w:tc>
        <w:tc>
          <w:tcPr>
            <w:tcW w:w="702" w:type="pct"/>
            <w:tcBorders>
              <w:top w:val="nil"/>
              <w:left w:val="nil"/>
              <w:bottom w:val="single" w:sz="8" w:space="0" w:color="FFFFFF"/>
              <w:right w:val="single" w:sz="8" w:space="0" w:color="FFFFFF"/>
            </w:tcBorders>
            <w:shd w:val="clear" w:color="auto" w:fill="D0CECE"/>
            <w:vAlign w:val="center"/>
            <w:hideMark/>
          </w:tcPr>
          <w:p w14:paraId="4A1045EC"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13.6%</w:t>
            </w:r>
          </w:p>
        </w:tc>
      </w:tr>
      <w:tr w:rsidR="0024093B" w:rsidRPr="006A226D" w14:paraId="77F989DD" w14:textId="77777777" w:rsidTr="009B2B3D">
        <w:trPr>
          <w:trHeight w:val="340"/>
        </w:trPr>
        <w:tc>
          <w:tcPr>
            <w:tcW w:w="2896" w:type="pct"/>
            <w:tcBorders>
              <w:top w:val="nil"/>
              <w:left w:val="single" w:sz="8" w:space="0" w:color="FFFFFF"/>
              <w:bottom w:val="single" w:sz="8" w:space="0" w:color="FFFFFF"/>
              <w:right w:val="single" w:sz="12" w:space="0" w:color="FFFFFF"/>
            </w:tcBorders>
            <w:shd w:val="clear" w:color="000000" w:fill="008C9B"/>
            <w:vAlign w:val="center"/>
            <w:hideMark/>
          </w:tcPr>
          <w:p w14:paraId="466E7942" w14:textId="77777777" w:rsidR="006A226D" w:rsidRPr="009520D1" w:rsidRDefault="006A226D" w:rsidP="006A226D">
            <w:pPr>
              <w:spacing w:after="0"/>
              <w:rPr>
                <w:rFonts w:ascii="Calibri" w:eastAsia="Times New Roman" w:hAnsi="Calibri"/>
                <w:bCs/>
                <w:color w:val="FFFFFF"/>
                <w:sz w:val="20"/>
                <w:lang w:eastAsia="en-GB"/>
              </w:rPr>
            </w:pPr>
            <w:r w:rsidRPr="009520D1">
              <w:rPr>
                <w:rFonts w:ascii="Calibri" w:eastAsia="Times New Roman" w:hAnsi="Calibri"/>
                <w:bCs/>
                <w:color w:val="FFFFFF"/>
                <w:sz w:val="20"/>
                <w:lang w:eastAsia="en-GB"/>
              </w:rPr>
              <w:t>Professional, scientific and technical, Administrative</w:t>
            </w:r>
          </w:p>
        </w:tc>
        <w:tc>
          <w:tcPr>
            <w:tcW w:w="701" w:type="pct"/>
            <w:tcBorders>
              <w:top w:val="nil"/>
              <w:left w:val="nil"/>
              <w:bottom w:val="single" w:sz="8" w:space="0" w:color="FFFFFF"/>
              <w:right w:val="single" w:sz="8" w:space="0" w:color="FFFFFF"/>
            </w:tcBorders>
            <w:shd w:val="clear" w:color="auto" w:fill="E7EEEF"/>
            <w:vAlign w:val="center"/>
            <w:hideMark/>
          </w:tcPr>
          <w:p w14:paraId="172EB5D1"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11.5%</w:t>
            </w:r>
          </w:p>
        </w:tc>
        <w:tc>
          <w:tcPr>
            <w:tcW w:w="702" w:type="pct"/>
            <w:tcBorders>
              <w:top w:val="nil"/>
              <w:left w:val="nil"/>
              <w:bottom w:val="single" w:sz="8" w:space="0" w:color="FFFFFF"/>
              <w:right w:val="single" w:sz="8" w:space="0" w:color="FFFFFF"/>
            </w:tcBorders>
            <w:shd w:val="clear" w:color="auto" w:fill="E7EEEF"/>
            <w:vAlign w:val="center"/>
            <w:hideMark/>
          </w:tcPr>
          <w:p w14:paraId="7601C86C"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12.8%</w:t>
            </w:r>
          </w:p>
        </w:tc>
        <w:tc>
          <w:tcPr>
            <w:tcW w:w="702" w:type="pct"/>
            <w:tcBorders>
              <w:top w:val="nil"/>
              <w:left w:val="nil"/>
              <w:bottom w:val="single" w:sz="8" w:space="0" w:color="FFFFFF"/>
              <w:right w:val="single" w:sz="8" w:space="0" w:color="FFFFFF"/>
            </w:tcBorders>
            <w:shd w:val="clear" w:color="auto" w:fill="E7EEEF"/>
            <w:vAlign w:val="center"/>
            <w:hideMark/>
          </w:tcPr>
          <w:p w14:paraId="3D72CB99"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12.4%</w:t>
            </w:r>
          </w:p>
        </w:tc>
      </w:tr>
      <w:tr w:rsidR="0024093B" w:rsidRPr="006A226D" w14:paraId="79E27C6C" w14:textId="77777777" w:rsidTr="009B2B3D">
        <w:trPr>
          <w:trHeight w:val="340"/>
        </w:trPr>
        <w:tc>
          <w:tcPr>
            <w:tcW w:w="2896" w:type="pct"/>
            <w:tcBorders>
              <w:top w:val="nil"/>
              <w:left w:val="single" w:sz="8" w:space="0" w:color="FFFFFF"/>
              <w:bottom w:val="single" w:sz="8" w:space="0" w:color="FFFFFF"/>
              <w:right w:val="single" w:sz="12" w:space="0" w:color="FFFFFF"/>
            </w:tcBorders>
            <w:shd w:val="clear" w:color="000000" w:fill="008C9B"/>
            <w:vAlign w:val="center"/>
            <w:hideMark/>
          </w:tcPr>
          <w:p w14:paraId="3B2AE8F5" w14:textId="77777777" w:rsidR="006A226D" w:rsidRPr="009520D1" w:rsidRDefault="006A226D" w:rsidP="006A226D">
            <w:pPr>
              <w:spacing w:after="0"/>
              <w:rPr>
                <w:rFonts w:ascii="Calibri" w:eastAsia="Times New Roman" w:hAnsi="Calibri"/>
                <w:b/>
                <w:bCs/>
                <w:color w:val="FFFFFF"/>
                <w:sz w:val="20"/>
                <w:lang w:eastAsia="en-GB"/>
              </w:rPr>
            </w:pPr>
            <w:r w:rsidRPr="009520D1">
              <w:rPr>
                <w:rFonts w:ascii="Calibri" w:eastAsia="Times New Roman" w:hAnsi="Calibri"/>
                <w:b/>
                <w:bCs/>
                <w:color w:val="FFFFFF"/>
                <w:sz w:val="20"/>
                <w:lang w:eastAsia="en-GB"/>
              </w:rPr>
              <w:t>Public Administration and Defence, Education and Health</w:t>
            </w:r>
          </w:p>
        </w:tc>
        <w:tc>
          <w:tcPr>
            <w:tcW w:w="701" w:type="pct"/>
            <w:tcBorders>
              <w:top w:val="nil"/>
              <w:left w:val="nil"/>
              <w:bottom w:val="single" w:sz="8" w:space="0" w:color="FFFFFF"/>
              <w:right w:val="single" w:sz="8" w:space="0" w:color="FFFFFF"/>
            </w:tcBorders>
            <w:shd w:val="clear" w:color="auto" w:fill="D0CECE"/>
            <w:vAlign w:val="center"/>
            <w:hideMark/>
          </w:tcPr>
          <w:p w14:paraId="7837DAA3" w14:textId="77777777" w:rsidR="006A226D" w:rsidRPr="009520D1" w:rsidRDefault="006A226D" w:rsidP="006A226D">
            <w:pPr>
              <w:spacing w:after="0"/>
              <w:jc w:val="center"/>
              <w:rPr>
                <w:rFonts w:ascii="Calibri" w:eastAsia="Times New Roman" w:hAnsi="Calibri"/>
                <w:b/>
                <w:color w:val="000000"/>
                <w:sz w:val="20"/>
                <w:lang w:eastAsia="en-GB"/>
              </w:rPr>
            </w:pPr>
            <w:r w:rsidRPr="009520D1">
              <w:rPr>
                <w:rFonts w:ascii="Calibri" w:eastAsia="Times New Roman" w:hAnsi="Calibri"/>
                <w:b/>
                <w:color w:val="000000"/>
                <w:sz w:val="20"/>
                <w:lang w:eastAsia="en-GB"/>
              </w:rPr>
              <w:t>21.9%</w:t>
            </w:r>
          </w:p>
        </w:tc>
        <w:tc>
          <w:tcPr>
            <w:tcW w:w="702" w:type="pct"/>
            <w:tcBorders>
              <w:top w:val="nil"/>
              <w:left w:val="nil"/>
              <w:bottom w:val="single" w:sz="8" w:space="0" w:color="FFFFFF"/>
              <w:right w:val="single" w:sz="8" w:space="0" w:color="FFFFFF"/>
            </w:tcBorders>
            <w:shd w:val="clear" w:color="auto" w:fill="D0CECE"/>
            <w:vAlign w:val="center"/>
            <w:hideMark/>
          </w:tcPr>
          <w:p w14:paraId="11CBA50A" w14:textId="77777777" w:rsidR="006A226D" w:rsidRPr="009520D1" w:rsidRDefault="006A226D" w:rsidP="006A226D">
            <w:pPr>
              <w:spacing w:after="0"/>
              <w:jc w:val="center"/>
              <w:rPr>
                <w:rFonts w:ascii="Calibri" w:eastAsia="Times New Roman" w:hAnsi="Calibri"/>
                <w:b/>
                <w:color w:val="000000"/>
                <w:sz w:val="20"/>
                <w:lang w:eastAsia="en-GB"/>
              </w:rPr>
            </w:pPr>
            <w:r w:rsidRPr="009520D1">
              <w:rPr>
                <w:rFonts w:ascii="Calibri" w:eastAsia="Times New Roman" w:hAnsi="Calibri"/>
                <w:b/>
                <w:color w:val="000000"/>
                <w:sz w:val="20"/>
                <w:lang w:eastAsia="en-GB"/>
              </w:rPr>
              <w:t>16.1%</w:t>
            </w:r>
          </w:p>
        </w:tc>
        <w:tc>
          <w:tcPr>
            <w:tcW w:w="702" w:type="pct"/>
            <w:tcBorders>
              <w:top w:val="nil"/>
              <w:left w:val="nil"/>
              <w:bottom w:val="single" w:sz="8" w:space="0" w:color="FFFFFF"/>
              <w:right w:val="single" w:sz="8" w:space="0" w:color="FFFFFF"/>
            </w:tcBorders>
            <w:shd w:val="clear" w:color="auto" w:fill="D0CECE"/>
            <w:vAlign w:val="center"/>
            <w:hideMark/>
          </w:tcPr>
          <w:p w14:paraId="4C8733FE" w14:textId="77777777" w:rsidR="006A226D" w:rsidRPr="009520D1" w:rsidRDefault="006A226D" w:rsidP="006A226D">
            <w:pPr>
              <w:spacing w:after="0"/>
              <w:jc w:val="center"/>
              <w:rPr>
                <w:rFonts w:ascii="Calibri" w:eastAsia="Times New Roman" w:hAnsi="Calibri"/>
                <w:b/>
                <w:color w:val="000000"/>
                <w:sz w:val="20"/>
                <w:lang w:eastAsia="en-GB"/>
              </w:rPr>
            </w:pPr>
            <w:r w:rsidRPr="009520D1">
              <w:rPr>
                <w:rFonts w:ascii="Calibri" w:eastAsia="Times New Roman" w:hAnsi="Calibri"/>
                <w:b/>
                <w:color w:val="000000"/>
                <w:sz w:val="20"/>
                <w:lang w:eastAsia="en-GB"/>
              </w:rPr>
              <w:t>17.6%</w:t>
            </w:r>
          </w:p>
        </w:tc>
      </w:tr>
      <w:tr w:rsidR="0024093B" w:rsidRPr="006A226D" w14:paraId="771B8C23" w14:textId="77777777" w:rsidTr="009B2B3D">
        <w:trPr>
          <w:trHeight w:val="340"/>
        </w:trPr>
        <w:tc>
          <w:tcPr>
            <w:tcW w:w="2896" w:type="pct"/>
            <w:tcBorders>
              <w:top w:val="nil"/>
              <w:left w:val="single" w:sz="8" w:space="0" w:color="FFFFFF"/>
              <w:bottom w:val="single" w:sz="8" w:space="0" w:color="FFFFFF"/>
              <w:right w:val="single" w:sz="12" w:space="0" w:color="FFFFFF"/>
            </w:tcBorders>
            <w:shd w:val="clear" w:color="000000" w:fill="008C9B"/>
            <w:vAlign w:val="center"/>
            <w:hideMark/>
          </w:tcPr>
          <w:p w14:paraId="00CC43AF" w14:textId="77777777" w:rsidR="006A226D" w:rsidRPr="009520D1" w:rsidRDefault="006A226D" w:rsidP="006A226D">
            <w:pPr>
              <w:spacing w:after="0"/>
              <w:rPr>
                <w:rFonts w:ascii="Calibri" w:eastAsia="Times New Roman" w:hAnsi="Calibri"/>
                <w:bCs/>
                <w:color w:val="FFFFFF"/>
                <w:sz w:val="20"/>
                <w:lang w:eastAsia="en-GB"/>
              </w:rPr>
            </w:pPr>
            <w:r w:rsidRPr="009520D1">
              <w:rPr>
                <w:rFonts w:ascii="Calibri" w:eastAsia="Times New Roman" w:hAnsi="Calibri"/>
                <w:bCs/>
                <w:color w:val="FFFFFF"/>
                <w:sz w:val="20"/>
                <w:lang w:eastAsia="en-GB"/>
              </w:rPr>
              <w:t>Arts, entertainment and recreation, household and other services</w:t>
            </w:r>
          </w:p>
        </w:tc>
        <w:tc>
          <w:tcPr>
            <w:tcW w:w="701" w:type="pct"/>
            <w:tcBorders>
              <w:top w:val="nil"/>
              <w:left w:val="nil"/>
              <w:bottom w:val="single" w:sz="8" w:space="0" w:color="FFFFFF"/>
              <w:right w:val="single" w:sz="8" w:space="0" w:color="FFFFFF"/>
            </w:tcBorders>
            <w:shd w:val="clear" w:color="auto" w:fill="E7EEEF"/>
            <w:vAlign w:val="center"/>
            <w:hideMark/>
          </w:tcPr>
          <w:p w14:paraId="374D3B36"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3.7%</w:t>
            </w:r>
          </w:p>
        </w:tc>
        <w:tc>
          <w:tcPr>
            <w:tcW w:w="702" w:type="pct"/>
            <w:tcBorders>
              <w:top w:val="nil"/>
              <w:left w:val="nil"/>
              <w:bottom w:val="single" w:sz="8" w:space="0" w:color="FFFFFF"/>
              <w:right w:val="single" w:sz="8" w:space="0" w:color="FFFFFF"/>
            </w:tcBorders>
            <w:shd w:val="clear" w:color="auto" w:fill="E7EEEF"/>
            <w:vAlign w:val="center"/>
            <w:hideMark/>
          </w:tcPr>
          <w:p w14:paraId="28E547A8"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4.6%</w:t>
            </w:r>
          </w:p>
        </w:tc>
        <w:tc>
          <w:tcPr>
            <w:tcW w:w="702" w:type="pct"/>
            <w:tcBorders>
              <w:top w:val="nil"/>
              <w:left w:val="nil"/>
              <w:bottom w:val="single" w:sz="8" w:space="0" w:color="FFFFFF"/>
              <w:right w:val="single" w:sz="8" w:space="0" w:color="FFFFFF"/>
            </w:tcBorders>
            <w:shd w:val="clear" w:color="auto" w:fill="E7EEEF"/>
            <w:vAlign w:val="center"/>
            <w:hideMark/>
          </w:tcPr>
          <w:p w14:paraId="7EFAD071" w14:textId="77777777" w:rsidR="006A226D" w:rsidRPr="006A226D" w:rsidRDefault="006A226D" w:rsidP="006A226D">
            <w:pPr>
              <w:spacing w:after="0"/>
              <w:jc w:val="center"/>
              <w:rPr>
                <w:rFonts w:ascii="Calibri" w:eastAsia="Times New Roman" w:hAnsi="Calibri"/>
                <w:color w:val="000000"/>
                <w:sz w:val="20"/>
                <w:lang w:eastAsia="en-GB"/>
              </w:rPr>
            </w:pPr>
            <w:r w:rsidRPr="006A226D">
              <w:rPr>
                <w:rFonts w:ascii="Calibri" w:eastAsia="Times New Roman" w:hAnsi="Calibri"/>
                <w:color w:val="000000"/>
                <w:sz w:val="20"/>
                <w:lang w:eastAsia="en-GB"/>
              </w:rPr>
              <w:t>4.2%</w:t>
            </w:r>
          </w:p>
        </w:tc>
      </w:tr>
    </w:tbl>
    <w:p w14:paraId="424498E3" w14:textId="77777777" w:rsidR="00BD4D7F" w:rsidRDefault="00BD4D7F" w:rsidP="00040567">
      <w:pPr>
        <w:keepNext/>
        <w:keepLines/>
        <w:spacing w:before="60" w:after="120"/>
        <w:jc w:val="right"/>
        <w:rPr>
          <w:i/>
          <w:sz w:val="18"/>
        </w:rPr>
      </w:pPr>
      <w:r>
        <w:rPr>
          <w:i/>
          <w:sz w:val="18"/>
        </w:rPr>
        <w:t xml:space="preserve">Note: </w:t>
      </w:r>
      <w:r w:rsidR="0052627D">
        <w:rPr>
          <w:i/>
          <w:sz w:val="18"/>
        </w:rPr>
        <w:t xml:space="preserve">Sector U has been excluded. </w:t>
      </w:r>
      <w:r>
        <w:rPr>
          <w:i/>
          <w:sz w:val="18"/>
        </w:rPr>
        <w:t>Source: ONS, Cebr analysis</w:t>
      </w:r>
    </w:p>
    <w:p w14:paraId="5CAA0A3D" w14:textId="77777777" w:rsidR="00423A10" w:rsidRDefault="00423A10" w:rsidP="00FA434B"/>
    <w:p w14:paraId="0257B4D5" w14:textId="77777777" w:rsidR="00EF20E4" w:rsidRDefault="00CF610A" w:rsidP="00FB192D">
      <w:pPr>
        <w:pStyle w:val="Heading1"/>
      </w:pPr>
      <w:bookmarkStart w:id="24" w:name="_Ref499880040"/>
      <w:bookmarkStart w:id="25" w:name="_Ref499880556"/>
      <w:bookmarkStart w:id="26" w:name="_Toc20139728"/>
      <w:r>
        <w:lastRenderedPageBreak/>
        <w:t>Providing a</w:t>
      </w:r>
      <w:r w:rsidR="00FB192D">
        <w:t xml:space="preserve"> vital international gateway</w:t>
      </w:r>
      <w:bookmarkEnd w:id="24"/>
      <w:bookmarkEnd w:id="25"/>
      <w:bookmarkEnd w:id="26"/>
    </w:p>
    <w:p w14:paraId="248CCFA3" w14:textId="2DE992AB" w:rsidR="001E6939" w:rsidRDefault="001E6939" w:rsidP="00E5404F">
      <w:bookmarkStart w:id="27" w:name="_Ref499880205"/>
      <w:bookmarkStart w:id="28" w:name="_Ref499880764"/>
      <w:r>
        <w:t>An important lens through which the importance of the maritime sector in the Solent LEP</w:t>
      </w:r>
      <w:r w:rsidR="00744931">
        <w:t xml:space="preserve"> can be understood</w:t>
      </w:r>
      <w:r>
        <w:t xml:space="preserve"> is the role it plays as an international gateway for UK trade with the rest of the world. This section examines the magnitude of this r</w:t>
      </w:r>
      <w:r w:rsidR="00744931">
        <w:t>ole – in volume and value terms.</w:t>
      </w:r>
    </w:p>
    <w:p w14:paraId="49065D82" w14:textId="77777777" w:rsidR="001E6939" w:rsidRDefault="001E6939" w:rsidP="00E5404F">
      <w:r>
        <w:t>Non-EU trade statistics for the UK and the Solent region are readily available from HMRC Trade Statistics. This gives a detailed breakdown of trade by Standard International Trade Classification (SITC) to five digits by weight and value.</w:t>
      </w:r>
      <w:r>
        <w:rPr>
          <w:rStyle w:val="FootnoteReference"/>
        </w:rPr>
        <w:footnoteReference w:id="12"/>
      </w:r>
      <w:r>
        <w:t xml:space="preserve"> No such data exists for UK-EU trade as EU trade does not pass through Customs when entering the UK. As such, we have had to derive total UK-EU and Solent-EU trade value and volume which inhibits our ability to disaggregate the EU trade by SITC codes. </w:t>
      </w:r>
    </w:p>
    <w:p w14:paraId="143E0E09" w14:textId="77777777" w:rsidR="001E6939" w:rsidRDefault="001E6939" w:rsidP="00E5404F">
      <w:r>
        <w:t xml:space="preserve">To derive EU trade statistics, Eurostat provides trade volume statistics between UK ports and the EU. From this we derived total UK-EU trade and also Solent-EU trade in tonnage. This was done for the entire time period, 2010 to 2017. </w:t>
      </w:r>
    </w:p>
    <w:p w14:paraId="2BAD1F86" w14:textId="77777777" w:rsidR="001E6939" w:rsidRDefault="001E6939" w:rsidP="00E5404F">
      <w:r>
        <w:t xml:space="preserve">To derive the value of EU trade from the volume statistics, we leveraged results from a study by </w:t>
      </w:r>
      <w:proofErr w:type="spellStart"/>
      <w:r>
        <w:t>Transmodal</w:t>
      </w:r>
      <w:proofErr w:type="spellEnd"/>
      <w:r>
        <w:rPr>
          <w:rStyle w:val="FootnoteReference"/>
        </w:rPr>
        <w:footnoteReference w:id="13"/>
      </w:r>
      <w:r>
        <w:t xml:space="preserve"> and coupled this with ONS EU Imports PPI growth figures.</w:t>
      </w:r>
      <w:r>
        <w:rPr>
          <w:rStyle w:val="FootnoteReference"/>
        </w:rPr>
        <w:footnoteReference w:id="14"/>
      </w:r>
      <w:r>
        <w:t xml:space="preserve"> The </w:t>
      </w:r>
      <w:proofErr w:type="spellStart"/>
      <w:r>
        <w:t>Transmodal</w:t>
      </w:r>
      <w:proofErr w:type="spellEnd"/>
      <w:r>
        <w:t xml:space="preserve"> study provided an estimate for the value of total trade through Solent in 2014. From HMRC’s Trade Statistics, the value of Non-EU trade through Solent is known, thus using the </w:t>
      </w:r>
      <w:proofErr w:type="spellStart"/>
      <w:r>
        <w:t>Transmodal</w:t>
      </w:r>
      <w:proofErr w:type="spellEnd"/>
      <w:r>
        <w:t xml:space="preserve"> and HMRC Trade Statistics we were able to derive a value per unit ton for EU trade through Solent in 2014.</w:t>
      </w:r>
    </w:p>
    <w:p w14:paraId="2B9F309F" w14:textId="77777777" w:rsidR="001E6939" w:rsidRDefault="001E6939" w:rsidP="00E5404F">
      <w:r>
        <w:t xml:space="preserve">Using ONS EU Import PPIs, we were able to scale up and down the 2014 unit ton value so that we produced an EU trade value for the period 2010 to 2017. However, as stated, this methodology does not allow for disaggregation of EU trade by SITC. It is also too great of an assumption to apply Non-EU SITC proportions to EU trade as given the lack of Customs, integrated supply chains occur and hence will skew proportions compared to Non-EU. </w:t>
      </w:r>
    </w:p>
    <w:p w14:paraId="15190E8B" w14:textId="77777777" w:rsidR="001E6939" w:rsidRDefault="001E6939" w:rsidP="001E6939">
      <w:pPr>
        <w:pStyle w:val="Heading2"/>
      </w:pPr>
      <w:bookmarkStart w:id="29" w:name="_Toc15987480"/>
      <w:bookmarkStart w:id="30" w:name="_Toc20139729"/>
      <w:r>
        <w:t>The importance of trade and enabling role of maritime</w:t>
      </w:r>
      <w:bookmarkEnd w:id="29"/>
      <w:bookmarkEnd w:id="30"/>
    </w:p>
    <w:p w14:paraId="7D4FA89C" w14:textId="77777777" w:rsidR="001E6939" w:rsidRDefault="001E6939" w:rsidP="00E5404F">
      <w:r>
        <w:t>International trade drives economic growth and better living standards. The ability to export enables specialisation and increases the potential for businesses to exploit economies of scale by opening up new markets. Exporting is thus, associated with significant productivity benefits. Economies of scale imply falling unit costs and increasing levels of output being generated for each £1 of input. They increase the overall supply potential of the economy.</w:t>
      </w:r>
    </w:p>
    <w:p w14:paraId="740458C3" w14:textId="77777777" w:rsidR="001E6939" w:rsidRDefault="001E6939" w:rsidP="00E5404F">
      <w:r>
        <w:t>But, without the ability to import the capital equipment required to deliver investment programmes across all sectors of the economy and the raw materials and sub-components needed by UK manufacturers from a variety of locations around the world according to where they are produced most efficiently, industry would grind to a halt, not least through a lack of competitiveness. Global sourcing, by further reducing the unit costs of production and enabling UK firms to take advantage of foreign know-how, helps UK businesses maintain and improve competitiveness on global markets.</w:t>
      </w:r>
    </w:p>
    <w:p w14:paraId="65CE26DA" w14:textId="77777777" w:rsidR="001E6939" w:rsidRDefault="001E6939" w:rsidP="00E5404F">
      <w:r>
        <w:t>Importing is also of significant benefit to UK consumers, not only as a result of the competitiveness of domestic businesses as a result of global sourcing of inputs, but also more directly from the competition that imports deliver to the market. This can mean lower prices for the same or superior quality and greater choice. Domestic firms must respond and improve efficiency to remain competitive vis-á-vis foreign suppliers.</w:t>
      </w:r>
    </w:p>
    <w:p w14:paraId="30B55655" w14:textId="77777777" w:rsidR="001E6939" w:rsidRDefault="001E6939" w:rsidP="00E5404F">
      <w:r>
        <w:lastRenderedPageBreak/>
        <w:t>The maritime sector, and the sea transportation it enables, are ultimately a means to an end rather than an end in themselves. Before the explosion in commercial aviation, maritime was about the only means of connecting UK people and goods with the rest of the world. But people and goods travel beyond the UK for a range of different reasons and it is from these activities that the demand for maritime and aviation services is ultimately derived. For example, people travel to holiday, to meet friends and relatives, or to attend a conference or meeting in a business capacity. Goods are sent to and from the UK either as final goods or as inputs to final goods, which are then exported or sold on the domestic market.</w:t>
      </w:r>
    </w:p>
    <w:p w14:paraId="37BDCC40" w14:textId="77777777" w:rsidR="001E6939" w:rsidRDefault="001E6939" w:rsidP="00E5404F">
      <w:r>
        <w:t>Moving people who want to travel beyond the UK in their own car – typically for family holidaymakers – remains an important aspect of the maritime services sector but, in overall terms, it has declined in popularity, especially since the low-cost carrier revolution in aviation. Today, one of the maritime sector’s principal functions is to provide an international gateway for the movement of goods between the UK and the rest of the world. The choice between sea and air transport boils down to the relative levels of the value per tonne of goods being moved and the cost per tonne of transporting those goods to or from the UK. Because it’s cheaper, sea transport tends to attract goods of relatively low value-to-weight that are less time-critical. As it stands, sea trade accounts for 95% of the UK trade by volume which includes 48% of UK food supplies, illustrating its importance.</w:t>
      </w:r>
      <w:r>
        <w:rPr>
          <w:rStyle w:val="FootnoteReference"/>
        </w:rPr>
        <w:footnoteReference w:id="15"/>
      </w:r>
    </w:p>
    <w:p w14:paraId="07519722" w14:textId="2BCC7E4A" w:rsidR="001E6939" w:rsidRDefault="001E6939" w:rsidP="00E5404F">
      <w:r>
        <w:t xml:space="preserve">But not all high-tech manufacturing industries produce high value-to-weight goods like pharmaceuticals or computer chips. Machinery and transport equipment is a key UK export sector and was worth </w:t>
      </w:r>
      <w:r w:rsidRPr="00123880">
        <w:rPr>
          <w:color w:val="000000" w:themeColor="text1"/>
        </w:rPr>
        <w:t xml:space="preserve">£75 </w:t>
      </w:r>
      <w:r w:rsidR="001C79ED">
        <w:rPr>
          <w:color w:val="000000" w:themeColor="text1"/>
        </w:rPr>
        <w:t xml:space="preserve">million </w:t>
      </w:r>
      <w:r w:rsidRPr="00123880">
        <w:rPr>
          <w:color w:val="000000" w:themeColor="text1"/>
        </w:rPr>
        <w:t xml:space="preserve">in export value terms to the UK economy in 2017, equating to 42% of </w:t>
      </w:r>
      <w:r>
        <w:t>all UK exports with Non-EU countries.</w:t>
      </w:r>
      <w:r>
        <w:rPr>
          <w:rStyle w:val="FootnoteReference"/>
        </w:rPr>
        <w:footnoteReference w:id="16"/>
      </w:r>
      <w:r>
        <w:t xml:space="preserve"> </w:t>
      </w:r>
      <w:bookmarkStart w:id="31" w:name="_GoBack"/>
      <w:bookmarkEnd w:id="31"/>
      <w:r>
        <w:t xml:space="preserve">The importance of maritime to this high-tech, high-value manufacturing sector is unlikely to be anywhere more clearly reflected than in the statistics on the volume and value share of total UK trade with non-EU countries in these goods that is being handled by the Solent ports. </w:t>
      </w:r>
    </w:p>
    <w:p w14:paraId="601FABB2" w14:textId="77777777" w:rsidR="001E6939" w:rsidRDefault="001E6939" w:rsidP="00E5404F">
      <w:r>
        <w:t xml:space="preserve">Given the commonality in the statistics between the top 20 exports from and the top 20 imports to the UK, there seems little doubt that the Solent maritime sector provides a vital link in the integrated chain of globalised supply and demand for the goods of key UK export sectors, such as machinery and transport equipment. In other words, industries like motor manufacturing consist of businesses </w:t>
      </w:r>
      <w:r w:rsidRPr="00474AEA">
        <w:t xml:space="preserve">up and down the UK </w:t>
      </w:r>
      <w:r>
        <w:t xml:space="preserve">that </w:t>
      </w:r>
      <w:r w:rsidRPr="00474AEA">
        <w:t xml:space="preserve">are dependent on the Solent LEP </w:t>
      </w:r>
      <w:r>
        <w:t xml:space="preserve">ports and </w:t>
      </w:r>
      <w:r w:rsidRPr="00474AEA">
        <w:t xml:space="preserve">its maritime sector </w:t>
      </w:r>
      <w:r>
        <w:t xml:space="preserve">both for </w:t>
      </w:r>
      <w:r w:rsidRPr="00474AEA">
        <w:t>get</w:t>
      </w:r>
      <w:r>
        <w:t>ting</w:t>
      </w:r>
      <w:r w:rsidRPr="00474AEA">
        <w:t xml:space="preserve"> their finished goods to market</w:t>
      </w:r>
      <w:r>
        <w:t xml:space="preserve"> and </w:t>
      </w:r>
      <w:r w:rsidRPr="00474AEA">
        <w:t>get</w:t>
      </w:r>
      <w:r>
        <w:t>ting</w:t>
      </w:r>
      <w:r w:rsidRPr="00474AEA">
        <w:t xml:space="preserve"> their essential inputs from abroad</w:t>
      </w:r>
      <w:r>
        <w:t xml:space="preserve">. This, along with analysis of other sectors that appear to depend on the maritime sector in the Solent, is the subject of later subsections. </w:t>
      </w:r>
    </w:p>
    <w:p w14:paraId="3A0ABC48" w14:textId="77777777" w:rsidR="001E6939" w:rsidRDefault="001E6939">
      <w:pPr>
        <w:pStyle w:val="Heading2"/>
      </w:pPr>
      <w:bookmarkStart w:id="32" w:name="_Toc504572219"/>
      <w:bookmarkStart w:id="33" w:name="_Toc15987481"/>
      <w:bookmarkStart w:id="34" w:name="_Toc20139730"/>
      <w:r>
        <w:t>The Solent’s share of freight volumes through seaports</w:t>
      </w:r>
      <w:bookmarkEnd w:id="32"/>
      <w:bookmarkEnd w:id="33"/>
      <w:bookmarkEnd w:id="34"/>
    </w:p>
    <w:p w14:paraId="42C633A0" w14:textId="77777777" w:rsidR="00D17FEA" w:rsidRDefault="001E6939" w:rsidP="00D17FEA">
      <w:r>
        <w:t xml:space="preserve">The Solent LEP region contains the major ports of Southampton and Portsmouth, as well the port of Cowes on the Isle of Wight. As such the Solent LEP makes a disproportionately large contribution to the level of freight traffic handled in the UK, both in an inwards and outwards direction. </w:t>
      </w:r>
      <w:r>
        <w:fldChar w:fldCharType="begin"/>
      </w:r>
      <w:r>
        <w:instrText xml:space="preserve"> REF _Ref14944362 \h </w:instrText>
      </w:r>
      <w:r w:rsidR="008F77CA">
        <w:instrText xml:space="preserve"> \* MERGEFORMAT </w:instrText>
      </w:r>
      <w:r>
        <w:fldChar w:fldCharType="separate"/>
      </w:r>
    </w:p>
    <w:p w14:paraId="48E5F038" w14:textId="3E931ABB" w:rsidR="001E6939" w:rsidRDefault="00D17FEA" w:rsidP="00E5404F">
      <w:r>
        <w:t>Figure</w:t>
      </w:r>
      <w:r>
        <w:rPr>
          <w:noProof/>
        </w:rPr>
        <w:t xml:space="preserve"> 3</w:t>
      </w:r>
      <w:r w:rsidR="001E6939">
        <w:fldChar w:fldCharType="end"/>
      </w:r>
      <w:r w:rsidR="001E6939">
        <w:rPr>
          <w:color w:val="ED1C24" w:themeColor="accent5"/>
        </w:rPr>
        <w:t xml:space="preserve"> </w:t>
      </w:r>
      <w:r w:rsidR="001E6939">
        <w:t xml:space="preserve">below shows trends in the total level of freight traffic handled by ports in the Solent LEP region between 1990 and </w:t>
      </w:r>
      <w:proofErr w:type="gramStart"/>
      <w:r w:rsidR="001E6939">
        <w:t>2017, and</w:t>
      </w:r>
      <w:proofErr w:type="gramEnd"/>
      <w:r w:rsidR="001E6939">
        <w:t xml:space="preserve"> expressed as a share of the UK total. This information is taken from the Department of Transport’s Port Freight Statistics. </w:t>
      </w:r>
    </w:p>
    <w:p w14:paraId="45FDDBCC" w14:textId="77777777" w:rsidR="008D4913" w:rsidRDefault="008D4913" w:rsidP="001E6939">
      <w:pPr>
        <w:jc w:val="both"/>
      </w:pPr>
    </w:p>
    <w:p w14:paraId="1095D8E2" w14:textId="77777777" w:rsidR="000152D2" w:rsidRDefault="000152D2" w:rsidP="001E6939">
      <w:pPr>
        <w:jc w:val="both"/>
      </w:pPr>
    </w:p>
    <w:p w14:paraId="5FAE0D9F" w14:textId="77777777" w:rsidR="000152D2" w:rsidRDefault="000152D2" w:rsidP="001E6939">
      <w:pPr>
        <w:jc w:val="both"/>
      </w:pPr>
    </w:p>
    <w:p w14:paraId="3323F671" w14:textId="77777777" w:rsidR="000152D2" w:rsidRDefault="000152D2" w:rsidP="001E6939">
      <w:pPr>
        <w:pStyle w:val="Caption"/>
      </w:pPr>
      <w:bookmarkStart w:id="35" w:name="_Ref14944362"/>
    </w:p>
    <w:p w14:paraId="383D7AEC" w14:textId="1CAD9FF8" w:rsidR="001E6939" w:rsidRDefault="001E6939" w:rsidP="001E6939">
      <w:pPr>
        <w:pStyle w:val="Caption"/>
      </w:pPr>
      <w:r>
        <w:lastRenderedPageBreak/>
        <w:t xml:space="preserve">Figure </w:t>
      </w:r>
      <w:r>
        <w:rPr>
          <w:noProof/>
        </w:rPr>
        <w:fldChar w:fldCharType="begin"/>
      </w:r>
      <w:r>
        <w:rPr>
          <w:noProof/>
        </w:rPr>
        <w:instrText xml:space="preserve"> SEQ Figure \* ARABIC </w:instrText>
      </w:r>
      <w:r>
        <w:rPr>
          <w:noProof/>
        </w:rPr>
        <w:fldChar w:fldCharType="separate"/>
      </w:r>
      <w:r w:rsidR="00D17FEA">
        <w:rPr>
          <w:noProof/>
        </w:rPr>
        <w:t>3</w:t>
      </w:r>
      <w:r>
        <w:rPr>
          <w:noProof/>
        </w:rPr>
        <w:fldChar w:fldCharType="end"/>
      </w:r>
      <w:bookmarkEnd w:id="35"/>
      <w:r>
        <w:t>: Total freight traffic in ports in the Solent LEP region, and as a share of the UK total</w:t>
      </w:r>
      <w:r w:rsidR="000152D2">
        <w:t xml:space="preserve"> (EU and Non-EU)</w:t>
      </w:r>
    </w:p>
    <w:p w14:paraId="29A17CC3" w14:textId="77777777" w:rsidR="001E6939" w:rsidRDefault="001E6939" w:rsidP="001E6939">
      <w:pPr>
        <w:keepNext/>
        <w:keepLines/>
        <w:spacing w:before="60" w:after="120"/>
        <w:jc w:val="right"/>
        <w:rPr>
          <w:i/>
          <w:sz w:val="18"/>
        </w:rPr>
      </w:pPr>
      <w:r>
        <w:rPr>
          <w:noProof/>
          <w:lang w:eastAsia="en-GB"/>
        </w:rPr>
        <w:drawing>
          <wp:inline distT="0" distB="0" distL="0" distR="0" wp14:anchorId="5DDF834E" wp14:editId="407907EF">
            <wp:extent cx="6120000" cy="3240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C6A73">
        <w:rPr>
          <w:i/>
          <w:sz w:val="18"/>
        </w:rPr>
        <w:t xml:space="preserve"> </w:t>
      </w:r>
      <w:r>
        <w:rPr>
          <w:i/>
          <w:sz w:val="18"/>
        </w:rPr>
        <w:t>Source: Department for Transport, Cebr analysis</w:t>
      </w:r>
    </w:p>
    <w:p w14:paraId="333C1431" w14:textId="77777777" w:rsidR="001E6939" w:rsidRDefault="001E6939" w:rsidP="00E5404F">
      <w:r>
        <w:t xml:space="preserve">Recent trends suggest that the Solent has become increasingly important as a hub for UK port freight traffic.  Freight traffic passing through the ports of Portsmouth, Southampton and Cowes steadily increased between 1990 and 2007, rising from 31.8 million to 48.0 million tonnes. The Solent’s share of total freight traffic handled in the UK also rose in this period from 6.5% to 8.3%. </w:t>
      </w:r>
    </w:p>
    <w:p w14:paraId="22DF5CFE" w14:textId="77777777" w:rsidR="001E6939" w:rsidRDefault="001E6939" w:rsidP="00E5404F">
      <w:r>
        <w:t>However, the recession in 2008-09 has coincided with a fall in freight traffic both in the Solent and at UK-level, although freight traffic in the Solent has stabilised in the last couple of years. Solent freight traffic was 41.7 million tonnes in 2015, recovering beyond the 2009 level of 41.3 million tonnes. Despite this, the Solent share of UK freight traffic remains at historically high levels, peaking at 8.5% in 2010 and reaching 8.4% in 2015. Since 2015, the Solent’s share of UK trade has fallen slightly to 8.0% in 2017. So despite the recession, the Solent LEP region has become increasingly important to the UK in terms of freight traffic handled.</w:t>
      </w:r>
    </w:p>
    <w:p w14:paraId="6DFF30CC" w14:textId="77777777" w:rsidR="001E6939" w:rsidRDefault="001E6939">
      <w:pPr>
        <w:pStyle w:val="Heading2"/>
      </w:pPr>
      <w:bookmarkStart w:id="36" w:name="_Toc504572220"/>
      <w:bookmarkStart w:id="37" w:name="_Toc15987482"/>
      <w:bookmarkStart w:id="38" w:name="_Toc20139731"/>
      <w:r>
        <w:t>The share of all Non-EU, UK trade facilitated by the Solent Maritime sector</w:t>
      </w:r>
      <w:bookmarkEnd w:id="36"/>
      <w:bookmarkEnd w:id="37"/>
      <w:bookmarkEnd w:id="38"/>
      <w:r>
        <w:t xml:space="preserve"> </w:t>
      </w:r>
    </w:p>
    <w:p w14:paraId="71FFE89C" w14:textId="77777777" w:rsidR="001E6939" w:rsidRDefault="001E6939" w:rsidP="00E5404F">
      <w:r>
        <w:t>The analysis above is useful in understanding the importance of the Solent LEP Maritime sector in providing a key gateway for international trade. However, it is rather limited in two respects:</w:t>
      </w:r>
    </w:p>
    <w:p w14:paraId="018B9519" w14:textId="77777777" w:rsidR="001E6939" w:rsidRDefault="001E6939" w:rsidP="00E5404F">
      <w:pPr>
        <w:pStyle w:val="ListBullet"/>
        <w:numPr>
          <w:ilvl w:val="0"/>
          <w:numId w:val="20"/>
        </w:numPr>
        <w:ind w:left="360"/>
        <w:rPr>
          <w:rFonts w:ascii="Calibri" w:eastAsia="Microsoft JhengHei" w:hAnsi="Calibri"/>
        </w:rPr>
      </w:pPr>
      <w:r>
        <w:rPr>
          <w:rFonts w:ascii="Calibri" w:eastAsia="Microsoft JhengHei" w:hAnsi="Calibri"/>
        </w:rPr>
        <w:t>It sets the Solent LEP Maritime sector within the context of freight that is facilitated by seaports only. Airports are also important international gateways and, so, understanding the role of the Solent LEP within the context of total UK trade is also important. This is important given that although 95%</w:t>
      </w:r>
      <w:r>
        <w:rPr>
          <w:rStyle w:val="FootnoteReference"/>
          <w:rFonts w:ascii="Calibri" w:eastAsia="Microsoft JhengHei" w:hAnsi="Calibri"/>
        </w:rPr>
        <w:footnoteReference w:id="17"/>
      </w:r>
      <w:r>
        <w:rPr>
          <w:rFonts w:ascii="Calibri" w:eastAsia="Microsoft JhengHei" w:hAnsi="Calibri"/>
        </w:rPr>
        <w:t xml:space="preserve"> of UK trade volume is through shipping, air freight accounts for 40% of the value of UK trade.</w:t>
      </w:r>
      <w:r>
        <w:rPr>
          <w:rStyle w:val="FootnoteReference"/>
          <w:rFonts w:ascii="Calibri" w:eastAsia="Microsoft JhengHei" w:hAnsi="Calibri"/>
        </w:rPr>
        <w:footnoteReference w:id="18"/>
      </w:r>
    </w:p>
    <w:p w14:paraId="62E38D43" w14:textId="77777777" w:rsidR="001E6939" w:rsidRDefault="001E6939" w:rsidP="00E5404F">
      <w:pPr>
        <w:pStyle w:val="ListBullet"/>
        <w:numPr>
          <w:ilvl w:val="0"/>
          <w:numId w:val="20"/>
        </w:numPr>
        <w:ind w:left="360"/>
        <w:rPr>
          <w:rFonts w:ascii="Calibri" w:eastAsia="Microsoft JhengHei" w:hAnsi="Calibri"/>
        </w:rPr>
      </w:pPr>
      <w:r>
        <w:rPr>
          <w:rFonts w:ascii="Calibri" w:eastAsia="Microsoft JhengHei" w:hAnsi="Calibri"/>
        </w:rPr>
        <w:t xml:space="preserve">The analysis of tonnage alone fails to convey the important gateway role of the Solent LEP Maritime sector in terms of the value of trade that it facilitates. </w:t>
      </w:r>
    </w:p>
    <w:p w14:paraId="4EAF317C" w14:textId="77777777" w:rsidR="001E6939" w:rsidRDefault="001E6939" w:rsidP="00E5404F">
      <w:r>
        <w:lastRenderedPageBreak/>
        <w:t xml:space="preserve">This broader perspective can be gleaned through an examination of the Overseas Trade Statistics produced by Her Majesty’s Revenue and Customs (HMRC). </w:t>
      </w:r>
    </w:p>
    <w:p w14:paraId="320A47CD" w14:textId="42F2A68E" w:rsidR="001E6939" w:rsidRDefault="001E6939" w:rsidP="00E5404F">
      <w:r>
        <w:fldChar w:fldCharType="begin"/>
      </w:r>
      <w:r>
        <w:instrText xml:space="preserve"> REF _Ref14946019 \h </w:instrText>
      </w:r>
      <w:r w:rsidR="00AD307F">
        <w:instrText xml:space="preserve"> \* MERGEFORMAT </w:instrText>
      </w:r>
      <w:r>
        <w:fldChar w:fldCharType="separate"/>
      </w:r>
      <w:r w:rsidR="00D17FEA">
        <w:t xml:space="preserve">Figure </w:t>
      </w:r>
      <w:r w:rsidR="00D17FEA">
        <w:rPr>
          <w:noProof/>
        </w:rPr>
        <w:t>4</w:t>
      </w:r>
      <w:r>
        <w:fldChar w:fldCharType="end"/>
      </w:r>
      <w:r>
        <w:t xml:space="preserve"> illustrates the Solent LEP share of total UK trade with non-EU countries, in terms of both import and export </w:t>
      </w:r>
      <w:r>
        <w:rPr>
          <w:i/>
        </w:rPr>
        <w:t>volumes</w:t>
      </w:r>
      <w:r>
        <w:t xml:space="preserve">, for each year in the period 2010 to 2017. In 2014, the Solent LEP accounted for 20% of UK exports by volume, and 10% of UK imports by volume, with non-EU countries. While the share of exports by volume fell to 13% in 2017, this is unsurprising as there can be large fluctuations in trade when drilling down to individual products, ports and trading partners. Fluctuations in the Solent percentage shares can be as much driven by changes in total volumes and the volumes passing through other seaports and airports as they are by changes in volumes through the Solent. Given that volume fell to a similar level in 2013 and rebounded in 2014, the decline may simply be a fluctuation rather than indicative of the Solent area becoming less important. </w:t>
      </w:r>
    </w:p>
    <w:p w14:paraId="4F715093" w14:textId="77777777" w:rsidR="001E6939" w:rsidRDefault="001E6939" w:rsidP="001E6939">
      <w:pPr>
        <w:pStyle w:val="Caption"/>
      </w:pPr>
      <w:bookmarkStart w:id="39" w:name="_Ref14946019"/>
      <w:r>
        <w:t xml:space="preserve">Figure </w:t>
      </w:r>
      <w:r>
        <w:rPr>
          <w:noProof/>
        </w:rPr>
        <w:fldChar w:fldCharType="begin"/>
      </w:r>
      <w:r>
        <w:rPr>
          <w:noProof/>
        </w:rPr>
        <w:instrText xml:space="preserve"> SEQ Figure \* ARABIC </w:instrText>
      </w:r>
      <w:r>
        <w:rPr>
          <w:noProof/>
        </w:rPr>
        <w:fldChar w:fldCharType="separate"/>
      </w:r>
      <w:r w:rsidR="00D17FEA">
        <w:rPr>
          <w:noProof/>
        </w:rPr>
        <w:t>4</w:t>
      </w:r>
      <w:r>
        <w:rPr>
          <w:noProof/>
        </w:rPr>
        <w:fldChar w:fldCharType="end"/>
      </w:r>
      <w:bookmarkEnd w:id="39"/>
      <w:r>
        <w:t xml:space="preserve">: Solent LEP shares of total UK trade with non-EU countries, exports and imports by VOLUME, %, 2010-2017  </w:t>
      </w:r>
    </w:p>
    <w:p w14:paraId="492CEDB8" w14:textId="77777777" w:rsidR="001E6939" w:rsidRDefault="001E6939" w:rsidP="001E6939">
      <w:pPr>
        <w:jc w:val="both"/>
      </w:pPr>
      <w:r>
        <w:rPr>
          <w:noProof/>
          <w:lang w:eastAsia="en-GB"/>
        </w:rPr>
        <w:drawing>
          <wp:inline distT="0" distB="0" distL="0" distR="0" wp14:anchorId="0DC2809C" wp14:editId="76165A21">
            <wp:extent cx="6120000" cy="3240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A88F46" w14:textId="77777777" w:rsidR="001E6939" w:rsidRDefault="001E6939" w:rsidP="001E6939">
      <w:pPr>
        <w:keepNext/>
        <w:keepLines/>
        <w:spacing w:before="60" w:after="120"/>
        <w:jc w:val="right"/>
        <w:rPr>
          <w:i/>
          <w:sz w:val="18"/>
        </w:rPr>
      </w:pPr>
      <w:r>
        <w:rPr>
          <w:i/>
          <w:sz w:val="18"/>
        </w:rPr>
        <w:t>Source: HMRC Overseas Trade Statistics, Eurostat, Cebr analysis</w:t>
      </w:r>
    </w:p>
    <w:p w14:paraId="6C8D4BB1" w14:textId="17DD0A5D" w:rsidR="001E6939" w:rsidRDefault="001E6939" w:rsidP="00E5404F">
      <w:r>
        <w:t xml:space="preserve">While </w:t>
      </w:r>
      <w:r>
        <w:fldChar w:fldCharType="begin"/>
      </w:r>
      <w:r>
        <w:instrText xml:space="preserve"> REF _Ref14946019 \h </w:instrText>
      </w:r>
      <w:r w:rsidR="00AD307F">
        <w:instrText xml:space="preserve"> \* MERGEFORMAT </w:instrText>
      </w:r>
      <w:r>
        <w:fldChar w:fldCharType="separate"/>
      </w:r>
      <w:r w:rsidR="00D17FEA">
        <w:t xml:space="preserve">Figure </w:t>
      </w:r>
      <w:r w:rsidR="00D17FEA">
        <w:rPr>
          <w:noProof/>
        </w:rPr>
        <w:t>4</w:t>
      </w:r>
      <w:r>
        <w:fldChar w:fldCharType="end"/>
      </w:r>
      <w:r>
        <w:t xml:space="preserve"> provides important information on volumes of international trade that are facilitated by the Solent LEP maritime sector, it is effectively silent on the value of this trade. With this in mind, </w:t>
      </w:r>
      <w:r>
        <w:fldChar w:fldCharType="begin"/>
      </w:r>
      <w:r>
        <w:instrText xml:space="preserve"> REF _Ref14946394 \h </w:instrText>
      </w:r>
      <w:r w:rsidR="00AD307F">
        <w:instrText xml:space="preserve"> \* MERGEFORMAT </w:instrText>
      </w:r>
      <w:r>
        <w:fldChar w:fldCharType="separate"/>
      </w:r>
      <w:r w:rsidR="00D17FEA">
        <w:t xml:space="preserve">Figure </w:t>
      </w:r>
      <w:r w:rsidR="00D17FEA">
        <w:rPr>
          <w:noProof/>
        </w:rPr>
        <w:t>5</w:t>
      </w:r>
      <w:r>
        <w:fldChar w:fldCharType="end"/>
      </w:r>
      <w:r>
        <w:t xml:space="preserve">  illustrates the Solent LEP share of total UK trade with non-EU countries by value, for the period 2010 to 2017. In 2017 the Solent LEP share of total UK export value was 13%, while the share of imports by value was 11%. While the Solent export shares were higher in 2015, the same issues around fluctuation apply here. In any case, the overall trend for exports is upwards meaning that the Solent maritime sector has grown in importance in terms of the share of the value of trade being facilitated. However, the trend for imports is slightly negative, suggesting a lesser role for the Solent region for Non-EU imports. </w:t>
      </w:r>
    </w:p>
    <w:p w14:paraId="08F88604" w14:textId="77777777" w:rsidR="001E6939" w:rsidRDefault="001E6939" w:rsidP="001E6939">
      <w:pPr>
        <w:jc w:val="both"/>
      </w:pPr>
    </w:p>
    <w:p w14:paraId="4139EB45" w14:textId="77777777" w:rsidR="001E6939" w:rsidRDefault="001E6939" w:rsidP="001E6939">
      <w:pPr>
        <w:jc w:val="both"/>
      </w:pPr>
    </w:p>
    <w:p w14:paraId="660394A9" w14:textId="77777777" w:rsidR="001E6939" w:rsidRDefault="001E6939" w:rsidP="001E6939">
      <w:pPr>
        <w:jc w:val="both"/>
      </w:pPr>
    </w:p>
    <w:p w14:paraId="326B10C8" w14:textId="77777777" w:rsidR="001E6939" w:rsidRDefault="001E6939" w:rsidP="001E6939">
      <w:pPr>
        <w:jc w:val="both"/>
      </w:pPr>
    </w:p>
    <w:p w14:paraId="506F8606" w14:textId="77777777" w:rsidR="001E6939" w:rsidRDefault="001E6939" w:rsidP="001E6939">
      <w:pPr>
        <w:jc w:val="both"/>
      </w:pPr>
    </w:p>
    <w:p w14:paraId="617564F3" w14:textId="77777777" w:rsidR="001E6939" w:rsidRDefault="001E6939" w:rsidP="001E6939">
      <w:pPr>
        <w:jc w:val="both"/>
      </w:pPr>
    </w:p>
    <w:p w14:paraId="6FAEB722" w14:textId="77777777" w:rsidR="001E6939" w:rsidRDefault="001E6939" w:rsidP="001E6939">
      <w:pPr>
        <w:jc w:val="both"/>
      </w:pPr>
    </w:p>
    <w:p w14:paraId="039DA849" w14:textId="77777777" w:rsidR="001E6939" w:rsidRDefault="001E6939" w:rsidP="001E6939">
      <w:pPr>
        <w:pStyle w:val="Caption"/>
      </w:pPr>
      <w:bookmarkStart w:id="40" w:name="_Ref14946394"/>
      <w:r>
        <w:t xml:space="preserve">Figure </w:t>
      </w:r>
      <w:r>
        <w:rPr>
          <w:noProof/>
        </w:rPr>
        <w:fldChar w:fldCharType="begin"/>
      </w:r>
      <w:r>
        <w:rPr>
          <w:noProof/>
        </w:rPr>
        <w:instrText xml:space="preserve"> SEQ Figure \* ARABIC </w:instrText>
      </w:r>
      <w:r>
        <w:rPr>
          <w:noProof/>
        </w:rPr>
        <w:fldChar w:fldCharType="separate"/>
      </w:r>
      <w:r w:rsidR="00D17FEA">
        <w:rPr>
          <w:noProof/>
        </w:rPr>
        <w:t>5</w:t>
      </w:r>
      <w:r>
        <w:rPr>
          <w:noProof/>
        </w:rPr>
        <w:fldChar w:fldCharType="end"/>
      </w:r>
      <w:bookmarkEnd w:id="40"/>
      <w:r>
        <w:t xml:space="preserve">: Solent LEP shares of total UK trade with non-EU countries, </w:t>
      </w:r>
      <w:r w:rsidRPr="000340CC">
        <w:rPr>
          <w:u w:val="single"/>
        </w:rPr>
        <w:t>exports</w:t>
      </w:r>
      <w:r>
        <w:t xml:space="preserve"> and imports by VALUE, %, 2010-2017</w:t>
      </w:r>
    </w:p>
    <w:p w14:paraId="524DAA0C" w14:textId="77777777" w:rsidR="001E6939" w:rsidRPr="001F7CA0" w:rsidRDefault="001E6939" w:rsidP="001E6939">
      <w:r>
        <w:rPr>
          <w:noProof/>
          <w:lang w:eastAsia="en-GB"/>
        </w:rPr>
        <w:drawing>
          <wp:inline distT="0" distB="0" distL="0" distR="0" wp14:anchorId="367F1CF2" wp14:editId="4212C261">
            <wp:extent cx="6120000" cy="32400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816AAD" w14:textId="77777777" w:rsidR="001E6939" w:rsidRDefault="001E6939" w:rsidP="001E6939">
      <w:pPr>
        <w:keepNext/>
        <w:keepLines/>
        <w:spacing w:before="60" w:after="120"/>
        <w:jc w:val="right"/>
        <w:rPr>
          <w:i/>
          <w:sz w:val="18"/>
        </w:rPr>
      </w:pPr>
      <w:r>
        <w:rPr>
          <w:i/>
          <w:sz w:val="18"/>
        </w:rPr>
        <w:t>Source: HMRC Overseas Trade Statistics, Eurostat, Cebr analysis</w:t>
      </w:r>
    </w:p>
    <w:p w14:paraId="2968C08C" w14:textId="25541082" w:rsidR="00D17FEA" w:rsidRDefault="001E6939" w:rsidP="001E6939">
      <w:pPr>
        <w:pStyle w:val="Caption"/>
      </w:pPr>
      <w:r>
        <w:fldChar w:fldCharType="begin"/>
      </w:r>
      <w:r>
        <w:instrText xml:space="preserve"> REF _Ref14947584 \h </w:instrText>
      </w:r>
      <w:r w:rsidR="00126286">
        <w:instrText xml:space="preserve"> \* MERGEFORMAT </w:instrText>
      </w:r>
      <w:r>
        <w:fldChar w:fldCharType="separate"/>
      </w:r>
    </w:p>
    <w:p w14:paraId="67E619EE" w14:textId="4B413B10" w:rsidR="001E6939" w:rsidRDefault="00D17FEA" w:rsidP="00E5404F">
      <w:r>
        <w:t xml:space="preserve">Figure </w:t>
      </w:r>
      <w:r>
        <w:rPr>
          <w:noProof/>
        </w:rPr>
        <w:t>6</w:t>
      </w:r>
      <w:r w:rsidR="001E6939">
        <w:fldChar w:fldCharType="end"/>
      </w:r>
      <w:r w:rsidR="001E6939">
        <w:t xml:space="preserve"> provides a detailed breakdown of how the Solent share of UK </w:t>
      </w:r>
      <w:r w:rsidR="001E6939" w:rsidRPr="00965EC6">
        <w:t>exports</w:t>
      </w:r>
      <w:r w:rsidR="001E6939">
        <w:t xml:space="preserve"> to non-EU countries was split across continents in 2017, by both value and volume. The continental regions that account most for volume of trade are the Middle East and North Africa (23%), North America (22%) and Sub-Saharan Africa (20%). In terms of value, the most prominent regions are Asia and Oceania (20%), North America (16%) and the Middle East and North Africa and Sub-Saharan Africa (10% each). The fact that trade by volume is high with Sub-Saharan Africa, but the share of value is low (10%), indicates that while the goods being traded are of high volume, they are of low value. The reverse is true with Asia and Oceania; trade volume is low, but value is high. </w:t>
      </w:r>
    </w:p>
    <w:p w14:paraId="017DAA50" w14:textId="77777777" w:rsidR="001E6939" w:rsidRDefault="001E6939" w:rsidP="001E6939">
      <w:pPr>
        <w:jc w:val="both"/>
      </w:pPr>
    </w:p>
    <w:p w14:paraId="4CFB7349" w14:textId="77777777" w:rsidR="001E6939" w:rsidRDefault="001E6939" w:rsidP="001E6939">
      <w:pPr>
        <w:jc w:val="both"/>
      </w:pPr>
    </w:p>
    <w:p w14:paraId="6582A883" w14:textId="77777777" w:rsidR="001E6939" w:rsidRDefault="001E6939" w:rsidP="001E6939">
      <w:pPr>
        <w:jc w:val="both"/>
      </w:pPr>
    </w:p>
    <w:p w14:paraId="60878B98" w14:textId="77777777" w:rsidR="001E6939" w:rsidRDefault="001E6939" w:rsidP="001E6939">
      <w:pPr>
        <w:jc w:val="both"/>
      </w:pPr>
    </w:p>
    <w:p w14:paraId="4B033689" w14:textId="77777777" w:rsidR="001E6939" w:rsidRDefault="001E6939" w:rsidP="001E6939">
      <w:pPr>
        <w:jc w:val="both"/>
      </w:pPr>
    </w:p>
    <w:p w14:paraId="55A3E6A4" w14:textId="77777777" w:rsidR="001E6939" w:rsidRDefault="001E6939" w:rsidP="001E6939">
      <w:pPr>
        <w:pStyle w:val="Caption"/>
      </w:pPr>
      <w:bookmarkStart w:id="41" w:name="_Ref14947584"/>
    </w:p>
    <w:p w14:paraId="10EE210E" w14:textId="77777777" w:rsidR="001E6939" w:rsidRDefault="001E6939" w:rsidP="001E6939">
      <w:pPr>
        <w:pStyle w:val="Caption"/>
      </w:pPr>
    </w:p>
    <w:p w14:paraId="1A76C598" w14:textId="77777777" w:rsidR="001E6939" w:rsidRDefault="001E6939" w:rsidP="001E6939">
      <w:pPr>
        <w:pStyle w:val="Caption"/>
      </w:pPr>
    </w:p>
    <w:p w14:paraId="598711D6" w14:textId="77777777" w:rsidR="001E6939" w:rsidRDefault="001E6939" w:rsidP="001E6939">
      <w:pPr>
        <w:pStyle w:val="Caption"/>
      </w:pPr>
    </w:p>
    <w:p w14:paraId="1CACB09B" w14:textId="77777777" w:rsidR="001C146F" w:rsidRDefault="001C146F" w:rsidP="001E6939">
      <w:pPr>
        <w:pStyle w:val="Caption"/>
      </w:pPr>
    </w:p>
    <w:p w14:paraId="0BD40ED4" w14:textId="740108DD" w:rsidR="001E6939" w:rsidRDefault="001E6939" w:rsidP="001E6939">
      <w:pPr>
        <w:pStyle w:val="Caption"/>
      </w:pPr>
      <w:r>
        <w:lastRenderedPageBreak/>
        <w:t xml:space="preserve">Figure </w:t>
      </w:r>
      <w:r>
        <w:rPr>
          <w:noProof/>
        </w:rPr>
        <w:fldChar w:fldCharType="begin"/>
      </w:r>
      <w:r>
        <w:rPr>
          <w:noProof/>
        </w:rPr>
        <w:instrText xml:space="preserve"> SEQ Figure \* ARABIC </w:instrText>
      </w:r>
      <w:r>
        <w:rPr>
          <w:noProof/>
        </w:rPr>
        <w:fldChar w:fldCharType="separate"/>
      </w:r>
      <w:r w:rsidR="00D17FEA">
        <w:rPr>
          <w:noProof/>
        </w:rPr>
        <w:t>6</w:t>
      </w:r>
      <w:r>
        <w:rPr>
          <w:noProof/>
        </w:rPr>
        <w:fldChar w:fldCharType="end"/>
      </w:r>
      <w:bookmarkEnd w:id="41"/>
      <w:r>
        <w:t xml:space="preserve">: Solent LEP shares of non-EU </w:t>
      </w:r>
      <w:r w:rsidRPr="00713608">
        <w:rPr>
          <w:u w:val="single"/>
        </w:rPr>
        <w:t>exports</w:t>
      </w:r>
      <w:r>
        <w:t xml:space="preserve"> by continent, value and volume, 2017</w:t>
      </w:r>
    </w:p>
    <w:p w14:paraId="42B87AB2" w14:textId="3144F272" w:rsidR="008D4913" w:rsidRPr="008D4913" w:rsidRDefault="00577556" w:rsidP="008D4913">
      <w:r>
        <w:rPr>
          <w:noProof/>
          <w:lang w:eastAsia="en-GB"/>
        </w:rPr>
        <w:drawing>
          <wp:inline distT="0" distB="0" distL="0" distR="0" wp14:anchorId="3D15DA74" wp14:editId="0A6A6238">
            <wp:extent cx="6120000" cy="3240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49880C" w14:textId="0939B5D9" w:rsidR="001E6939" w:rsidRDefault="001E6939" w:rsidP="00577556">
      <w:pPr>
        <w:keepNext/>
        <w:keepLines/>
        <w:spacing w:before="60" w:after="120"/>
        <w:jc w:val="right"/>
        <w:rPr>
          <w:i/>
          <w:sz w:val="18"/>
        </w:rPr>
      </w:pPr>
      <w:r w:rsidRPr="00DC4A84">
        <w:rPr>
          <w:i/>
          <w:sz w:val="18"/>
        </w:rPr>
        <w:t xml:space="preserve"> </w:t>
      </w:r>
      <w:r>
        <w:rPr>
          <w:i/>
          <w:sz w:val="18"/>
        </w:rPr>
        <w:t>Source: HMRC Overseas Trade Statistics, Eurostat, Cebr analysis</w:t>
      </w:r>
    </w:p>
    <w:p w14:paraId="5CF51491" w14:textId="63A7E7F2" w:rsidR="001E6939" w:rsidRDefault="001E6939" w:rsidP="00E5404F">
      <w:r>
        <w:fldChar w:fldCharType="begin"/>
      </w:r>
      <w:r>
        <w:instrText xml:space="preserve"> REF _Ref14948746 \h </w:instrText>
      </w:r>
      <w:r w:rsidR="00126286">
        <w:instrText xml:space="preserve"> \* MERGEFORMAT </w:instrText>
      </w:r>
      <w:r>
        <w:fldChar w:fldCharType="separate"/>
      </w:r>
      <w:r w:rsidR="00D17FEA">
        <w:t xml:space="preserve">Figure </w:t>
      </w:r>
      <w:r w:rsidR="00D17FEA">
        <w:rPr>
          <w:noProof/>
        </w:rPr>
        <w:t>7</w:t>
      </w:r>
      <w:r>
        <w:fldChar w:fldCharType="end"/>
      </w:r>
      <w:r>
        <w:t xml:space="preserve"> focuses on imports: it provides a detailed breakdown of how the Solent LEP share of total UK </w:t>
      </w:r>
      <w:r w:rsidRPr="004319B9">
        <w:t>imports</w:t>
      </w:r>
      <w:r>
        <w:t xml:space="preserve"> with non-EU countries is split across continents in 2017, by both value and volume. The continental regions that account for the largest share of imports by volume are Asia and Oceania (15%), North America (12%), the Middle East and North Africa (11%) and Eastern Europe (11%).</w:t>
      </w:r>
    </w:p>
    <w:p w14:paraId="2298692F" w14:textId="1A7AEAF2" w:rsidR="001E6939" w:rsidRDefault="001E6939" w:rsidP="00E5404F">
      <w:r>
        <w:t xml:space="preserve">In terms of the share of imports by </w:t>
      </w:r>
      <w:r w:rsidRPr="004319B9">
        <w:t>value</w:t>
      </w:r>
      <w:r>
        <w:t>, Asia and Oceania is by far the largest contributor, with 16%, while North America is the next highest contributor – albeit with a significantly smaller share of 8%. In contrast to the discussion surrounding exports, Asia and Oceania is both a high volume and high value region the UK imports from compared to North America which is high value, lower volume.</w:t>
      </w:r>
    </w:p>
    <w:p w14:paraId="6E6179C4" w14:textId="77777777" w:rsidR="008D4913" w:rsidRDefault="008D4913" w:rsidP="001E6939">
      <w:pPr>
        <w:jc w:val="both"/>
      </w:pPr>
    </w:p>
    <w:p w14:paraId="46914BE5" w14:textId="77777777" w:rsidR="008D4913" w:rsidRDefault="008D4913" w:rsidP="001E6939">
      <w:pPr>
        <w:jc w:val="both"/>
      </w:pPr>
    </w:p>
    <w:p w14:paraId="4F196B14" w14:textId="77777777" w:rsidR="008D4913" w:rsidRDefault="008D4913" w:rsidP="001E6939">
      <w:pPr>
        <w:jc w:val="both"/>
      </w:pPr>
    </w:p>
    <w:p w14:paraId="1D2DC4C5" w14:textId="77777777" w:rsidR="008D4913" w:rsidRDefault="008D4913" w:rsidP="001E6939">
      <w:pPr>
        <w:jc w:val="both"/>
      </w:pPr>
    </w:p>
    <w:p w14:paraId="7FE27F9F" w14:textId="77777777" w:rsidR="008D4913" w:rsidRDefault="008D4913" w:rsidP="001E6939">
      <w:pPr>
        <w:jc w:val="both"/>
      </w:pPr>
    </w:p>
    <w:p w14:paraId="2F46F099" w14:textId="77777777" w:rsidR="008D4913" w:rsidRDefault="008D4913" w:rsidP="001E6939">
      <w:pPr>
        <w:jc w:val="both"/>
      </w:pPr>
    </w:p>
    <w:p w14:paraId="4F88DE8B" w14:textId="77777777" w:rsidR="008D4913" w:rsidRDefault="008D4913" w:rsidP="001E6939">
      <w:pPr>
        <w:jc w:val="both"/>
      </w:pPr>
    </w:p>
    <w:p w14:paraId="50CE66D7" w14:textId="77777777" w:rsidR="008D4913" w:rsidRDefault="008D4913" w:rsidP="001E6939">
      <w:pPr>
        <w:jc w:val="both"/>
      </w:pPr>
    </w:p>
    <w:p w14:paraId="194C38F9" w14:textId="77777777" w:rsidR="008D4913" w:rsidRDefault="008D4913" w:rsidP="001E6939">
      <w:pPr>
        <w:jc w:val="both"/>
      </w:pPr>
    </w:p>
    <w:p w14:paraId="27FFF025" w14:textId="77777777" w:rsidR="001C146F" w:rsidRDefault="001C146F" w:rsidP="001E6939">
      <w:pPr>
        <w:jc w:val="both"/>
      </w:pPr>
    </w:p>
    <w:p w14:paraId="20AC7A02" w14:textId="77777777" w:rsidR="001C146F" w:rsidRDefault="001C146F" w:rsidP="001E6939">
      <w:pPr>
        <w:jc w:val="both"/>
      </w:pPr>
    </w:p>
    <w:p w14:paraId="13D16BE8" w14:textId="77777777" w:rsidR="001C146F" w:rsidRDefault="001C146F" w:rsidP="001E6939">
      <w:pPr>
        <w:jc w:val="both"/>
      </w:pPr>
    </w:p>
    <w:p w14:paraId="4C07E2E0" w14:textId="77777777" w:rsidR="001E6939" w:rsidRDefault="001E6939" w:rsidP="001E6939">
      <w:pPr>
        <w:pStyle w:val="Caption"/>
      </w:pPr>
      <w:bookmarkStart w:id="42" w:name="_Ref14948746"/>
      <w:r>
        <w:lastRenderedPageBreak/>
        <w:t xml:space="preserve">Figure </w:t>
      </w:r>
      <w:r>
        <w:rPr>
          <w:noProof/>
        </w:rPr>
        <w:fldChar w:fldCharType="begin"/>
      </w:r>
      <w:r>
        <w:rPr>
          <w:noProof/>
        </w:rPr>
        <w:instrText xml:space="preserve"> SEQ Figure \* ARABIC </w:instrText>
      </w:r>
      <w:r>
        <w:rPr>
          <w:noProof/>
        </w:rPr>
        <w:fldChar w:fldCharType="separate"/>
      </w:r>
      <w:r w:rsidR="00D17FEA">
        <w:rPr>
          <w:noProof/>
        </w:rPr>
        <w:t>7</w:t>
      </w:r>
      <w:r>
        <w:rPr>
          <w:noProof/>
        </w:rPr>
        <w:fldChar w:fldCharType="end"/>
      </w:r>
      <w:bookmarkEnd w:id="42"/>
      <w:r>
        <w:t>:</w:t>
      </w:r>
      <w:r w:rsidRPr="000340CC">
        <w:t xml:space="preserve"> </w:t>
      </w:r>
      <w:r>
        <w:t xml:space="preserve">Solent LEP shares of non-EU </w:t>
      </w:r>
      <w:r w:rsidRPr="000340CC">
        <w:rPr>
          <w:u w:val="single"/>
        </w:rPr>
        <w:t>imports</w:t>
      </w:r>
      <w:r>
        <w:t xml:space="preserve"> by continent, value and volume, 2017</w:t>
      </w:r>
    </w:p>
    <w:p w14:paraId="65978B0E" w14:textId="7747922E" w:rsidR="001E6939" w:rsidRDefault="00577556" w:rsidP="001E6939">
      <w:pPr>
        <w:jc w:val="both"/>
      </w:pPr>
      <w:r>
        <w:rPr>
          <w:noProof/>
          <w:lang w:eastAsia="en-GB"/>
        </w:rPr>
        <w:drawing>
          <wp:inline distT="0" distB="0" distL="0" distR="0" wp14:anchorId="0FBFD43E" wp14:editId="4D3E06CB">
            <wp:extent cx="6120000" cy="32400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BE9692" w14:textId="77777777" w:rsidR="001E6939" w:rsidRDefault="001E6939" w:rsidP="001E6939">
      <w:pPr>
        <w:keepNext/>
        <w:keepLines/>
        <w:spacing w:before="60" w:after="120"/>
        <w:jc w:val="right"/>
        <w:rPr>
          <w:i/>
          <w:sz w:val="18"/>
        </w:rPr>
      </w:pPr>
      <w:r>
        <w:rPr>
          <w:i/>
          <w:sz w:val="18"/>
        </w:rPr>
        <w:t>Source: HMRC Overseas Trade Statistics, Eurostat, Cebr analysis</w:t>
      </w:r>
    </w:p>
    <w:p w14:paraId="07A30388" w14:textId="77777777" w:rsidR="001E6939" w:rsidRDefault="001E6939" w:rsidP="001E6939">
      <w:pPr>
        <w:jc w:val="both"/>
      </w:pPr>
    </w:p>
    <w:p w14:paraId="13CB3D7F" w14:textId="77777777" w:rsidR="001E6939" w:rsidRDefault="001E6939" w:rsidP="001E6939">
      <w:pPr>
        <w:pStyle w:val="Heading2"/>
      </w:pPr>
      <w:bookmarkStart w:id="43" w:name="_Ref499890819"/>
      <w:bookmarkStart w:id="44" w:name="_Ref499890836"/>
      <w:bookmarkStart w:id="45" w:name="_Ref499890841"/>
      <w:bookmarkStart w:id="46" w:name="_Ref499891274"/>
      <w:bookmarkStart w:id="47" w:name="_Ref499891275"/>
      <w:bookmarkStart w:id="48" w:name="_Toc504572221"/>
      <w:bookmarkStart w:id="49" w:name="_Toc15987483"/>
      <w:bookmarkStart w:id="50" w:name="_Toc20139732"/>
      <w:r>
        <w:t>The key Non-EU exporting sectors that depend on the Solent Maritime sector</w:t>
      </w:r>
      <w:bookmarkEnd w:id="43"/>
      <w:bookmarkEnd w:id="44"/>
      <w:bookmarkEnd w:id="45"/>
      <w:bookmarkEnd w:id="46"/>
      <w:bookmarkEnd w:id="47"/>
      <w:bookmarkEnd w:id="48"/>
      <w:bookmarkEnd w:id="49"/>
      <w:bookmarkEnd w:id="50"/>
    </w:p>
    <w:p w14:paraId="7702E75F" w14:textId="77777777" w:rsidR="001E6939" w:rsidRDefault="001E6939" w:rsidP="00E5404F">
      <w:r>
        <w:t>This subsection is structured as follows: we first provide a broad</w:t>
      </w:r>
      <w:r w:rsidRPr="0036045C">
        <w:t xml:space="preserve"> overview at the SITC 1-digit level</w:t>
      </w:r>
      <w:r>
        <w:t xml:space="preserve"> of</w:t>
      </w:r>
      <w:r w:rsidRPr="0036045C">
        <w:t xml:space="preserve"> the products whose exports are</w:t>
      </w:r>
      <w:r>
        <w:t xml:space="preserve"> most</w:t>
      </w:r>
      <w:r w:rsidRPr="0036045C">
        <w:t xml:space="preserve"> facilitated by the Solent-based Maritime sector. We then proceed to assess the more granular 2-digit and 3-digit SITC codes</w:t>
      </w:r>
      <w:r>
        <w:t xml:space="preserve"> focusing on the key export and import sectors.</w:t>
      </w:r>
      <w:r w:rsidRPr="0036045C">
        <w:t xml:space="preserve"> It is important to note that very little meaningful insight can be obtained beyond the 3-digit split (particularly for the types of goods being exported) and so for the purposes of tractability we </w:t>
      </w:r>
      <w:r>
        <w:t>have not gone beyond the 3-digit level</w:t>
      </w:r>
      <w:r w:rsidRPr="0036045C">
        <w:t>.</w:t>
      </w:r>
    </w:p>
    <w:p w14:paraId="45732BF3" w14:textId="5F08F633" w:rsidR="001E6939" w:rsidRDefault="001E6939" w:rsidP="00E5404F">
      <w:r>
        <w:fldChar w:fldCharType="begin"/>
      </w:r>
      <w:r>
        <w:instrText xml:space="preserve"> REF _Ref14955583 \h </w:instrText>
      </w:r>
      <w:r w:rsidR="00126286">
        <w:instrText xml:space="preserve"> \* MERGEFORMAT </w:instrText>
      </w:r>
      <w:r>
        <w:fldChar w:fldCharType="separate"/>
      </w:r>
      <w:r w:rsidR="00D17FEA">
        <w:t xml:space="preserve">Table </w:t>
      </w:r>
      <w:r w:rsidR="00D17FEA">
        <w:rPr>
          <w:noProof/>
        </w:rPr>
        <w:t>3</w:t>
      </w:r>
      <w:r>
        <w:fldChar w:fldCharType="end"/>
      </w:r>
      <w:r w:rsidR="008D4913">
        <w:t xml:space="preserve"> </w:t>
      </w:r>
      <w:r>
        <w:t xml:space="preserve">presents results for the SITC 1-digit product categories. For each, the table provides the value of export trade that is facilitated by the Solent-based Maritime sector, and also the Solent percentage share of the value of total UK exports of this product category. As illustrated, products that fall under “Machinery &amp; Transport equipment” account for £16.6 billion of exports through the Solent region: this represents a 22.2% share of the total value of UK exports of this product category in 2017. </w:t>
      </w:r>
    </w:p>
    <w:p w14:paraId="29C3E294" w14:textId="1DB76596" w:rsidR="001E6939" w:rsidRDefault="001E6939" w:rsidP="00E5404F">
      <w:r>
        <w:t>Products that fall under “Crude materials, inedible, except fuels” are also particularly dependent on the Solent region, with 17.2% of UK exports of this product depending on the Solent region.  The value of this export trade is significantly lower than that of “Machinery &amp; transport equipment” at £0.8 billion. Other sectors that are particularly dependent on the Solent region for exports – by share of UK totals – include those whose products fall under “Food and live animals” (13.8%) and “Mineral fuels, lubricant</w:t>
      </w:r>
      <w:r w:rsidR="0051409C">
        <w:t>s &amp; related materials” (10.5%).</w:t>
      </w:r>
    </w:p>
    <w:p w14:paraId="47A58F0D" w14:textId="77777777" w:rsidR="008D4913" w:rsidRDefault="008D4913" w:rsidP="001E6939">
      <w:pPr>
        <w:jc w:val="both"/>
      </w:pPr>
    </w:p>
    <w:p w14:paraId="356DBE83" w14:textId="77777777" w:rsidR="008D4913" w:rsidRDefault="008D4913" w:rsidP="001E6939">
      <w:pPr>
        <w:jc w:val="both"/>
      </w:pPr>
    </w:p>
    <w:p w14:paraId="4E328ACB" w14:textId="77777777" w:rsidR="008D4913" w:rsidRDefault="008D4913" w:rsidP="001E6939">
      <w:pPr>
        <w:jc w:val="both"/>
      </w:pPr>
    </w:p>
    <w:p w14:paraId="04037A79" w14:textId="77777777" w:rsidR="008D4913" w:rsidRDefault="008D4913" w:rsidP="001E6939">
      <w:pPr>
        <w:jc w:val="both"/>
      </w:pPr>
    </w:p>
    <w:p w14:paraId="5AD80CA0" w14:textId="77777777" w:rsidR="001E6939" w:rsidRDefault="001E6939" w:rsidP="001E6939">
      <w:pPr>
        <w:pStyle w:val="Caption"/>
      </w:pPr>
      <w:bookmarkStart w:id="51" w:name="_Ref14955583"/>
      <w:r>
        <w:lastRenderedPageBreak/>
        <w:t xml:space="preserve">Table </w:t>
      </w:r>
      <w:r>
        <w:rPr>
          <w:noProof/>
        </w:rPr>
        <w:fldChar w:fldCharType="begin"/>
      </w:r>
      <w:r>
        <w:rPr>
          <w:noProof/>
        </w:rPr>
        <w:instrText xml:space="preserve"> SEQ Table \* ARABIC </w:instrText>
      </w:r>
      <w:r>
        <w:rPr>
          <w:noProof/>
        </w:rPr>
        <w:fldChar w:fldCharType="separate"/>
      </w:r>
      <w:r w:rsidR="00D17FEA">
        <w:rPr>
          <w:noProof/>
        </w:rPr>
        <w:t>3</w:t>
      </w:r>
      <w:r>
        <w:rPr>
          <w:noProof/>
        </w:rPr>
        <w:fldChar w:fldCharType="end"/>
      </w:r>
      <w:bookmarkEnd w:id="51"/>
      <w:r>
        <w:t>: Exports to non-EU countries by SITC 1-digit product category in 2017</w:t>
      </w:r>
    </w:p>
    <w:tbl>
      <w:tblPr>
        <w:tblW w:w="9348" w:type="dxa"/>
        <w:tblLook w:val="04A0" w:firstRow="1" w:lastRow="0" w:firstColumn="1" w:lastColumn="0" w:noHBand="0" w:noVBand="1"/>
      </w:tblPr>
      <w:tblGrid>
        <w:gridCol w:w="3116"/>
        <w:gridCol w:w="3116"/>
        <w:gridCol w:w="3116"/>
      </w:tblGrid>
      <w:tr w:rsidR="001E6939" w:rsidRPr="000E026B" w14:paraId="09418BED" w14:textId="77777777" w:rsidTr="008D4913">
        <w:trPr>
          <w:trHeight w:val="20"/>
        </w:trPr>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D692D31" w14:textId="77777777" w:rsidR="001E6939" w:rsidRPr="000E026B" w:rsidRDefault="001E6939" w:rsidP="001E6939">
            <w:pPr>
              <w:spacing w:after="0"/>
              <w:jc w:val="center"/>
              <w:rPr>
                <w:rFonts w:ascii="Calibri" w:eastAsia="Times New Roman" w:hAnsi="Calibri" w:cs="Calibri"/>
                <w:b/>
                <w:bCs/>
                <w:color w:val="FFFFFF"/>
                <w:sz w:val="20"/>
                <w:lang w:eastAsia="en-GB"/>
              </w:rPr>
            </w:pPr>
            <w:r w:rsidRPr="000E026B">
              <w:rPr>
                <w:rFonts w:ascii="Calibri" w:eastAsia="Times New Roman" w:hAnsi="Calibri" w:cs="Calibri"/>
                <w:b/>
                <w:bCs/>
                <w:color w:val="FFFFFF"/>
                <w:sz w:val="20"/>
                <w:lang w:eastAsia="en-GB"/>
              </w:rPr>
              <w:t>SITC 1-digit product categories</w:t>
            </w:r>
          </w:p>
        </w:tc>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6F78D30" w14:textId="77777777" w:rsidR="001E6939" w:rsidRPr="000E026B" w:rsidRDefault="001E6939" w:rsidP="001E6939">
            <w:pPr>
              <w:spacing w:after="0"/>
              <w:jc w:val="center"/>
              <w:rPr>
                <w:rFonts w:ascii="Calibri" w:eastAsia="Times New Roman" w:hAnsi="Calibri" w:cs="Calibri"/>
                <w:b/>
                <w:bCs/>
                <w:color w:val="FFFFFF"/>
                <w:sz w:val="20"/>
                <w:lang w:eastAsia="en-GB"/>
              </w:rPr>
            </w:pPr>
            <w:r w:rsidRPr="000E026B">
              <w:rPr>
                <w:rFonts w:ascii="Calibri" w:eastAsia="Times New Roman" w:hAnsi="Calibri" w:cs="Calibri"/>
                <w:b/>
                <w:bCs/>
                <w:color w:val="FFFFFF"/>
                <w:sz w:val="20"/>
                <w:lang w:eastAsia="en-GB"/>
              </w:rPr>
              <w:t>£ millions</w:t>
            </w:r>
          </w:p>
        </w:tc>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1F042DA" w14:textId="3707BCAC" w:rsidR="001E6939" w:rsidRPr="000E026B" w:rsidRDefault="001E6939" w:rsidP="00DE3B79">
            <w:pPr>
              <w:spacing w:after="0"/>
              <w:jc w:val="center"/>
              <w:rPr>
                <w:rFonts w:ascii="Calibri" w:eastAsia="Times New Roman" w:hAnsi="Calibri" w:cs="Calibri"/>
                <w:b/>
                <w:bCs/>
                <w:color w:val="FFFFFF"/>
                <w:sz w:val="20"/>
                <w:lang w:eastAsia="en-GB"/>
              </w:rPr>
            </w:pPr>
            <w:r w:rsidRPr="000E026B">
              <w:rPr>
                <w:rFonts w:ascii="Calibri" w:eastAsia="Times New Roman" w:hAnsi="Calibri" w:cs="Calibri"/>
                <w:b/>
                <w:bCs/>
                <w:color w:val="FFFFFF"/>
                <w:sz w:val="20"/>
                <w:lang w:eastAsia="en-GB"/>
              </w:rPr>
              <w:t>% share of UK total</w:t>
            </w:r>
            <w:r w:rsidR="00DE3B79">
              <w:rPr>
                <w:rFonts w:ascii="Calibri" w:eastAsia="Times New Roman" w:hAnsi="Calibri" w:cs="Calibri"/>
                <w:b/>
                <w:bCs/>
                <w:color w:val="FFFFFF"/>
                <w:sz w:val="20"/>
                <w:lang w:eastAsia="en-GB"/>
              </w:rPr>
              <w:t xml:space="preserve"> non-EU trade</w:t>
            </w:r>
          </w:p>
        </w:tc>
      </w:tr>
      <w:tr w:rsidR="001E6939" w:rsidRPr="000E026B" w14:paraId="3A9A5784" w14:textId="77777777" w:rsidTr="008D4913">
        <w:trPr>
          <w:trHeight w:val="20"/>
        </w:trPr>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2A1B7B3"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0 - Food &amp; live animals</w:t>
            </w:r>
          </w:p>
        </w:tc>
        <w:tc>
          <w:tcPr>
            <w:tcW w:w="3116" w:type="dxa"/>
            <w:tcBorders>
              <w:top w:val="nil"/>
              <w:left w:val="nil"/>
              <w:bottom w:val="single" w:sz="8" w:space="0" w:color="FFFFFF"/>
              <w:right w:val="single" w:sz="8" w:space="0" w:color="FFFFFF"/>
            </w:tcBorders>
            <w:shd w:val="clear" w:color="auto" w:fill="E7EEEF"/>
            <w:vAlign w:val="center"/>
            <w:hideMark/>
          </w:tcPr>
          <w:p w14:paraId="01111523"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588</w:t>
            </w:r>
          </w:p>
        </w:tc>
        <w:tc>
          <w:tcPr>
            <w:tcW w:w="3116" w:type="dxa"/>
            <w:tcBorders>
              <w:top w:val="nil"/>
              <w:left w:val="nil"/>
              <w:bottom w:val="single" w:sz="8" w:space="0" w:color="FFFFFF"/>
              <w:right w:val="single" w:sz="8" w:space="0" w:color="FFFFFF"/>
            </w:tcBorders>
            <w:shd w:val="clear" w:color="000000" w:fill="E7EEEF"/>
            <w:vAlign w:val="center"/>
            <w:hideMark/>
          </w:tcPr>
          <w:p w14:paraId="0764A1A8"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13.8%</w:t>
            </w:r>
          </w:p>
        </w:tc>
      </w:tr>
      <w:tr w:rsidR="001E6939" w:rsidRPr="000E026B" w14:paraId="2615887E" w14:textId="77777777" w:rsidTr="008D4913">
        <w:trPr>
          <w:trHeight w:val="20"/>
        </w:trPr>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E1C2BBF"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1 - Beverages &amp; tobacco</w:t>
            </w:r>
          </w:p>
        </w:tc>
        <w:tc>
          <w:tcPr>
            <w:tcW w:w="3116" w:type="dxa"/>
            <w:tcBorders>
              <w:top w:val="nil"/>
              <w:left w:val="nil"/>
              <w:bottom w:val="single" w:sz="8" w:space="0" w:color="FFFFFF"/>
              <w:right w:val="single" w:sz="8" w:space="0" w:color="FFFFFF"/>
            </w:tcBorders>
            <w:shd w:val="clear" w:color="auto" w:fill="D0CECE"/>
            <w:vAlign w:val="center"/>
            <w:hideMark/>
          </w:tcPr>
          <w:p w14:paraId="29C716CE"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267</w:t>
            </w:r>
          </w:p>
        </w:tc>
        <w:tc>
          <w:tcPr>
            <w:tcW w:w="3116" w:type="dxa"/>
            <w:tcBorders>
              <w:top w:val="nil"/>
              <w:left w:val="nil"/>
              <w:bottom w:val="single" w:sz="8" w:space="0" w:color="FFFFFF"/>
              <w:right w:val="single" w:sz="8" w:space="0" w:color="FFFFFF"/>
            </w:tcBorders>
            <w:shd w:val="clear" w:color="000000" w:fill="D0CECE"/>
            <w:vAlign w:val="center"/>
            <w:hideMark/>
          </w:tcPr>
          <w:p w14:paraId="55C29D33"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5.8%</w:t>
            </w:r>
          </w:p>
        </w:tc>
      </w:tr>
      <w:tr w:rsidR="001E6939" w:rsidRPr="000E026B" w14:paraId="2F8B430D" w14:textId="77777777" w:rsidTr="008D4913">
        <w:trPr>
          <w:trHeight w:val="20"/>
        </w:trPr>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32210E2"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2 - Crude materials, inedible, except fuels</w:t>
            </w:r>
          </w:p>
        </w:tc>
        <w:tc>
          <w:tcPr>
            <w:tcW w:w="3116" w:type="dxa"/>
            <w:tcBorders>
              <w:top w:val="nil"/>
              <w:left w:val="nil"/>
              <w:bottom w:val="single" w:sz="8" w:space="0" w:color="FFFFFF"/>
              <w:right w:val="single" w:sz="8" w:space="0" w:color="FFFFFF"/>
            </w:tcBorders>
            <w:shd w:val="clear" w:color="000000" w:fill="E7EEEF"/>
            <w:vAlign w:val="center"/>
            <w:hideMark/>
          </w:tcPr>
          <w:p w14:paraId="6CEE7009"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785</w:t>
            </w:r>
          </w:p>
        </w:tc>
        <w:tc>
          <w:tcPr>
            <w:tcW w:w="3116" w:type="dxa"/>
            <w:tcBorders>
              <w:top w:val="nil"/>
              <w:left w:val="nil"/>
              <w:bottom w:val="single" w:sz="8" w:space="0" w:color="FFFFFF"/>
              <w:right w:val="single" w:sz="8" w:space="0" w:color="FFFFFF"/>
            </w:tcBorders>
            <w:shd w:val="clear" w:color="000000" w:fill="E7EEEF"/>
            <w:vAlign w:val="center"/>
            <w:hideMark/>
          </w:tcPr>
          <w:p w14:paraId="124D037B"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17.2%</w:t>
            </w:r>
          </w:p>
        </w:tc>
      </w:tr>
      <w:tr w:rsidR="001E6939" w:rsidRPr="000E026B" w14:paraId="718C84E0" w14:textId="77777777" w:rsidTr="008D4913">
        <w:trPr>
          <w:trHeight w:val="20"/>
        </w:trPr>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C981A80"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3 - Mineral fuels, lubricants &amp; related materials</w:t>
            </w:r>
          </w:p>
        </w:tc>
        <w:tc>
          <w:tcPr>
            <w:tcW w:w="3116" w:type="dxa"/>
            <w:tcBorders>
              <w:top w:val="nil"/>
              <w:left w:val="nil"/>
              <w:bottom w:val="single" w:sz="8" w:space="0" w:color="FFFFFF"/>
              <w:right w:val="single" w:sz="8" w:space="0" w:color="FFFFFF"/>
            </w:tcBorders>
            <w:shd w:val="clear" w:color="000000" w:fill="D0CECE"/>
            <w:vAlign w:val="center"/>
            <w:hideMark/>
          </w:tcPr>
          <w:p w14:paraId="423D4CA2"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1,019</w:t>
            </w:r>
          </w:p>
        </w:tc>
        <w:tc>
          <w:tcPr>
            <w:tcW w:w="3116" w:type="dxa"/>
            <w:tcBorders>
              <w:top w:val="nil"/>
              <w:left w:val="nil"/>
              <w:bottom w:val="single" w:sz="8" w:space="0" w:color="FFFFFF"/>
              <w:right w:val="single" w:sz="8" w:space="0" w:color="FFFFFF"/>
            </w:tcBorders>
            <w:shd w:val="clear" w:color="000000" w:fill="D0CECE"/>
            <w:vAlign w:val="center"/>
            <w:hideMark/>
          </w:tcPr>
          <w:p w14:paraId="44B1BC2B"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10.5%</w:t>
            </w:r>
          </w:p>
        </w:tc>
      </w:tr>
      <w:tr w:rsidR="001E6939" w:rsidRPr="000E026B" w14:paraId="0F88A04F" w14:textId="77777777" w:rsidTr="008D4913">
        <w:trPr>
          <w:trHeight w:val="20"/>
        </w:trPr>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6D27B9D"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4 - Animal &amp; vegetable oils, fats &amp; waxes</w:t>
            </w:r>
          </w:p>
        </w:tc>
        <w:tc>
          <w:tcPr>
            <w:tcW w:w="3116" w:type="dxa"/>
            <w:tcBorders>
              <w:top w:val="nil"/>
              <w:left w:val="nil"/>
              <w:bottom w:val="single" w:sz="8" w:space="0" w:color="FFFFFF"/>
              <w:right w:val="single" w:sz="8" w:space="0" w:color="FFFFFF"/>
            </w:tcBorders>
            <w:shd w:val="clear" w:color="000000" w:fill="E7EEEF"/>
            <w:vAlign w:val="center"/>
            <w:hideMark/>
          </w:tcPr>
          <w:p w14:paraId="43DD01CA"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12</w:t>
            </w:r>
          </w:p>
        </w:tc>
        <w:tc>
          <w:tcPr>
            <w:tcW w:w="3116" w:type="dxa"/>
            <w:tcBorders>
              <w:top w:val="nil"/>
              <w:left w:val="nil"/>
              <w:bottom w:val="single" w:sz="8" w:space="0" w:color="FFFFFF"/>
              <w:right w:val="single" w:sz="8" w:space="0" w:color="FFFFFF"/>
            </w:tcBorders>
            <w:shd w:val="clear" w:color="000000" w:fill="E7EEEF"/>
            <w:vAlign w:val="center"/>
            <w:hideMark/>
          </w:tcPr>
          <w:p w14:paraId="109A6E5D"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14.3%</w:t>
            </w:r>
          </w:p>
        </w:tc>
      </w:tr>
      <w:tr w:rsidR="001E6939" w:rsidRPr="000E026B" w14:paraId="45727815" w14:textId="77777777" w:rsidTr="008D4913">
        <w:trPr>
          <w:trHeight w:val="20"/>
        </w:trPr>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77AA4DC"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 xml:space="preserve">5 - Chemicals &amp; related products, </w:t>
            </w:r>
            <w:proofErr w:type="spellStart"/>
            <w:r w:rsidRPr="00E5404F">
              <w:rPr>
                <w:rFonts w:ascii="Calibri" w:eastAsia="Times New Roman" w:hAnsi="Calibri" w:cs="Calibri"/>
                <w:bCs/>
                <w:color w:val="FFFFFF"/>
                <w:sz w:val="20"/>
                <w:lang w:eastAsia="en-GB"/>
              </w:rPr>
              <w:t>nes</w:t>
            </w:r>
            <w:proofErr w:type="spellEnd"/>
          </w:p>
        </w:tc>
        <w:tc>
          <w:tcPr>
            <w:tcW w:w="3116" w:type="dxa"/>
            <w:tcBorders>
              <w:top w:val="nil"/>
              <w:left w:val="nil"/>
              <w:bottom w:val="single" w:sz="8" w:space="0" w:color="FFFFFF"/>
              <w:right w:val="single" w:sz="8" w:space="0" w:color="FFFFFF"/>
            </w:tcBorders>
            <w:shd w:val="clear" w:color="000000" w:fill="D0CECE"/>
            <w:vAlign w:val="center"/>
            <w:hideMark/>
          </w:tcPr>
          <w:p w14:paraId="07133B35"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2,199</w:t>
            </w:r>
          </w:p>
        </w:tc>
        <w:tc>
          <w:tcPr>
            <w:tcW w:w="3116" w:type="dxa"/>
            <w:tcBorders>
              <w:top w:val="nil"/>
              <w:left w:val="nil"/>
              <w:bottom w:val="single" w:sz="8" w:space="0" w:color="FFFFFF"/>
              <w:right w:val="single" w:sz="8" w:space="0" w:color="FFFFFF"/>
            </w:tcBorders>
            <w:shd w:val="clear" w:color="000000" w:fill="D0CECE"/>
            <w:vAlign w:val="center"/>
            <w:hideMark/>
          </w:tcPr>
          <w:p w14:paraId="07D304F9"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8.8%</w:t>
            </w:r>
          </w:p>
        </w:tc>
      </w:tr>
      <w:tr w:rsidR="001E6939" w:rsidRPr="000E026B" w14:paraId="4BAB108E" w14:textId="77777777" w:rsidTr="008D4913">
        <w:trPr>
          <w:trHeight w:val="20"/>
        </w:trPr>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3759D3D"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6 - Manufactured goods classified chiefly by material</w:t>
            </w:r>
          </w:p>
        </w:tc>
        <w:tc>
          <w:tcPr>
            <w:tcW w:w="3116" w:type="dxa"/>
            <w:tcBorders>
              <w:top w:val="nil"/>
              <w:left w:val="nil"/>
              <w:bottom w:val="single" w:sz="8" w:space="0" w:color="FFFFFF"/>
              <w:right w:val="single" w:sz="8" w:space="0" w:color="FFFFFF"/>
            </w:tcBorders>
            <w:shd w:val="clear" w:color="000000" w:fill="E7EEEF"/>
            <w:vAlign w:val="center"/>
            <w:hideMark/>
          </w:tcPr>
          <w:p w14:paraId="621DFE4E"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1,217</w:t>
            </w:r>
          </w:p>
        </w:tc>
        <w:tc>
          <w:tcPr>
            <w:tcW w:w="3116" w:type="dxa"/>
            <w:tcBorders>
              <w:top w:val="nil"/>
              <w:left w:val="nil"/>
              <w:bottom w:val="single" w:sz="8" w:space="0" w:color="FFFFFF"/>
              <w:right w:val="single" w:sz="8" w:space="0" w:color="FFFFFF"/>
            </w:tcBorders>
            <w:shd w:val="clear" w:color="000000" w:fill="E7EEEF"/>
            <w:vAlign w:val="center"/>
            <w:hideMark/>
          </w:tcPr>
          <w:p w14:paraId="33B1EBAD"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9.3%</w:t>
            </w:r>
          </w:p>
        </w:tc>
      </w:tr>
      <w:tr w:rsidR="001E6939" w:rsidRPr="000E026B" w14:paraId="040D8534" w14:textId="77777777" w:rsidTr="008D4913">
        <w:trPr>
          <w:trHeight w:val="20"/>
        </w:trPr>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CA70713"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7 - Machinery &amp; transport equipment</w:t>
            </w:r>
          </w:p>
        </w:tc>
        <w:tc>
          <w:tcPr>
            <w:tcW w:w="3116" w:type="dxa"/>
            <w:tcBorders>
              <w:top w:val="nil"/>
              <w:left w:val="nil"/>
              <w:bottom w:val="single" w:sz="8" w:space="0" w:color="FFFFFF"/>
              <w:right w:val="single" w:sz="8" w:space="0" w:color="FFFFFF"/>
            </w:tcBorders>
            <w:shd w:val="clear" w:color="000000" w:fill="D0CECE"/>
            <w:vAlign w:val="center"/>
            <w:hideMark/>
          </w:tcPr>
          <w:p w14:paraId="2EC76EE5"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16,574</w:t>
            </w:r>
          </w:p>
        </w:tc>
        <w:tc>
          <w:tcPr>
            <w:tcW w:w="3116" w:type="dxa"/>
            <w:tcBorders>
              <w:top w:val="nil"/>
              <w:left w:val="nil"/>
              <w:bottom w:val="single" w:sz="8" w:space="0" w:color="FFFFFF"/>
              <w:right w:val="single" w:sz="8" w:space="0" w:color="FFFFFF"/>
            </w:tcBorders>
            <w:shd w:val="clear" w:color="000000" w:fill="D0CECE"/>
            <w:vAlign w:val="center"/>
            <w:hideMark/>
          </w:tcPr>
          <w:p w14:paraId="33F61EEF"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22.2%</w:t>
            </w:r>
          </w:p>
        </w:tc>
      </w:tr>
      <w:tr w:rsidR="001E6939" w:rsidRPr="000E026B" w14:paraId="48BB1808" w14:textId="77777777" w:rsidTr="008D4913">
        <w:trPr>
          <w:trHeight w:val="20"/>
        </w:trPr>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5BBCF38"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8 - Miscellaneous manufactured articles</w:t>
            </w:r>
          </w:p>
        </w:tc>
        <w:tc>
          <w:tcPr>
            <w:tcW w:w="3116" w:type="dxa"/>
            <w:tcBorders>
              <w:top w:val="nil"/>
              <w:left w:val="nil"/>
              <w:bottom w:val="single" w:sz="8" w:space="0" w:color="FFFFFF"/>
              <w:right w:val="single" w:sz="8" w:space="0" w:color="FFFFFF"/>
            </w:tcBorders>
            <w:shd w:val="clear" w:color="000000" w:fill="E7EEEF"/>
            <w:vAlign w:val="center"/>
            <w:hideMark/>
          </w:tcPr>
          <w:p w14:paraId="61095B14"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973</w:t>
            </w:r>
          </w:p>
        </w:tc>
        <w:tc>
          <w:tcPr>
            <w:tcW w:w="3116" w:type="dxa"/>
            <w:tcBorders>
              <w:top w:val="nil"/>
              <w:left w:val="nil"/>
              <w:bottom w:val="single" w:sz="8" w:space="0" w:color="FFFFFF"/>
              <w:right w:val="single" w:sz="8" w:space="0" w:color="FFFFFF"/>
            </w:tcBorders>
            <w:shd w:val="clear" w:color="000000" w:fill="E7EEEF"/>
            <w:vAlign w:val="center"/>
            <w:hideMark/>
          </w:tcPr>
          <w:p w14:paraId="3EF7EFE6"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4.1%</w:t>
            </w:r>
          </w:p>
        </w:tc>
      </w:tr>
      <w:tr w:rsidR="001E6939" w:rsidRPr="000E026B" w14:paraId="3E36D845" w14:textId="77777777" w:rsidTr="008D4913">
        <w:trPr>
          <w:trHeight w:val="20"/>
        </w:trPr>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C95BDB4"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 xml:space="preserve"> 9 - Commodities/transactions not </w:t>
            </w:r>
            <w:proofErr w:type="spellStart"/>
            <w:r w:rsidRPr="00E5404F">
              <w:rPr>
                <w:rFonts w:ascii="Calibri" w:eastAsia="Times New Roman" w:hAnsi="Calibri" w:cs="Calibri"/>
                <w:bCs/>
                <w:color w:val="FFFFFF"/>
                <w:sz w:val="20"/>
                <w:lang w:eastAsia="en-GB"/>
              </w:rPr>
              <w:t>class'd</w:t>
            </w:r>
            <w:proofErr w:type="spellEnd"/>
            <w:r w:rsidRPr="00E5404F">
              <w:rPr>
                <w:rFonts w:ascii="Calibri" w:eastAsia="Times New Roman" w:hAnsi="Calibri" w:cs="Calibri"/>
                <w:bCs/>
                <w:color w:val="FFFFFF"/>
                <w:sz w:val="20"/>
                <w:lang w:eastAsia="en-GB"/>
              </w:rPr>
              <w:t xml:space="preserve"> elsewhere in SITC</w:t>
            </w:r>
          </w:p>
        </w:tc>
        <w:tc>
          <w:tcPr>
            <w:tcW w:w="3116" w:type="dxa"/>
            <w:tcBorders>
              <w:top w:val="nil"/>
              <w:left w:val="nil"/>
              <w:bottom w:val="single" w:sz="8" w:space="0" w:color="FFFFFF"/>
              <w:right w:val="single" w:sz="8" w:space="0" w:color="FFFFFF"/>
            </w:tcBorders>
            <w:shd w:val="clear" w:color="000000" w:fill="D0CECE"/>
            <w:vAlign w:val="center"/>
            <w:hideMark/>
          </w:tcPr>
          <w:p w14:paraId="279B7138"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42</w:t>
            </w:r>
          </w:p>
        </w:tc>
        <w:tc>
          <w:tcPr>
            <w:tcW w:w="3116" w:type="dxa"/>
            <w:tcBorders>
              <w:top w:val="nil"/>
              <w:left w:val="nil"/>
              <w:bottom w:val="single" w:sz="8" w:space="0" w:color="FFFFFF"/>
              <w:right w:val="single" w:sz="8" w:space="0" w:color="FFFFFF"/>
            </w:tcBorders>
            <w:shd w:val="clear" w:color="000000" w:fill="D0CECE"/>
            <w:vAlign w:val="center"/>
            <w:hideMark/>
          </w:tcPr>
          <w:p w14:paraId="1153281F" w14:textId="77777777" w:rsidR="001E6939" w:rsidRPr="000E026B" w:rsidRDefault="001E6939" w:rsidP="001E6939">
            <w:pPr>
              <w:spacing w:after="0"/>
              <w:jc w:val="center"/>
              <w:rPr>
                <w:rFonts w:ascii="Calibri" w:eastAsia="Times New Roman" w:hAnsi="Calibri" w:cs="Calibri"/>
                <w:color w:val="000000"/>
                <w:sz w:val="20"/>
                <w:lang w:eastAsia="en-GB"/>
              </w:rPr>
            </w:pPr>
            <w:r w:rsidRPr="000E026B">
              <w:rPr>
                <w:rFonts w:ascii="Calibri" w:eastAsia="Times New Roman" w:hAnsi="Calibri" w:cs="Calibri"/>
                <w:color w:val="000000"/>
                <w:sz w:val="20"/>
                <w:lang w:eastAsia="en-GB"/>
              </w:rPr>
              <w:t>0.2%</w:t>
            </w:r>
          </w:p>
        </w:tc>
      </w:tr>
      <w:tr w:rsidR="001E6939" w:rsidRPr="000E026B" w14:paraId="40AEC34D" w14:textId="77777777" w:rsidTr="008D4913">
        <w:trPr>
          <w:trHeight w:val="20"/>
        </w:trPr>
        <w:tc>
          <w:tcPr>
            <w:tcW w:w="31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913B2F2" w14:textId="77777777" w:rsidR="001E6939" w:rsidRPr="00126286" w:rsidRDefault="001E6939" w:rsidP="001E6939">
            <w:pPr>
              <w:spacing w:after="0"/>
              <w:jc w:val="center"/>
              <w:rPr>
                <w:rFonts w:ascii="Calibri" w:eastAsia="Times New Roman" w:hAnsi="Calibri" w:cs="Calibri"/>
                <w:b/>
                <w:bCs/>
                <w:color w:val="FFFFFF"/>
                <w:sz w:val="20"/>
                <w:lang w:eastAsia="en-GB"/>
              </w:rPr>
            </w:pPr>
            <w:r w:rsidRPr="00126286">
              <w:rPr>
                <w:rFonts w:ascii="Calibri" w:eastAsia="Times New Roman" w:hAnsi="Calibri" w:cs="Calibri"/>
                <w:b/>
                <w:bCs/>
                <w:color w:val="FFFFFF"/>
                <w:sz w:val="20"/>
                <w:lang w:eastAsia="en-GB"/>
              </w:rPr>
              <w:t>Total</w:t>
            </w:r>
          </w:p>
        </w:tc>
        <w:tc>
          <w:tcPr>
            <w:tcW w:w="3116" w:type="dxa"/>
            <w:tcBorders>
              <w:top w:val="nil"/>
              <w:left w:val="nil"/>
              <w:bottom w:val="single" w:sz="8" w:space="0" w:color="FFFFFF"/>
              <w:right w:val="single" w:sz="8" w:space="0" w:color="FFFFFF"/>
            </w:tcBorders>
            <w:shd w:val="clear" w:color="000000" w:fill="E7EEEF"/>
            <w:vAlign w:val="center"/>
            <w:hideMark/>
          </w:tcPr>
          <w:p w14:paraId="63C4CC9F" w14:textId="77777777" w:rsidR="001E6939" w:rsidRPr="00E5404F" w:rsidRDefault="001E6939" w:rsidP="001E6939">
            <w:pPr>
              <w:spacing w:after="0"/>
              <w:jc w:val="center"/>
              <w:rPr>
                <w:rFonts w:ascii="Calibri" w:eastAsia="Times New Roman" w:hAnsi="Calibri" w:cs="Calibri"/>
                <w:b/>
                <w:color w:val="000000"/>
                <w:sz w:val="20"/>
                <w:lang w:eastAsia="en-GB"/>
              </w:rPr>
            </w:pPr>
            <w:r w:rsidRPr="00E5404F">
              <w:rPr>
                <w:rFonts w:ascii="Calibri" w:eastAsia="Times New Roman" w:hAnsi="Calibri" w:cs="Calibri"/>
                <w:b/>
                <w:color w:val="000000"/>
                <w:sz w:val="20"/>
                <w:lang w:eastAsia="en-GB"/>
              </w:rPr>
              <w:t>23,677</w:t>
            </w:r>
          </w:p>
        </w:tc>
        <w:tc>
          <w:tcPr>
            <w:tcW w:w="3116" w:type="dxa"/>
            <w:tcBorders>
              <w:top w:val="nil"/>
              <w:left w:val="nil"/>
              <w:bottom w:val="single" w:sz="8" w:space="0" w:color="FFFFFF"/>
              <w:right w:val="single" w:sz="8" w:space="0" w:color="FFFFFF"/>
            </w:tcBorders>
            <w:shd w:val="clear" w:color="000000" w:fill="E7EEEF"/>
            <w:vAlign w:val="center"/>
            <w:hideMark/>
          </w:tcPr>
          <w:p w14:paraId="0FEAE062" w14:textId="77777777" w:rsidR="001E6939" w:rsidRPr="00E5404F" w:rsidRDefault="001E6939" w:rsidP="001E6939">
            <w:pPr>
              <w:spacing w:after="0"/>
              <w:jc w:val="center"/>
              <w:rPr>
                <w:rFonts w:ascii="Calibri" w:eastAsia="Times New Roman" w:hAnsi="Calibri" w:cs="Calibri"/>
                <w:b/>
                <w:color w:val="000000"/>
                <w:sz w:val="20"/>
                <w:lang w:eastAsia="en-GB"/>
              </w:rPr>
            </w:pPr>
            <w:r w:rsidRPr="00E5404F">
              <w:rPr>
                <w:rFonts w:ascii="Calibri" w:eastAsia="Times New Roman" w:hAnsi="Calibri" w:cs="Calibri"/>
                <w:b/>
                <w:color w:val="000000"/>
                <w:sz w:val="20"/>
                <w:lang w:eastAsia="en-GB"/>
              </w:rPr>
              <w:t>13.2%</w:t>
            </w:r>
          </w:p>
        </w:tc>
      </w:tr>
    </w:tbl>
    <w:p w14:paraId="0B87478E" w14:textId="77777777" w:rsidR="001E6939" w:rsidRDefault="001E6939" w:rsidP="001E6939">
      <w:pPr>
        <w:keepNext/>
        <w:keepLines/>
        <w:spacing w:before="60" w:after="120"/>
        <w:jc w:val="right"/>
        <w:rPr>
          <w:i/>
          <w:sz w:val="18"/>
        </w:rPr>
      </w:pPr>
      <w:r>
        <w:rPr>
          <w:i/>
          <w:sz w:val="18"/>
        </w:rPr>
        <w:t>Source: HMRC Overseas Trade Statistics, Eurostat, Cebr analysis</w:t>
      </w:r>
    </w:p>
    <w:p w14:paraId="5FD0B93F" w14:textId="52749F03" w:rsidR="001E6939" w:rsidRDefault="008D4913" w:rsidP="00E5404F">
      <w:r>
        <w:fldChar w:fldCharType="begin"/>
      </w:r>
      <w:r>
        <w:instrText xml:space="preserve"> REF _Ref16584005 \h </w:instrText>
      </w:r>
      <w:r w:rsidR="00126286">
        <w:instrText xml:space="preserve"> \* MERGEFORMAT </w:instrText>
      </w:r>
      <w:r>
        <w:fldChar w:fldCharType="separate"/>
      </w:r>
      <w:r w:rsidR="00D17FEA">
        <w:t xml:space="preserve">Table </w:t>
      </w:r>
      <w:r w:rsidR="00D17FEA">
        <w:rPr>
          <w:noProof/>
        </w:rPr>
        <w:t>4</w:t>
      </w:r>
      <w:r>
        <w:fldChar w:fldCharType="end"/>
      </w:r>
      <w:r>
        <w:t xml:space="preserve"> </w:t>
      </w:r>
      <w:r w:rsidR="001E6939">
        <w:t xml:space="preserve">provides an additional layer of granularity at the SITC 2-digit level, emphasising sectors where Solent’s facilitation is 20% or greater of the UK proportion of trade. This illustrates that, within machinery and transport equipment, road vehicles are the dominant category with 51.7% of UK exports (£12.7 billion) to non-EU countries moved by the maritime sector in the Solent LEP in 2017. Other important categories in terms of the Solent share include specialist industrial machinery (24.6%) and Gas, natural and manufactured (27.2%). The value involved is significantly smaller than that of road vehicles measuring at £1 billion and £94 million respectively. </w:t>
      </w:r>
    </w:p>
    <w:p w14:paraId="655F9B99" w14:textId="77777777" w:rsidR="001E6939" w:rsidRDefault="001E6939" w:rsidP="001E6939">
      <w:pPr>
        <w:pStyle w:val="Caption"/>
      </w:pPr>
      <w:bookmarkStart w:id="52" w:name="_Ref16584005"/>
      <w:r>
        <w:t xml:space="preserve">Table </w:t>
      </w:r>
      <w:r>
        <w:rPr>
          <w:noProof/>
        </w:rPr>
        <w:fldChar w:fldCharType="begin"/>
      </w:r>
      <w:r>
        <w:rPr>
          <w:noProof/>
        </w:rPr>
        <w:instrText xml:space="preserve"> SEQ Table \* ARABIC </w:instrText>
      </w:r>
      <w:r>
        <w:rPr>
          <w:noProof/>
        </w:rPr>
        <w:fldChar w:fldCharType="separate"/>
      </w:r>
      <w:r w:rsidR="00D17FEA">
        <w:rPr>
          <w:noProof/>
        </w:rPr>
        <w:t>4</w:t>
      </w:r>
      <w:r>
        <w:rPr>
          <w:noProof/>
        </w:rPr>
        <w:fldChar w:fldCharType="end"/>
      </w:r>
      <w:bookmarkEnd w:id="52"/>
      <w:r>
        <w:t>: Exports to non-EU countries by SITC 2-digit product category in 2017</w:t>
      </w:r>
    </w:p>
    <w:tbl>
      <w:tblPr>
        <w:tblW w:w="9343" w:type="dxa"/>
        <w:tblLook w:val="04A0" w:firstRow="1" w:lastRow="0" w:firstColumn="1" w:lastColumn="0" w:noHBand="0" w:noVBand="1"/>
      </w:tblPr>
      <w:tblGrid>
        <w:gridCol w:w="5024"/>
        <w:gridCol w:w="2159"/>
        <w:gridCol w:w="2160"/>
      </w:tblGrid>
      <w:tr w:rsidR="001E6939" w:rsidRPr="00921207" w14:paraId="35A860D1"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FE12423"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SITC 2-digit product categories</w:t>
            </w:r>
          </w:p>
        </w:tc>
        <w:tc>
          <w:tcPr>
            <w:tcW w:w="2159"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B34073E"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 million</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60695AA" w14:textId="23A7DBA5" w:rsidR="001E6939" w:rsidRPr="00921207" w:rsidRDefault="00DE3B79" w:rsidP="001E6939">
            <w:pPr>
              <w:spacing w:after="0"/>
              <w:jc w:val="center"/>
              <w:rPr>
                <w:rFonts w:ascii="Calibri" w:eastAsia="Times New Roman" w:hAnsi="Calibri" w:cs="Calibri"/>
                <w:b/>
                <w:bCs/>
                <w:color w:val="FFFFFF"/>
                <w:sz w:val="20"/>
                <w:lang w:eastAsia="en-GB"/>
              </w:rPr>
            </w:pPr>
            <w:r w:rsidRPr="000E026B">
              <w:rPr>
                <w:rFonts w:ascii="Calibri" w:eastAsia="Times New Roman" w:hAnsi="Calibri" w:cs="Calibri"/>
                <w:b/>
                <w:bCs/>
                <w:color w:val="FFFFFF"/>
                <w:sz w:val="20"/>
                <w:lang w:eastAsia="en-GB"/>
              </w:rPr>
              <w:t>% share of UK total</w:t>
            </w:r>
            <w:r>
              <w:rPr>
                <w:rFonts w:ascii="Calibri" w:eastAsia="Times New Roman" w:hAnsi="Calibri" w:cs="Calibri"/>
                <w:b/>
                <w:bCs/>
                <w:color w:val="FFFFFF"/>
                <w:sz w:val="20"/>
                <w:lang w:eastAsia="en-GB"/>
              </w:rPr>
              <w:t xml:space="preserve"> non-EU trade</w:t>
            </w:r>
          </w:p>
        </w:tc>
      </w:tr>
      <w:tr w:rsidR="001E6939" w:rsidRPr="00921207" w14:paraId="1786F532"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7970566"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01 - Meat &amp; meat preparations</w:t>
            </w:r>
          </w:p>
        </w:tc>
        <w:tc>
          <w:tcPr>
            <w:tcW w:w="2159" w:type="dxa"/>
            <w:tcBorders>
              <w:top w:val="nil"/>
              <w:left w:val="nil"/>
              <w:bottom w:val="single" w:sz="8" w:space="0" w:color="FFFFFF"/>
              <w:right w:val="single" w:sz="8" w:space="0" w:color="FFFFFF"/>
            </w:tcBorders>
            <w:shd w:val="clear" w:color="000000" w:fill="D0CECE"/>
            <w:vAlign w:val="center"/>
            <w:hideMark/>
          </w:tcPr>
          <w:p w14:paraId="17B6DADF"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78</w:t>
            </w:r>
          </w:p>
        </w:tc>
        <w:tc>
          <w:tcPr>
            <w:tcW w:w="2160" w:type="dxa"/>
            <w:tcBorders>
              <w:top w:val="nil"/>
              <w:left w:val="nil"/>
              <w:bottom w:val="single" w:sz="8" w:space="0" w:color="FFFFFF"/>
              <w:right w:val="single" w:sz="8" w:space="0" w:color="FFFFFF"/>
            </w:tcBorders>
            <w:shd w:val="clear" w:color="000000" w:fill="D0CECE"/>
            <w:vAlign w:val="center"/>
            <w:hideMark/>
          </w:tcPr>
          <w:p w14:paraId="5CF7550F"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22.3%</w:t>
            </w:r>
          </w:p>
        </w:tc>
      </w:tr>
      <w:tr w:rsidR="001E6939" w:rsidRPr="00921207" w14:paraId="3FC13605"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F79435A"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 xml:space="preserve">08 - Feeding stuff for animals (not </w:t>
            </w:r>
            <w:proofErr w:type="spellStart"/>
            <w:r w:rsidRPr="00921207">
              <w:rPr>
                <w:rFonts w:ascii="Calibri" w:eastAsia="Times New Roman" w:hAnsi="Calibri" w:cs="Calibri"/>
                <w:b/>
                <w:bCs/>
                <w:color w:val="FFFFFF"/>
                <w:sz w:val="20"/>
                <w:lang w:eastAsia="en-GB"/>
              </w:rPr>
              <w:t>inc.unmilled</w:t>
            </w:r>
            <w:proofErr w:type="spellEnd"/>
            <w:r w:rsidRPr="00921207">
              <w:rPr>
                <w:rFonts w:ascii="Calibri" w:eastAsia="Times New Roman" w:hAnsi="Calibri" w:cs="Calibri"/>
                <w:b/>
                <w:bCs/>
                <w:color w:val="FFFFFF"/>
                <w:sz w:val="20"/>
                <w:lang w:eastAsia="en-GB"/>
              </w:rPr>
              <w:t xml:space="preserve"> cereals)</w:t>
            </w:r>
          </w:p>
        </w:tc>
        <w:tc>
          <w:tcPr>
            <w:tcW w:w="2159" w:type="dxa"/>
            <w:tcBorders>
              <w:top w:val="nil"/>
              <w:left w:val="nil"/>
              <w:bottom w:val="single" w:sz="8" w:space="0" w:color="FFFFFF"/>
              <w:right w:val="single" w:sz="8" w:space="0" w:color="FFFFFF"/>
            </w:tcBorders>
            <w:shd w:val="clear" w:color="000000" w:fill="E7EEEF"/>
            <w:vAlign w:val="center"/>
            <w:hideMark/>
          </w:tcPr>
          <w:p w14:paraId="5A199269"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125</w:t>
            </w:r>
          </w:p>
        </w:tc>
        <w:tc>
          <w:tcPr>
            <w:tcW w:w="2160" w:type="dxa"/>
            <w:tcBorders>
              <w:top w:val="nil"/>
              <w:left w:val="nil"/>
              <w:bottom w:val="single" w:sz="8" w:space="0" w:color="FFFFFF"/>
              <w:right w:val="single" w:sz="8" w:space="0" w:color="FFFFFF"/>
            </w:tcBorders>
            <w:shd w:val="clear" w:color="000000" w:fill="E7EEEF"/>
            <w:vAlign w:val="center"/>
            <w:hideMark/>
          </w:tcPr>
          <w:p w14:paraId="2212A142"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20.2%</w:t>
            </w:r>
          </w:p>
        </w:tc>
      </w:tr>
      <w:tr w:rsidR="001E6939" w:rsidRPr="00921207" w14:paraId="1E2C72A9"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2423DDF"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12 - Tobacco &amp; tobacco manufactures</w:t>
            </w:r>
          </w:p>
        </w:tc>
        <w:tc>
          <w:tcPr>
            <w:tcW w:w="2159" w:type="dxa"/>
            <w:tcBorders>
              <w:top w:val="nil"/>
              <w:left w:val="nil"/>
              <w:bottom w:val="single" w:sz="8" w:space="0" w:color="FFFFFF"/>
              <w:right w:val="single" w:sz="8" w:space="0" w:color="FFFFFF"/>
            </w:tcBorders>
            <w:shd w:val="clear" w:color="000000" w:fill="D0CECE"/>
            <w:vAlign w:val="center"/>
            <w:hideMark/>
          </w:tcPr>
          <w:p w14:paraId="724C8EF7"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24</w:t>
            </w:r>
          </w:p>
        </w:tc>
        <w:tc>
          <w:tcPr>
            <w:tcW w:w="2160" w:type="dxa"/>
            <w:tcBorders>
              <w:top w:val="nil"/>
              <w:left w:val="nil"/>
              <w:bottom w:val="single" w:sz="8" w:space="0" w:color="FFFFFF"/>
              <w:right w:val="single" w:sz="8" w:space="0" w:color="FFFFFF"/>
            </w:tcBorders>
            <w:shd w:val="clear" w:color="000000" w:fill="D0CECE"/>
            <w:vAlign w:val="center"/>
            <w:hideMark/>
          </w:tcPr>
          <w:p w14:paraId="7E159CC7"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32.7%</w:t>
            </w:r>
          </w:p>
        </w:tc>
      </w:tr>
      <w:tr w:rsidR="001E6939" w:rsidRPr="00921207" w14:paraId="0CF41149"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A377452"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23 - Crude rubber (including synthetic &amp; reclaimed)</w:t>
            </w:r>
          </w:p>
        </w:tc>
        <w:tc>
          <w:tcPr>
            <w:tcW w:w="2159" w:type="dxa"/>
            <w:tcBorders>
              <w:top w:val="nil"/>
              <w:left w:val="nil"/>
              <w:bottom w:val="single" w:sz="8" w:space="0" w:color="FFFFFF"/>
              <w:right w:val="single" w:sz="8" w:space="0" w:color="FFFFFF"/>
            </w:tcBorders>
            <w:shd w:val="clear" w:color="000000" w:fill="E7EEEF"/>
            <w:vAlign w:val="center"/>
            <w:hideMark/>
          </w:tcPr>
          <w:p w14:paraId="2C7626BC"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51</w:t>
            </w:r>
          </w:p>
        </w:tc>
        <w:tc>
          <w:tcPr>
            <w:tcW w:w="2160" w:type="dxa"/>
            <w:tcBorders>
              <w:top w:val="nil"/>
              <w:left w:val="nil"/>
              <w:bottom w:val="single" w:sz="8" w:space="0" w:color="FFFFFF"/>
              <w:right w:val="single" w:sz="8" w:space="0" w:color="FFFFFF"/>
            </w:tcBorders>
            <w:shd w:val="clear" w:color="000000" w:fill="E7EEEF"/>
            <w:vAlign w:val="center"/>
            <w:hideMark/>
          </w:tcPr>
          <w:p w14:paraId="4BB8D5EF"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42.3%</w:t>
            </w:r>
          </w:p>
        </w:tc>
      </w:tr>
      <w:tr w:rsidR="001E6939" w:rsidRPr="00921207" w14:paraId="0FA2532B"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A47E0BC"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27 - Crude fertilizers &amp; crude minerals (</w:t>
            </w:r>
            <w:proofErr w:type="spellStart"/>
            <w:r w:rsidRPr="00921207">
              <w:rPr>
                <w:rFonts w:ascii="Calibri" w:eastAsia="Times New Roman" w:hAnsi="Calibri" w:cs="Calibri"/>
                <w:b/>
                <w:bCs/>
                <w:color w:val="FFFFFF"/>
                <w:sz w:val="20"/>
                <w:lang w:eastAsia="en-GB"/>
              </w:rPr>
              <w:t>exc</w:t>
            </w:r>
            <w:proofErr w:type="spellEnd"/>
            <w:r w:rsidRPr="00921207">
              <w:rPr>
                <w:rFonts w:ascii="Calibri" w:eastAsia="Times New Roman" w:hAnsi="Calibri" w:cs="Calibri"/>
                <w:b/>
                <w:bCs/>
                <w:color w:val="FFFFFF"/>
                <w:sz w:val="20"/>
                <w:lang w:eastAsia="en-GB"/>
              </w:rPr>
              <w:t xml:space="preserve"> fuels etc)</w:t>
            </w:r>
          </w:p>
        </w:tc>
        <w:tc>
          <w:tcPr>
            <w:tcW w:w="2159" w:type="dxa"/>
            <w:tcBorders>
              <w:top w:val="nil"/>
              <w:left w:val="nil"/>
              <w:bottom w:val="single" w:sz="8" w:space="0" w:color="FFFFFF"/>
              <w:right w:val="single" w:sz="8" w:space="0" w:color="FFFFFF"/>
            </w:tcBorders>
            <w:shd w:val="clear" w:color="000000" w:fill="D0CECE"/>
            <w:vAlign w:val="center"/>
            <w:hideMark/>
          </w:tcPr>
          <w:p w14:paraId="02853D27"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58</w:t>
            </w:r>
          </w:p>
        </w:tc>
        <w:tc>
          <w:tcPr>
            <w:tcW w:w="2160" w:type="dxa"/>
            <w:tcBorders>
              <w:top w:val="nil"/>
              <w:left w:val="nil"/>
              <w:bottom w:val="single" w:sz="8" w:space="0" w:color="FFFFFF"/>
              <w:right w:val="single" w:sz="8" w:space="0" w:color="FFFFFF"/>
            </w:tcBorders>
            <w:shd w:val="clear" w:color="000000" w:fill="D0CECE"/>
            <w:vAlign w:val="center"/>
            <w:hideMark/>
          </w:tcPr>
          <w:p w14:paraId="4C87C521"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31.2%</w:t>
            </w:r>
          </w:p>
        </w:tc>
      </w:tr>
      <w:tr w:rsidR="001E6939" w:rsidRPr="00921207" w14:paraId="39330B6D"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15D4A5F"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34 - Gas, natural &amp; manufactured</w:t>
            </w:r>
          </w:p>
        </w:tc>
        <w:tc>
          <w:tcPr>
            <w:tcW w:w="2159" w:type="dxa"/>
            <w:tcBorders>
              <w:top w:val="nil"/>
              <w:left w:val="nil"/>
              <w:bottom w:val="single" w:sz="8" w:space="0" w:color="FFFFFF"/>
              <w:right w:val="single" w:sz="8" w:space="0" w:color="FFFFFF"/>
            </w:tcBorders>
            <w:shd w:val="clear" w:color="000000" w:fill="E7EEEF"/>
            <w:vAlign w:val="center"/>
            <w:hideMark/>
          </w:tcPr>
          <w:p w14:paraId="52FB0FBA"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94</w:t>
            </w:r>
          </w:p>
        </w:tc>
        <w:tc>
          <w:tcPr>
            <w:tcW w:w="2160" w:type="dxa"/>
            <w:tcBorders>
              <w:top w:val="nil"/>
              <w:left w:val="nil"/>
              <w:bottom w:val="single" w:sz="8" w:space="0" w:color="FFFFFF"/>
              <w:right w:val="single" w:sz="8" w:space="0" w:color="FFFFFF"/>
            </w:tcBorders>
            <w:shd w:val="clear" w:color="000000" w:fill="E7EEEF"/>
            <w:vAlign w:val="center"/>
            <w:hideMark/>
          </w:tcPr>
          <w:p w14:paraId="04973E05"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27.2%</w:t>
            </w:r>
          </w:p>
        </w:tc>
      </w:tr>
      <w:tr w:rsidR="001E6939" w:rsidRPr="00921207" w14:paraId="702D7918"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64A249E"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41 - Animal oils &amp; fats</w:t>
            </w:r>
          </w:p>
        </w:tc>
        <w:tc>
          <w:tcPr>
            <w:tcW w:w="2159" w:type="dxa"/>
            <w:tcBorders>
              <w:top w:val="nil"/>
              <w:left w:val="nil"/>
              <w:bottom w:val="single" w:sz="8" w:space="0" w:color="FFFFFF"/>
              <w:right w:val="single" w:sz="8" w:space="0" w:color="FFFFFF"/>
            </w:tcBorders>
            <w:shd w:val="clear" w:color="000000" w:fill="D0CECE"/>
            <w:vAlign w:val="center"/>
            <w:hideMark/>
          </w:tcPr>
          <w:p w14:paraId="156BC14E"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5</w:t>
            </w:r>
          </w:p>
        </w:tc>
        <w:tc>
          <w:tcPr>
            <w:tcW w:w="2160" w:type="dxa"/>
            <w:tcBorders>
              <w:top w:val="nil"/>
              <w:left w:val="nil"/>
              <w:bottom w:val="single" w:sz="8" w:space="0" w:color="FFFFFF"/>
              <w:right w:val="single" w:sz="8" w:space="0" w:color="FFFFFF"/>
            </w:tcBorders>
            <w:shd w:val="clear" w:color="000000" w:fill="D0CECE"/>
            <w:vAlign w:val="center"/>
            <w:hideMark/>
          </w:tcPr>
          <w:p w14:paraId="61E38335"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20.0%</w:t>
            </w:r>
          </w:p>
        </w:tc>
      </w:tr>
      <w:tr w:rsidR="001E6939" w:rsidRPr="00921207" w14:paraId="6801BC76"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B8B7CB1"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52 - Inorganic chemicals</w:t>
            </w:r>
          </w:p>
        </w:tc>
        <w:tc>
          <w:tcPr>
            <w:tcW w:w="2159" w:type="dxa"/>
            <w:tcBorders>
              <w:top w:val="nil"/>
              <w:left w:val="nil"/>
              <w:bottom w:val="single" w:sz="8" w:space="0" w:color="FFFFFF"/>
              <w:right w:val="single" w:sz="8" w:space="0" w:color="FFFFFF"/>
            </w:tcBorders>
            <w:shd w:val="clear" w:color="000000" w:fill="E7EEEF"/>
            <w:vAlign w:val="center"/>
            <w:hideMark/>
          </w:tcPr>
          <w:p w14:paraId="513B463A"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122</w:t>
            </w:r>
          </w:p>
        </w:tc>
        <w:tc>
          <w:tcPr>
            <w:tcW w:w="2160" w:type="dxa"/>
            <w:tcBorders>
              <w:top w:val="nil"/>
              <w:left w:val="nil"/>
              <w:bottom w:val="single" w:sz="8" w:space="0" w:color="FFFFFF"/>
              <w:right w:val="single" w:sz="8" w:space="0" w:color="FFFFFF"/>
            </w:tcBorders>
            <w:shd w:val="clear" w:color="000000" w:fill="E7EEEF"/>
            <w:vAlign w:val="center"/>
            <w:hideMark/>
          </w:tcPr>
          <w:p w14:paraId="6A01F430"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21.0%</w:t>
            </w:r>
          </w:p>
        </w:tc>
      </w:tr>
      <w:tr w:rsidR="001E6939" w:rsidRPr="00921207" w14:paraId="7A2E099A"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5A7F1B5"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57 - Plastics in primary forms</w:t>
            </w:r>
          </w:p>
        </w:tc>
        <w:tc>
          <w:tcPr>
            <w:tcW w:w="2159" w:type="dxa"/>
            <w:tcBorders>
              <w:top w:val="nil"/>
              <w:left w:val="nil"/>
              <w:bottom w:val="single" w:sz="8" w:space="0" w:color="FFFFFF"/>
              <w:right w:val="single" w:sz="8" w:space="0" w:color="FFFFFF"/>
            </w:tcBorders>
            <w:shd w:val="clear" w:color="000000" w:fill="D0CECE"/>
            <w:vAlign w:val="center"/>
            <w:hideMark/>
          </w:tcPr>
          <w:p w14:paraId="36F06361"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245</w:t>
            </w:r>
          </w:p>
        </w:tc>
        <w:tc>
          <w:tcPr>
            <w:tcW w:w="2160" w:type="dxa"/>
            <w:tcBorders>
              <w:top w:val="nil"/>
              <w:left w:val="nil"/>
              <w:bottom w:val="single" w:sz="8" w:space="0" w:color="FFFFFF"/>
              <w:right w:val="single" w:sz="8" w:space="0" w:color="FFFFFF"/>
            </w:tcBorders>
            <w:shd w:val="clear" w:color="000000" w:fill="D0CECE"/>
            <w:vAlign w:val="center"/>
            <w:hideMark/>
          </w:tcPr>
          <w:p w14:paraId="3F2143AD"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23.0%</w:t>
            </w:r>
          </w:p>
        </w:tc>
      </w:tr>
      <w:tr w:rsidR="001E6939" w:rsidRPr="00921207" w14:paraId="6817B86C"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3335D45"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 xml:space="preserve">61 - Leather, leather manufactures </w:t>
            </w:r>
            <w:proofErr w:type="spellStart"/>
            <w:r w:rsidRPr="00921207">
              <w:rPr>
                <w:rFonts w:ascii="Calibri" w:eastAsia="Times New Roman" w:hAnsi="Calibri" w:cs="Calibri"/>
                <w:b/>
                <w:bCs/>
                <w:color w:val="FFFFFF"/>
                <w:sz w:val="20"/>
                <w:lang w:eastAsia="en-GB"/>
              </w:rPr>
              <w:t>n.e.s</w:t>
            </w:r>
            <w:proofErr w:type="spellEnd"/>
            <w:r w:rsidRPr="00921207">
              <w:rPr>
                <w:rFonts w:ascii="Calibri" w:eastAsia="Times New Roman" w:hAnsi="Calibri" w:cs="Calibri"/>
                <w:b/>
                <w:bCs/>
                <w:color w:val="FFFFFF"/>
                <w:sz w:val="20"/>
                <w:lang w:eastAsia="en-GB"/>
              </w:rPr>
              <w:t xml:space="preserve"> &amp; dressed </w:t>
            </w:r>
            <w:proofErr w:type="spellStart"/>
            <w:r w:rsidRPr="00921207">
              <w:rPr>
                <w:rFonts w:ascii="Calibri" w:eastAsia="Times New Roman" w:hAnsi="Calibri" w:cs="Calibri"/>
                <w:b/>
                <w:bCs/>
                <w:color w:val="FFFFFF"/>
                <w:sz w:val="20"/>
                <w:lang w:eastAsia="en-GB"/>
              </w:rPr>
              <w:t>furskins</w:t>
            </w:r>
            <w:proofErr w:type="spellEnd"/>
          </w:p>
        </w:tc>
        <w:tc>
          <w:tcPr>
            <w:tcW w:w="2159" w:type="dxa"/>
            <w:tcBorders>
              <w:top w:val="nil"/>
              <w:left w:val="nil"/>
              <w:bottom w:val="single" w:sz="8" w:space="0" w:color="FFFFFF"/>
              <w:right w:val="single" w:sz="8" w:space="0" w:color="FFFFFF"/>
            </w:tcBorders>
            <w:shd w:val="clear" w:color="000000" w:fill="E7EEEF"/>
            <w:vAlign w:val="center"/>
            <w:hideMark/>
          </w:tcPr>
          <w:p w14:paraId="748DF183"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29</w:t>
            </w:r>
          </w:p>
        </w:tc>
        <w:tc>
          <w:tcPr>
            <w:tcW w:w="2160" w:type="dxa"/>
            <w:tcBorders>
              <w:top w:val="nil"/>
              <w:left w:val="nil"/>
              <w:bottom w:val="single" w:sz="8" w:space="0" w:color="FFFFFF"/>
              <w:right w:val="single" w:sz="8" w:space="0" w:color="FFFFFF"/>
            </w:tcBorders>
            <w:shd w:val="clear" w:color="000000" w:fill="E7EEEF"/>
            <w:vAlign w:val="center"/>
            <w:hideMark/>
          </w:tcPr>
          <w:p w14:paraId="04771971"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21.0%</w:t>
            </w:r>
          </w:p>
        </w:tc>
      </w:tr>
      <w:tr w:rsidR="001E6939" w:rsidRPr="00921207" w14:paraId="52756D36"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10B0629"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72 - Machinery specialized for particular industries</w:t>
            </w:r>
          </w:p>
        </w:tc>
        <w:tc>
          <w:tcPr>
            <w:tcW w:w="2159" w:type="dxa"/>
            <w:tcBorders>
              <w:top w:val="nil"/>
              <w:left w:val="nil"/>
              <w:bottom w:val="single" w:sz="8" w:space="0" w:color="FFFFFF"/>
              <w:right w:val="single" w:sz="8" w:space="0" w:color="FFFFFF"/>
            </w:tcBorders>
            <w:shd w:val="clear" w:color="000000" w:fill="D0CECE"/>
            <w:vAlign w:val="center"/>
            <w:hideMark/>
          </w:tcPr>
          <w:p w14:paraId="4EF8478F"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1,083</w:t>
            </w:r>
          </w:p>
        </w:tc>
        <w:tc>
          <w:tcPr>
            <w:tcW w:w="2160" w:type="dxa"/>
            <w:tcBorders>
              <w:top w:val="nil"/>
              <w:left w:val="nil"/>
              <w:bottom w:val="single" w:sz="8" w:space="0" w:color="FFFFFF"/>
              <w:right w:val="single" w:sz="8" w:space="0" w:color="FFFFFF"/>
            </w:tcBorders>
            <w:shd w:val="clear" w:color="000000" w:fill="D0CECE"/>
            <w:vAlign w:val="center"/>
            <w:hideMark/>
          </w:tcPr>
          <w:p w14:paraId="25DE0BBF"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24.6%</w:t>
            </w:r>
          </w:p>
        </w:tc>
      </w:tr>
      <w:tr w:rsidR="001E6939" w:rsidRPr="00921207" w14:paraId="7B84E08C"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DEB8DC0"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78 - Road vehicles (including air cushion vehicles)</w:t>
            </w:r>
          </w:p>
        </w:tc>
        <w:tc>
          <w:tcPr>
            <w:tcW w:w="2159" w:type="dxa"/>
            <w:tcBorders>
              <w:top w:val="nil"/>
              <w:left w:val="nil"/>
              <w:bottom w:val="single" w:sz="8" w:space="0" w:color="FFFFFF"/>
              <w:right w:val="single" w:sz="8" w:space="0" w:color="FFFFFF"/>
            </w:tcBorders>
            <w:shd w:val="clear" w:color="000000" w:fill="E7EEEF"/>
            <w:vAlign w:val="center"/>
            <w:hideMark/>
          </w:tcPr>
          <w:p w14:paraId="50A9F67C"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12,719</w:t>
            </w:r>
          </w:p>
        </w:tc>
        <w:tc>
          <w:tcPr>
            <w:tcW w:w="2160" w:type="dxa"/>
            <w:tcBorders>
              <w:top w:val="nil"/>
              <w:left w:val="nil"/>
              <w:bottom w:val="single" w:sz="8" w:space="0" w:color="FFFFFF"/>
              <w:right w:val="single" w:sz="8" w:space="0" w:color="FFFFFF"/>
            </w:tcBorders>
            <w:shd w:val="clear" w:color="000000" w:fill="E7EEEF"/>
            <w:vAlign w:val="center"/>
            <w:hideMark/>
          </w:tcPr>
          <w:p w14:paraId="2361D714"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57.1%</w:t>
            </w:r>
          </w:p>
        </w:tc>
      </w:tr>
      <w:tr w:rsidR="001E6939" w:rsidRPr="00921207" w14:paraId="3B414C53" w14:textId="77777777" w:rsidTr="001C146F">
        <w:trPr>
          <w:trHeight w:val="255"/>
        </w:trPr>
        <w:tc>
          <w:tcPr>
            <w:tcW w:w="50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3A7433C" w14:textId="77777777" w:rsidR="001E6939" w:rsidRPr="00921207" w:rsidRDefault="001E6939" w:rsidP="001E6939">
            <w:pPr>
              <w:spacing w:after="0"/>
              <w:jc w:val="center"/>
              <w:rPr>
                <w:rFonts w:ascii="Calibri" w:eastAsia="Times New Roman" w:hAnsi="Calibri" w:cs="Calibri"/>
                <w:b/>
                <w:bCs/>
                <w:color w:val="FFFFFF"/>
                <w:sz w:val="20"/>
                <w:lang w:eastAsia="en-GB"/>
              </w:rPr>
            </w:pPr>
            <w:r w:rsidRPr="00921207">
              <w:rPr>
                <w:rFonts w:ascii="Calibri" w:eastAsia="Times New Roman" w:hAnsi="Calibri" w:cs="Calibri"/>
                <w:b/>
                <w:bCs/>
                <w:color w:val="FFFFFF"/>
                <w:sz w:val="20"/>
                <w:lang w:eastAsia="en-GB"/>
              </w:rPr>
              <w:t>82 - Furniture &amp; parts thereof; bedding, mattresses etc</w:t>
            </w:r>
          </w:p>
        </w:tc>
        <w:tc>
          <w:tcPr>
            <w:tcW w:w="2159" w:type="dxa"/>
            <w:tcBorders>
              <w:top w:val="nil"/>
              <w:left w:val="nil"/>
              <w:bottom w:val="single" w:sz="8" w:space="0" w:color="FFFFFF"/>
              <w:right w:val="single" w:sz="8" w:space="0" w:color="FFFFFF"/>
            </w:tcBorders>
            <w:shd w:val="clear" w:color="000000" w:fill="D0CECE"/>
            <w:vAlign w:val="center"/>
            <w:hideMark/>
          </w:tcPr>
          <w:p w14:paraId="32CB2FB0"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277</w:t>
            </w:r>
          </w:p>
        </w:tc>
        <w:tc>
          <w:tcPr>
            <w:tcW w:w="2160" w:type="dxa"/>
            <w:tcBorders>
              <w:top w:val="nil"/>
              <w:left w:val="nil"/>
              <w:bottom w:val="single" w:sz="8" w:space="0" w:color="FFFFFF"/>
              <w:right w:val="single" w:sz="8" w:space="0" w:color="FFFFFF"/>
            </w:tcBorders>
            <w:shd w:val="clear" w:color="000000" w:fill="D0CECE"/>
            <w:vAlign w:val="center"/>
            <w:hideMark/>
          </w:tcPr>
          <w:p w14:paraId="37F13314" w14:textId="77777777" w:rsidR="001E6939" w:rsidRPr="00921207" w:rsidRDefault="001E6939" w:rsidP="001E6939">
            <w:pPr>
              <w:spacing w:after="0"/>
              <w:jc w:val="center"/>
              <w:rPr>
                <w:rFonts w:ascii="Calibri" w:eastAsia="Times New Roman" w:hAnsi="Calibri" w:cs="Calibri"/>
                <w:color w:val="000000"/>
                <w:sz w:val="20"/>
                <w:lang w:eastAsia="en-GB"/>
              </w:rPr>
            </w:pPr>
            <w:r w:rsidRPr="00921207">
              <w:rPr>
                <w:rFonts w:ascii="Calibri" w:eastAsia="Times New Roman" w:hAnsi="Calibri" w:cs="Calibri"/>
                <w:color w:val="000000"/>
                <w:sz w:val="20"/>
                <w:lang w:eastAsia="en-GB"/>
              </w:rPr>
              <w:t>21.6%</w:t>
            </w:r>
          </w:p>
        </w:tc>
      </w:tr>
    </w:tbl>
    <w:p w14:paraId="5448E34D" w14:textId="04479C6F" w:rsidR="001C146F" w:rsidRDefault="001C146F" w:rsidP="001C146F">
      <w:pPr>
        <w:keepNext/>
        <w:keepLines/>
        <w:spacing w:before="60" w:after="120"/>
        <w:jc w:val="right"/>
      </w:pPr>
      <w:r>
        <w:rPr>
          <w:i/>
          <w:sz w:val="18"/>
        </w:rPr>
        <w:t>Source: HMRC Overseas Trade Statistics, Eurostat, Cebr analysis</w:t>
      </w:r>
    </w:p>
    <w:p w14:paraId="0FC6C3CE" w14:textId="77777777" w:rsidR="00D17FEA" w:rsidRDefault="001E6939" w:rsidP="001E6939">
      <w:pPr>
        <w:pStyle w:val="Caption"/>
      </w:pPr>
      <w:r>
        <w:fldChar w:fldCharType="begin"/>
      </w:r>
      <w:r>
        <w:instrText xml:space="preserve"> REF _Ref14958435 \h </w:instrText>
      </w:r>
      <w:r w:rsidR="00126286">
        <w:instrText xml:space="preserve"> \* MERGEFORMAT </w:instrText>
      </w:r>
      <w:r>
        <w:fldChar w:fldCharType="separate"/>
      </w:r>
    </w:p>
    <w:p w14:paraId="25177E99" w14:textId="5D97EC2A" w:rsidR="001E6939" w:rsidRDefault="00D17FEA" w:rsidP="00E5404F">
      <w:r>
        <w:lastRenderedPageBreak/>
        <w:t>Table 6</w:t>
      </w:r>
      <w:r w:rsidR="001E6939">
        <w:fldChar w:fldCharType="end"/>
      </w:r>
      <w:r w:rsidR="001E6939">
        <w:t xml:space="preserve"> drill further down to the SITC 3-digit level, which magnifies even further the important role played by the maritime sector in the Solent LEP. The tables have been separated out to the most important 3-digit SITC sectors; Mineral fuels, lubricants and related materials and Roach vehicles.</w:t>
      </w:r>
    </w:p>
    <w:p w14:paraId="11608854" w14:textId="77777777" w:rsidR="001E6939" w:rsidRDefault="001E6939" w:rsidP="00E5404F">
      <w:r>
        <w:t xml:space="preserve">For instance, of the £12.7 billion exports of road vehicles (SITC 2-digit), £11.9 billion relates to motor cars and motor vehicles for the movement of people (SITC 3-digit). The Solent LEP is recorded as facilitating 61.4% of UK exports of these products to non-EU countries. </w:t>
      </w:r>
    </w:p>
    <w:p w14:paraId="1113CAD5" w14:textId="01BF59A0" w:rsidR="0051409C" w:rsidRDefault="001E6939" w:rsidP="00E5404F">
      <w:r>
        <w:t>The value of exports moved by the Solent LEP maritime sector is not as significant for other goods, but the percentage shares of UK totals to non-EU countries are even higher in some cases. For instance, 61.5% Motor Vehicles for the transport of goods (SITC 781) are facilitated by the Solent region. The shares are also considerable for Liquefied propane and butane (37</w:t>
      </w:r>
      <w:r w:rsidR="001C146F">
        <w:t xml:space="preserve">.6%) and car trailers (23.4%). </w:t>
      </w:r>
    </w:p>
    <w:p w14:paraId="17EC321C" w14:textId="77777777" w:rsidR="001E6939" w:rsidRDefault="001E6939" w:rsidP="001E6939">
      <w:pPr>
        <w:pStyle w:val="Caption"/>
      </w:pPr>
      <w:bookmarkStart w:id="53" w:name="_Ref14958434"/>
      <w:r>
        <w:t xml:space="preserve">Table </w:t>
      </w:r>
      <w:r>
        <w:rPr>
          <w:noProof/>
        </w:rPr>
        <w:fldChar w:fldCharType="begin"/>
      </w:r>
      <w:r>
        <w:rPr>
          <w:noProof/>
        </w:rPr>
        <w:instrText xml:space="preserve"> SEQ Table \* ARABIC </w:instrText>
      </w:r>
      <w:r>
        <w:rPr>
          <w:noProof/>
        </w:rPr>
        <w:fldChar w:fldCharType="separate"/>
      </w:r>
      <w:r w:rsidR="00D17FEA">
        <w:rPr>
          <w:noProof/>
        </w:rPr>
        <w:t>5</w:t>
      </w:r>
      <w:r>
        <w:rPr>
          <w:noProof/>
        </w:rPr>
        <w:fldChar w:fldCharType="end"/>
      </w:r>
      <w:bookmarkEnd w:id="53"/>
      <w:r>
        <w:t xml:space="preserve">: </w:t>
      </w:r>
      <w:r w:rsidRPr="00F86EA3">
        <w:t>Exports to non-EU countries by SITC 3-digit product category</w:t>
      </w:r>
      <w:r>
        <w:t xml:space="preserve"> in 2017 – </w:t>
      </w:r>
      <w:r w:rsidRPr="00DA2F92">
        <w:t>Mineral fuels, lubricants &amp; related materials</w:t>
      </w:r>
      <w:r>
        <w:t xml:space="preserve"> (SITC 1-digit disaggregated)</w:t>
      </w:r>
    </w:p>
    <w:tbl>
      <w:tblPr>
        <w:tblW w:w="9342" w:type="dxa"/>
        <w:tblLook w:val="04A0" w:firstRow="1" w:lastRow="0" w:firstColumn="1" w:lastColumn="0" w:noHBand="0" w:noVBand="1"/>
      </w:tblPr>
      <w:tblGrid>
        <w:gridCol w:w="5022"/>
        <w:gridCol w:w="2160"/>
        <w:gridCol w:w="2160"/>
      </w:tblGrid>
      <w:tr w:rsidR="001E6939" w:rsidRPr="00DA2F92" w14:paraId="28C18D4B" w14:textId="77777777" w:rsidTr="001E6939">
        <w:trPr>
          <w:trHeight w:val="467"/>
        </w:trPr>
        <w:tc>
          <w:tcPr>
            <w:tcW w:w="5022"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B4B10EC" w14:textId="77777777" w:rsidR="001E6939" w:rsidRPr="00DA2F92" w:rsidRDefault="001E6939" w:rsidP="001E6939">
            <w:pPr>
              <w:spacing w:after="0"/>
              <w:jc w:val="center"/>
              <w:rPr>
                <w:rFonts w:ascii="Calibri" w:eastAsia="Times New Roman" w:hAnsi="Calibri" w:cs="Calibri"/>
                <w:b/>
                <w:bCs/>
                <w:color w:val="FFFFFF"/>
                <w:sz w:val="20"/>
                <w:lang w:eastAsia="en-GB"/>
              </w:rPr>
            </w:pPr>
            <w:r w:rsidRPr="00DA2F92">
              <w:rPr>
                <w:rFonts w:ascii="Calibri" w:eastAsia="Times New Roman" w:hAnsi="Calibri" w:cs="Calibri"/>
                <w:b/>
                <w:bCs/>
                <w:color w:val="FFFFFF"/>
                <w:sz w:val="20"/>
                <w:lang w:eastAsia="en-GB"/>
              </w:rPr>
              <w:t>SITC 3-digit product categories</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9D502C7" w14:textId="77777777" w:rsidR="001E6939" w:rsidRPr="00DA2F92" w:rsidRDefault="001E6939" w:rsidP="001E6939">
            <w:pPr>
              <w:spacing w:after="0"/>
              <w:jc w:val="center"/>
              <w:rPr>
                <w:rFonts w:ascii="Calibri" w:eastAsia="Times New Roman" w:hAnsi="Calibri" w:cs="Calibri"/>
                <w:b/>
                <w:bCs/>
                <w:color w:val="FFFFFF"/>
                <w:sz w:val="20"/>
                <w:lang w:eastAsia="en-GB"/>
              </w:rPr>
            </w:pPr>
            <w:r w:rsidRPr="00DA2F92">
              <w:rPr>
                <w:rFonts w:ascii="Calibri" w:eastAsia="Times New Roman" w:hAnsi="Calibri" w:cs="Calibri"/>
                <w:b/>
                <w:bCs/>
                <w:color w:val="FFFFFF"/>
                <w:sz w:val="20"/>
                <w:lang w:eastAsia="en-GB"/>
              </w:rPr>
              <w:t>£ millions</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BD86C5A" w14:textId="7EC8AF9C" w:rsidR="001E6939" w:rsidRPr="00DA2F92" w:rsidRDefault="00DE3B79" w:rsidP="001E6939">
            <w:pPr>
              <w:spacing w:after="0"/>
              <w:jc w:val="center"/>
              <w:rPr>
                <w:rFonts w:ascii="Calibri" w:eastAsia="Times New Roman" w:hAnsi="Calibri" w:cs="Calibri"/>
                <w:b/>
                <w:bCs/>
                <w:color w:val="FFFFFF"/>
                <w:sz w:val="20"/>
                <w:lang w:eastAsia="en-GB"/>
              </w:rPr>
            </w:pPr>
            <w:r w:rsidRPr="000E026B">
              <w:rPr>
                <w:rFonts w:ascii="Calibri" w:eastAsia="Times New Roman" w:hAnsi="Calibri" w:cs="Calibri"/>
                <w:b/>
                <w:bCs/>
                <w:color w:val="FFFFFF"/>
                <w:sz w:val="20"/>
                <w:lang w:eastAsia="en-GB"/>
              </w:rPr>
              <w:t>% share of UK total</w:t>
            </w:r>
            <w:r>
              <w:rPr>
                <w:rFonts w:ascii="Calibri" w:eastAsia="Times New Roman" w:hAnsi="Calibri" w:cs="Calibri"/>
                <w:b/>
                <w:bCs/>
                <w:color w:val="FFFFFF"/>
                <w:sz w:val="20"/>
                <w:lang w:eastAsia="en-GB"/>
              </w:rPr>
              <w:t xml:space="preserve"> non-EU trade</w:t>
            </w:r>
          </w:p>
        </w:tc>
      </w:tr>
      <w:tr w:rsidR="00DE3B79" w:rsidRPr="00DA2F92" w14:paraId="671406D3" w14:textId="77777777" w:rsidTr="0074040A">
        <w:trPr>
          <w:trHeight w:val="690"/>
        </w:trPr>
        <w:tc>
          <w:tcPr>
            <w:tcW w:w="5022"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92D504A" w14:textId="5D8C20CB" w:rsidR="00DE3B79" w:rsidRPr="00E5404F" w:rsidRDefault="00DE3B7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 xml:space="preserve">334 - Oils obtained from petroleum or bituminous </w:t>
            </w:r>
            <w:proofErr w:type="spellStart"/>
            <w:r w:rsidRPr="00E5404F">
              <w:rPr>
                <w:rFonts w:ascii="Calibri" w:eastAsia="Times New Roman" w:hAnsi="Calibri" w:cs="Calibri"/>
                <w:bCs/>
                <w:color w:val="FFFFFF"/>
                <w:sz w:val="20"/>
                <w:lang w:eastAsia="en-GB"/>
              </w:rPr>
              <w:t>mnl</w:t>
            </w:r>
            <w:proofErr w:type="spellEnd"/>
            <w:r w:rsidRPr="00E5404F">
              <w:rPr>
                <w:rFonts w:ascii="Calibri" w:eastAsia="Times New Roman" w:hAnsi="Calibri" w:cs="Calibri"/>
                <w:bCs/>
                <w:color w:val="FFFFFF"/>
                <w:sz w:val="20"/>
                <w:lang w:eastAsia="en-GB"/>
              </w:rPr>
              <w:t xml:space="preserve">, </w:t>
            </w:r>
            <w:proofErr w:type="spellStart"/>
            <w:r w:rsidRPr="00E5404F">
              <w:rPr>
                <w:rFonts w:ascii="Calibri" w:eastAsia="Times New Roman" w:hAnsi="Calibri" w:cs="Calibri"/>
                <w:bCs/>
                <w:color w:val="FFFFFF"/>
                <w:sz w:val="20"/>
                <w:lang w:eastAsia="en-GB"/>
              </w:rPr>
              <w:t>prp</w:t>
            </w:r>
            <w:proofErr w:type="spellEnd"/>
            <w:r w:rsidRPr="00E5404F">
              <w:rPr>
                <w:rFonts w:ascii="Calibri" w:eastAsia="Times New Roman" w:hAnsi="Calibri" w:cs="Calibri"/>
                <w:bCs/>
                <w:color w:val="FFFFFF"/>
                <w:sz w:val="20"/>
                <w:lang w:eastAsia="en-GB"/>
              </w:rPr>
              <w:t xml:space="preserve"> </w:t>
            </w:r>
            <w:proofErr w:type="spellStart"/>
            <w:r w:rsidRPr="00E5404F">
              <w:rPr>
                <w:rFonts w:ascii="Calibri" w:eastAsia="Times New Roman" w:hAnsi="Calibri" w:cs="Calibri"/>
                <w:bCs/>
                <w:color w:val="FFFFFF"/>
                <w:sz w:val="20"/>
                <w:lang w:eastAsia="en-GB"/>
              </w:rPr>
              <w:t>nes</w:t>
            </w:r>
            <w:proofErr w:type="spellEnd"/>
            <w:r w:rsidRPr="00E5404F">
              <w:rPr>
                <w:rFonts w:ascii="Calibri" w:eastAsia="Times New Roman" w:hAnsi="Calibri" w:cs="Calibri"/>
                <w:bCs/>
                <w:color w:val="FFFFFF"/>
                <w:sz w:val="20"/>
                <w:lang w:eastAsia="en-GB"/>
              </w:rPr>
              <w:t xml:space="preserve">, containing by weight </w:t>
            </w:r>
            <w:proofErr w:type="spellStart"/>
            <w:r w:rsidRPr="00E5404F">
              <w:rPr>
                <w:rFonts w:ascii="Calibri" w:eastAsia="Times New Roman" w:hAnsi="Calibri" w:cs="Calibri"/>
                <w:bCs/>
                <w:color w:val="FFFFFF"/>
                <w:sz w:val="20"/>
                <w:lang w:eastAsia="en-GB"/>
              </w:rPr>
              <w:t>nlt</w:t>
            </w:r>
            <w:proofErr w:type="spellEnd"/>
            <w:r w:rsidRPr="00E5404F">
              <w:rPr>
                <w:rFonts w:ascii="Calibri" w:eastAsia="Times New Roman" w:hAnsi="Calibri" w:cs="Calibri"/>
                <w:bCs/>
                <w:color w:val="FFFFFF"/>
                <w:sz w:val="20"/>
                <w:lang w:eastAsia="en-GB"/>
              </w:rPr>
              <w:t xml:space="preserve"> 70%.of these oils</w:t>
            </w:r>
          </w:p>
        </w:tc>
        <w:tc>
          <w:tcPr>
            <w:tcW w:w="2160" w:type="dxa"/>
            <w:tcBorders>
              <w:top w:val="nil"/>
              <w:left w:val="nil"/>
              <w:bottom w:val="single" w:sz="8" w:space="0" w:color="FFFFFF"/>
              <w:right w:val="single" w:sz="8" w:space="0" w:color="FFFFFF"/>
            </w:tcBorders>
            <w:shd w:val="clear" w:color="000000" w:fill="D0CECE"/>
            <w:vAlign w:val="center"/>
            <w:hideMark/>
          </w:tcPr>
          <w:p w14:paraId="0A6E199A" w14:textId="31B22422" w:rsidR="00DE3B79" w:rsidRPr="00DA2F92" w:rsidRDefault="00DE3B7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899</w:t>
            </w:r>
          </w:p>
        </w:tc>
        <w:tc>
          <w:tcPr>
            <w:tcW w:w="2160" w:type="dxa"/>
            <w:tcBorders>
              <w:top w:val="nil"/>
              <w:left w:val="nil"/>
              <w:bottom w:val="single" w:sz="8" w:space="0" w:color="FFFFFF"/>
              <w:right w:val="single" w:sz="8" w:space="0" w:color="FFFFFF"/>
            </w:tcBorders>
            <w:shd w:val="clear" w:color="000000" w:fill="D0CECE"/>
            <w:vAlign w:val="center"/>
            <w:hideMark/>
          </w:tcPr>
          <w:p w14:paraId="3CD8DFF1" w14:textId="7DC110F2" w:rsidR="00DE3B79" w:rsidRPr="00DA2F92" w:rsidRDefault="00DE3B7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25.0%</w:t>
            </w:r>
          </w:p>
        </w:tc>
      </w:tr>
      <w:tr w:rsidR="00DE3B79" w:rsidRPr="00DA2F92" w14:paraId="7C2D9D97" w14:textId="77777777" w:rsidTr="0074040A">
        <w:trPr>
          <w:trHeight w:val="454"/>
        </w:trPr>
        <w:tc>
          <w:tcPr>
            <w:tcW w:w="5022"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656CA89" w14:textId="0251EA9E" w:rsidR="00DE3B79" w:rsidRPr="00E5404F" w:rsidRDefault="00DE3B7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 xml:space="preserve">335 - Residual petroleum products, </w:t>
            </w:r>
            <w:proofErr w:type="spellStart"/>
            <w:r w:rsidRPr="00E5404F">
              <w:rPr>
                <w:rFonts w:ascii="Calibri" w:eastAsia="Times New Roman" w:hAnsi="Calibri" w:cs="Calibri"/>
                <w:bCs/>
                <w:color w:val="FFFFFF"/>
                <w:sz w:val="20"/>
                <w:lang w:eastAsia="en-GB"/>
              </w:rPr>
              <w:t>nes</w:t>
            </w:r>
            <w:proofErr w:type="spellEnd"/>
            <w:r w:rsidRPr="00E5404F">
              <w:rPr>
                <w:rFonts w:ascii="Calibri" w:eastAsia="Times New Roman" w:hAnsi="Calibri" w:cs="Calibri"/>
                <w:bCs/>
                <w:color w:val="FFFFFF"/>
                <w:sz w:val="20"/>
                <w:lang w:eastAsia="en-GB"/>
              </w:rPr>
              <w:t xml:space="preserve"> and related materials</w:t>
            </w:r>
          </w:p>
        </w:tc>
        <w:tc>
          <w:tcPr>
            <w:tcW w:w="2160" w:type="dxa"/>
            <w:tcBorders>
              <w:top w:val="nil"/>
              <w:left w:val="nil"/>
              <w:bottom w:val="single" w:sz="8" w:space="0" w:color="FFFFFF"/>
              <w:right w:val="single" w:sz="8" w:space="0" w:color="FFFFFF"/>
            </w:tcBorders>
            <w:shd w:val="clear" w:color="000000" w:fill="E7EEEF"/>
            <w:vAlign w:val="center"/>
            <w:hideMark/>
          </w:tcPr>
          <w:p w14:paraId="4AA4A33D" w14:textId="3E1A0FAC" w:rsidR="00DE3B79" w:rsidRPr="00DA2F92" w:rsidRDefault="00DE3B7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25</w:t>
            </w:r>
          </w:p>
        </w:tc>
        <w:tc>
          <w:tcPr>
            <w:tcW w:w="2160" w:type="dxa"/>
            <w:tcBorders>
              <w:top w:val="nil"/>
              <w:left w:val="nil"/>
              <w:bottom w:val="single" w:sz="8" w:space="0" w:color="FFFFFF"/>
              <w:right w:val="single" w:sz="8" w:space="0" w:color="FFFFFF"/>
            </w:tcBorders>
            <w:shd w:val="clear" w:color="000000" w:fill="E7EEEF"/>
            <w:vAlign w:val="center"/>
            <w:hideMark/>
          </w:tcPr>
          <w:p w14:paraId="29174137" w14:textId="64BD8512" w:rsidR="00DE3B79" w:rsidRPr="00DA2F92" w:rsidRDefault="00DE3B7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15.8%</w:t>
            </w:r>
          </w:p>
        </w:tc>
      </w:tr>
      <w:tr w:rsidR="00DE3B79" w:rsidRPr="00DA2F92" w14:paraId="11E37FA1" w14:textId="77777777" w:rsidTr="0074040A">
        <w:trPr>
          <w:trHeight w:val="690"/>
        </w:trPr>
        <w:tc>
          <w:tcPr>
            <w:tcW w:w="5022"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D03960C" w14:textId="028C8A1B" w:rsidR="00DE3B79" w:rsidRPr="00E5404F" w:rsidRDefault="00DE3B7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342 - Liquefied propane and butane</w:t>
            </w:r>
          </w:p>
        </w:tc>
        <w:tc>
          <w:tcPr>
            <w:tcW w:w="2160" w:type="dxa"/>
            <w:tcBorders>
              <w:top w:val="nil"/>
              <w:left w:val="nil"/>
              <w:bottom w:val="single" w:sz="8" w:space="0" w:color="FFFFFF"/>
              <w:right w:val="single" w:sz="8" w:space="0" w:color="FFFFFF"/>
            </w:tcBorders>
            <w:shd w:val="clear" w:color="000000" w:fill="D0CECE"/>
            <w:vAlign w:val="center"/>
            <w:hideMark/>
          </w:tcPr>
          <w:p w14:paraId="0DA055A8" w14:textId="24966123" w:rsidR="00DE3B79" w:rsidRPr="00DA2F92" w:rsidRDefault="00DE3B7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93</w:t>
            </w:r>
          </w:p>
        </w:tc>
        <w:tc>
          <w:tcPr>
            <w:tcW w:w="2160" w:type="dxa"/>
            <w:tcBorders>
              <w:top w:val="nil"/>
              <w:left w:val="nil"/>
              <w:bottom w:val="single" w:sz="8" w:space="0" w:color="FFFFFF"/>
              <w:right w:val="single" w:sz="8" w:space="0" w:color="FFFFFF"/>
            </w:tcBorders>
            <w:shd w:val="clear" w:color="000000" w:fill="D0CECE"/>
            <w:vAlign w:val="center"/>
            <w:hideMark/>
          </w:tcPr>
          <w:p w14:paraId="5B02B4EB" w14:textId="3A596F48" w:rsidR="00DE3B79" w:rsidRPr="00DA2F92" w:rsidRDefault="00DE3B7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37.6%</w:t>
            </w:r>
          </w:p>
        </w:tc>
      </w:tr>
    </w:tbl>
    <w:p w14:paraId="67F385FE" w14:textId="77777777" w:rsidR="001E6939" w:rsidRDefault="001E6939" w:rsidP="001E6939">
      <w:pPr>
        <w:keepNext/>
        <w:keepLines/>
        <w:spacing w:before="60" w:after="120"/>
        <w:jc w:val="right"/>
        <w:rPr>
          <w:i/>
          <w:sz w:val="18"/>
        </w:rPr>
      </w:pPr>
      <w:r>
        <w:rPr>
          <w:i/>
          <w:sz w:val="18"/>
        </w:rPr>
        <w:t>Source: HMRC Overseas Trade Statistics, Eurostat, Cebr analysis</w:t>
      </w:r>
    </w:p>
    <w:p w14:paraId="4999E900" w14:textId="77777777" w:rsidR="001E6939" w:rsidRDefault="001E6939" w:rsidP="001E6939">
      <w:pPr>
        <w:pStyle w:val="Caption"/>
      </w:pPr>
      <w:bookmarkStart w:id="54" w:name="_Ref14958435"/>
    </w:p>
    <w:p w14:paraId="308C795F" w14:textId="77777777" w:rsidR="001E6939" w:rsidRDefault="001E6939" w:rsidP="001E6939">
      <w:pPr>
        <w:pStyle w:val="Caption"/>
      </w:pPr>
      <w:r>
        <w:t xml:space="preserve">Table </w:t>
      </w:r>
      <w:r>
        <w:rPr>
          <w:noProof/>
        </w:rPr>
        <w:fldChar w:fldCharType="begin"/>
      </w:r>
      <w:r>
        <w:rPr>
          <w:noProof/>
        </w:rPr>
        <w:instrText xml:space="preserve"> SEQ Table \* ARABIC </w:instrText>
      </w:r>
      <w:r>
        <w:rPr>
          <w:noProof/>
        </w:rPr>
        <w:fldChar w:fldCharType="separate"/>
      </w:r>
      <w:r w:rsidR="00D17FEA">
        <w:rPr>
          <w:noProof/>
        </w:rPr>
        <w:t>6</w:t>
      </w:r>
      <w:r>
        <w:rPr>
          <w:noProof/>
        </w:rPr>
        <w:fldChar w:fldCharType="end"/>
      </w:r>
      <w:bookmarkEnd w:id="54"/>
      <w:r>
        <w:t xml:space="preserve">: </w:t>
      </w:r>
      <w:r w:rsidRPr="00F86EA3">
        <w:t>Exports to non-EU countries by SITC 3-digit product category</w:t>
      </w:r>
      <w:r>
        <w:t xml:space="preserve"> in 2017 – Road vehicles (SITC 2-digit disaggregated)</w:t>
      </w:r>
    </w:p>
    <w:tbl>
      <w:tblPr>
        <w:tblW w:w="9343" w:type="dxa"/>
        <w:tblLook w:val="04A0" w:firstRow="1" w:lastRow="0" w:firstColumn="1" w:lastColumn="0" w:noHBand="0" w:noVBand="1"/>
      </w:tblPr>
      <w:tblGrid>
        <w:gridCol w:w="5023"/>
        <w:gridCol w:w="2160"/>
        <w:gridCol w:w="2160"/>
      </w:tblGrid>
      <w:tr w:rsidR="001E6939" w:rsidRPr="00DA2F92" w14:paraId="5492F34A" w14:textId="77777777" w:rsidTr="001E6939">
        <w:trPr>
          <w:trHeight w:val="452"/>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818F939" w14:textId="77777777" w:rsidR="001E6939" w:rsidRPr="00DA2F92" w:rsidRDefault="001E6939" w:rsidP="001E6939">
            <w:pPr>
              <w:spacing w:after="0"/>
              <w:jc w:val="center"/>
              <w:rPr>
                <w:rFonts w:ascii="Calibri" w:eastAsia="Times New Roman" w:hAnsi="Calibri" w:cs="Calibri"/>
                <w:b/>
                <w:bCs/>
                <w:color w:val="FFFFFF"/>
                <w:sz w:val="20"/>
                <w:lang w:eastAsia="en-GB"/>
              </w:rPr>
            </w:pPr>
            <w:r w:rsidRPr="00DA2F92">
              <w:rPr>
                <w:rFonts w:ascii="Calibri" w:eastAsia="Times New Roman" w:hAnsi="Calibri" w:cs="Calibri"/>
                <w:b/>
                <w:bCs/>
                <w:color w:val="FFFFFF"/>
                <w:sz w:val="20"/>
                <w:lang w:eastAsia="en-GB"/>
              </w:rPr>
              <w:t>SITC 3-digit product categories</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11DACAB" w14:textId="77777777" w:rsidR="001E6939" w:rsidRPr="00DA2F92" w:rsidRDefault="001E6939" w:rsidP="001E6939">
            <w:pPr>
              <w:spacing w:after="0"/>
              <w:jc w:val="center"/>
              <w:rPr>
                <w:rFonts w:ascii="Calibri" w:eastAsia="Times New Roman" w:hAnsi="Calibri" w:cs="Calibri"/>
                <w:b/>
                <w:bCs/>
                <w:color w:val="FFFFFF"/>
                <w:sz w:val="20"/>
                <w:lang w:eastAsia="en-GB"/>
              </w:rPr>
            </w:pPr>
            <w:r w:rsidRPr="00DA2F92">
              <w:rPr>
                <w:rFonts w:ascii="Calibri" w:eastAsia="Times New Roman" w:hAnsi="Calibri" w:cs="Calibri"/>
                <w:b/>
                <w:bCs/>
                <w:color w:val="FFFFFF"/>
                <w:sz w:val="20"/>
                <w:lang w:eastAsia="en-GB"/>
              </w:rPr>
              <w:t>£ millions</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A75CF00" w14:textId="519324A6" w:rsidR="001E6939" w:rsidRPr="00DA2F92" w:rsidRDefault="00DE3B79" w:rsidP="001E6939">
            <w:pPr>
              <w:spacing w:after="0"/>
              <w:jc w:val="center"/>
              <w:rPr>
                <w:rFonts w:ascii="Calibri" w:eastAsia="Times New Roman" w:hAnsi="Calibri" w:cs="Calibri"/>
                <w:b/>
                <w:bCs/>
                <w:color w:val="FFFFFF"/>
                <w:sz w:val="20"/>
                <w:lang w:eastAsia="en-GB"/>
              </w:rPr>
            </w:pPr>
            <w:r w:rsidRPr="000E026B">
              <w:rPr>
                <w:rFonts w:ascii="Calibri" w:eastAsia="Times New Roman" w:hAnsi="Calibri" w:cs="Calibri"/>
                <w:b/>
                <w:bCs/>
                <w:color w:val="FFFFFF"/>
                <w:sz w:val="20"/>
                <w:lang w:eastAsia="en-GB"/>
              </w:rPr>
              <w:t>% share of UK total</w:t>
            </w:r>
            <w:r>
              <w:rPr>
                <w:rFonts w:ascii="Calibri" w:eastAsia="Times New Roman" w:hAnsi="Calibri" w:cs="Calibri"/>
                <w:b/>
                <w:bCs/>
                <w:color w:val="FFFFFF"/>
                <w:sz w:val="20"/>
                <w:lang w:eastAsia="en-GB"/>
              </w:rPr>
              <w:t xml:space="preserve"> non-EU trade</w:t>
            </w:r>
          </w:p>
        </w:tc>
      </w:tr>
      <w:tr w:rsidR="001E6939" w:rsidRPr="00DA2F92" w14:paraId="30AD6A66" w14:textId="77777777" w:rsidTr="001E6939">
        <w:trPr>
          <w:trHeight w:val="667"/>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48C31E1"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781 - Motor cars &amp; other m/vehicles principally designed for transport of persons (</w:t>
            </w:r>
            <w:proofErr w:type="spellStart"/>
            <w:r w:rsidRPr="00E5404F">
              <w:rPr>
                <w:rFonts w:ascii="Calibri" w:eastAsia="Times New Roman" w:hAnsi="Calibri" w:cs="Calibri"/>
                <w:bCs/>
                <w:color w:val="FFFFFF"/>
                <w:sz w:val="20"/>
                <w:lang w:eastAsia="en-GB"/>
              </w:rPr>
              <w:t>o/t</w:t>
            </w:r>
            <w:proofErr w:type="spellEnd"/>
            <w:r w:rsidRPr="00E5404F">
              <w:rPr>
                <w:rFonts w:ascii="Calibri" w:eastAsia="Times New Roman" w:hAnsi="Calibri" w:cs="Calibri"/>
                <w:bCs/>
                <w:color w:val="FFFFFF"/>
                <w:sz w:val="20"/>
                <w:lang w:eastAsia="en-GB"/>
              </w:rPr>
              <w:t xml:space="preserve"> public-transport vehicles)</w:t>
            </w:r>
          </w:p>
        </w:tc>
        <w:tc>
          <w:tcPr>
            <w:tcW w:w="2160" w:type="dxa"/>
            <w:tcBorders>
              <w:top w:val="nil"/>
              <w:left w:val="nil"/>
              <w:bottom w:val="single" w:sz="8" w:space="0" w:color="FFFFFF"/>
              <w:right w:val="single" w:sz="8" w:space="0" w:color="FFFFFF"/>
            </w:tcBorders>
            <w:shd w:val="clear" w:color="000000" w:fill="E7EEEF"/>
            <w:vAlign w:val="center"/>
            <w:hideMark/>
          </w:tcPr>
          <w:p w14:paraId="31624FF8" w14:textId="77777777" w:rsidR="001E6939" w:rsidRPr="00DA2F92" w:rsidRDefault="001E693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11,853</w:t>
            </w:r>
          </w:p>
        </w:tc>
        <w:tc>
          <w:tcPr>
            <w:tcW w:w="2160" w:type="dxa"/>
            <w:tcBorders>
              <w:top w:val="nil"/>
              <w:left w:val="nil"/>
              <w:bottom w:val="single" w:sz="8" w:space="0" w:color="FFFFFF"/>
              <w:right w:val="single" w:sz="8" w:space="0" w:color="FFFFFF"/>
            </w:tcBorders>
            <w:shd w:val="clear" w:color="000000" w:fill="E7EEEF"/>
            <w:vAlign w:val="center"/>
            <w:hideMark/>
          </w:tcPr>
          <w:p w14:paraId="23A29EA8" w14:textId="77777777" w:rsidR="001E6939" w:rsidRPr="00DA2F92" w:rsidRDefault="001E693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61.4%</w:t>
            </w:r>
          </w:p>
        </w:tc>
      </w:tr>
      <w:tr w:rsidR="001E6939" w:rsidRPr="00DA2F92" w14:paraId="3D5C26A8" w14:textId="77777777" w:rsidTr="001E6939">
        <w:trPr>
          <w:trHeight w:val="452"/>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7D79CF4"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782 - Motor vehicles for the transport of goods and special purposes motor vehicles</w:t>
            </w:r>
          </w:p>
        </w:tc>
        <w:tc>
          <w:tcPr>
            <w:tcW w:w="2160" w:type="dxa"/>
            <w:tcBorders>
              <w:top w:val="nil"/>
              <w:left w:val="nil"/>
              <w:bottom w:val="single" w:sz="8" w:space="0" w:color="FFFFFF"/>
              <w:right w:val="single" w:sz="8" w:space="0" w:color="FFFFFF"/>
            </w:tcBorders>
            <w:shd w:val="clear" w:color="000000" w:fill="D0CECE"/>
            <w:vAlign w:val="center"/>
            <w:hideMark/>
          </w:tcPr>
          <w:p w14:paraId="75AD0492" w14:textId="77777777" w:rsidR="001E6939" w:rsidRPr="00DA2F92" w:rsidRDefault="001E693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482</w:t>
            </w:r>
          </w:p>
        </w:tc>
        <w:tc>
          <w:tcPr>
            <w:tcW w:w="2160" w:type="dxa"/>
            <w:tcBorders>
              <w:top w:val="nil"/>
              <w:left w:val="nil"/>
              <w:bottom w:val="single" w:sz="8" w:space="0" w:color="FFFFFF"/>
              <w:right w:val="single" w:sz="8" w:space="0" w:color="FFFFFF"/>
            </w:tcBorders>
            <w:shd w:val="clear" w:color="000000" w:fill="D0CECE"/>
            <w:vAlign w:val="center"/>
            <w:hideMark/>
          </w:tcPr>
          <w:p w14:paraId="09953D45" w14:textId="77777777" w:rsidR="001E6939" w:rsidRPr="00DA2F92" w:rsidRDefault="001E693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61.5%</w:t>
            </w:r>
          </w:p>
        </w:tc>
      </w:tr>
      <w:tr w:rsidR="001E6939" w:rsidRPr="00DA2F92" w14:paraId="1C269CB7" w14:textId="77777777" w:rsidTr="001E6939">
        <w:trPr>
          <w:trHeight w:val="238"/>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343C36A"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 xml:space="preserve">783 - Road motor vehicles, </w:t>
            </w:r>
            <w:proofErr w:type="spellStart"/>
            <w:r w:rsidRPr="00E5404F">
              <w:rPr>
                <w:rFonts w:ascii="Calibri" w:eastAsia="Times New Roman" w:hAnsi="Calibri" w:cs="Calibri"/>
                <w:bCs/>
                <w:color w:val="FFFFFF"/>
                <w:sz w:val="20"/>
                <w:lang w:eastAsia="en-GB"/>
              </w:rPr>
              <w:t>nes</w:t>
            </w:r>
            <w:proofErr w:type="spellEnd"/>
          </w:p>
        </w:tc>
        <w:tc>
          <w:tcPr>
            <w:tcW w:w="2160" w:type="dxa"/>
            <w:tcBorders>
              <w:top w:val="nil"/>
              <w:left w:val="nil"/>
              <w:bottom w:val="single" w:sz="8" w:space="0" w:color="FFFFFF"/>
              <w:right w:val="single" w:sz="8" w:space="0" w:color="FFFFFF"/>
            </w:tcBorders>
            <w:shd w:val="clear" w:color="000000" w:fill="E7EEEF"/>
            <w:vAlign w:val="center"/>
            <w:hideMark/>
          </w:tcPr>
          <w:p w14:paraId="29AC7ED1" w14:textId="77777777" w:rsidR="001E6939" w:rsidRPr="00DA2F92" w:rsidRDefault="001E693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106</w:t>
            </w:r>
          </w:p>
        </w:tc>
        <w:tc>
          <w:tcPr>
            <w:tcW w:w="2160" w:type="dxa"/>
            <w:tcBorders>
              <w:top w:val="nil"/>
              <w:left w:val="nil"/>
              <w:bottom w:val="single" w:sz="8" w:space="0" w:color="FFFFFF"/>
              <w:right w:val="single" w:sz="8" w:space="0" w:color="FFFFFF"/>
            </w:tcBorders>
            <w:shd w:val="clear" w:color="000000" w:fill="E7EEEF"/>
            <w:vAlign w:val="center"/>
            <w:hideMark/>
          </w:tcPr>
          <w:p w14:paraId="5989F270" w14:textId="77777777" w:rsidR="001E6939" w:rsidRPr="00DA2F92" w:rsidRDefault="001E693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56.0%</w:t>
            </w:r>
          </w:p>
        </w:tc>
      </w:tr>
      <w:tr w:rsidR="001E6939" w:rsidRPr="00DA2F92" w14:paraId="326D119E" w14:textId="77777777" w:rsidTr="001E6939">
        <w:trPr>
          <w:trHeight w:val="452"/>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056CCC9"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784 - Parts and accessories of the motor vehicles of group 722, 781, 782 and 783</w:t>
            </w:r>
          </w:p>
        </w:tc>
        <w:tc>
          <w:tcPr>
            <w:tcW w:w="2160" w:type="dxa"/>
            <w:tcBorders>
              <w:top w:val="nil"/>
              <w:left w:val="nil"/>
              <w:bottom w:val="single" w:sz="8" w:space="0" w:color="FFFFFF"/>
              <w:right w:val="single" w:sz="8" w:space="0" w:color="FFFFFF"/>
            </w:tcBorders>
            <w:shd w:val="clear" w:color="000000" w:fill="D0CECE"/>
            <w:vAlign w:val="center"/>
            <w:hideMark/>
          </w:tcPr>
          <w:p w14:paraId="6CFAE640" w14:textId="77777777" w:rsidR="001E6939" w:rsidRPr="00DA2F92" w:rsidRDefault="001E693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204</w:t>
            </w:r>
          </w:p>
        </w:tc>
        <w:tc>
          <w:tcPr>
            <w:tcW w:w="2160" w:type="dxa"/>
            <w:tcBorders>
              <w:top w:val="nil"/>
              <w:left w:val="nil"/>
              <w:bottom w:val="single" w:sz="8" w:space="0" w:color="FFFFFF"/>
              <w:right w:val="single" w:sz="8" w:space="0" w:color="FFFFFF"/>
            </w:tcBorders>
            <w:shd w:val="clear" w:color="000000" w:fill="D0CECE"/>
            <w:vAlign w:val="center"/>
            <w:hideMark/>
          </w:tcPr>
          <w:p w14:paraId="70601E08" w14:textId="77777777" w:rsidR="001E6939" w:rsidRPr="00DA2F92" w:rsidRDefault="001E693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12.6%</w:t>
            </w:r>
          </w:p>
        </w:tc>
      </w:tr>
      <w:tr w:rsidR="001E6939" w:rsidRPr="00DA2F92" w14:paraId="6E7841DC" w14:textId="77777777" w:rsidTr="001E6939">
        <w:trPr>
          <w:trHeight w:val="667"/>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D49A5DB"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785 - Motorcycles (including mopeds) and cycles, motorized and non-motorized; invalid carriages</w:t>
            </w:r>
          </w:p>
        </w:tc>
        <w:tc>
          <w:tcPr>
            <w:tcW w:w="2160" w:type="dxa"/>
            <w:tcBorders>
              <w:top w:val="nil"/>
              <w:left w:val="nil"/>
              <w:bottom w:val="single" w:sz="8" w:space="0" w:color="FFFFFF"/>
              <w:right w:val="single" w:sz="8" w:space="0" w:color="FFFFFF"/>
            </w:tcBorders>
            <w:shd w:val="clear" w:color="000000" w:fill="E7EEEF"/>
            <w:vAlign w:val="center"/>
            <w:hideMark/>
          </w:tcPr>
          <w:p w14:paraId="2D6C72AA" w14:textId="77777777" w:rsidR="001E6939" w:rsidRPr="00DA2F92" w:rsidRDefault="001E693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24</w:t>
            </w:r>
          </w:p>
        </w:tc>
        <w:tc>
          <w:tcPr>
            <w:tcW w:w="2160" w:type="dxa"/>
            <w:tcBorders>
              <w:top w:val="nil"/>
              <w:left w:val="nil"/>
              <w:bottom w:val="single" w:sz="8" w:space="0" w:color="FFFFFF"/>
              <w:right w:val="single" w:sz="8" w:space="0" w:color="FFFFFF"/>
            </w:tcBorders>
            <w:shd w:val="clear" w:color="000000" w:fill="E7EEEF"/>
            <w:vAlign w:val="center"/>
            <w:hideMark/>
          </w:tcPr>
          <w:p w14:paraId="3477AEC3" w14:textId="77777777" w:rsidR="001E6939" w:rsidRPr="00DA2F92" w:rsidRDefault="001E693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16.4%</w:t>
            </w:r>
          </w:p>
        </w:tc>
      </w:tr>
      <w:tr w:rsidR="001E6939" w:rsidRPr="00DA2F92" w14:paraId="059F8212" w14:textId="77777777" w:rsidTr="001E6939">
        <w:trPr>
          <w:trHeight w:val="667"/>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68378A7"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 xml:space="preserve">786 - Trailers and semi-trailers; other vehicles, not </w:t>
            </w:r>
            <w:proofErr w:type="spellStart"/>
            <w:r w:rsidRPr="00E5404F">
              <w:rPr>
                <w:rFonts w:ascii="Calibri" w:eastAsia="Times New Roman" w:hAnsi="Calibri" w:cs="Calibri"/>
                <w:bCs/>
                <w:color w:val="FFFFFF"/>
                <w:sz w:val="20"/>
                <w:lang w:eastAsia="en-GB"/>
              </w:rPr>
              <w:t>mch</w:t>
            </w:r>
            <w:proofErr w:type="spellEnd"/>
            <w:r w:rsidRPr="00E5404F">
              <w:rPr>
                <w:rFonts w:ascii="Calibri" w:eastAsia="Times New Roman" w:hAnsi="Calibri" w:cs="Calibri"/>
                <w:bCs/>
                <w:color w:val="FFFFFF"/>
                <w:sz w:val="20"/>
                <w:lang w:eastAsia="en-GB"/>
              </w:rPr>
              <w:t xml:space="preserve"> propelled; specially designed &amp; equipped transport </w:t>
            </w:r>
            <w:proofErr w:type="spellStart"/>
            <w:r w:rsidRPr="00E5404F">
              <w:rPr>
                <w:rFonts w:ascii="Calibri" w:eastAsia="Times New Roman" w:hAnsi="Calibri" w:cs="Calibri"/>
                <w:bCs/>
                <w:color w:val="FFFFFF"/>
                <w:sz w:val="20"/>
                <w:lang w:eastAsia="en-GB"/>
              </w:rPr>
              <w:t>ctr</w:t>
            </w:r>
            <w:proofErr w:type="spellEnd"/>
          </w:p>
        </w:tc>
        <w:tc>
          <w:tcPr>
            <w:tcW w:w="2160" w:type="dxa"/>
            <w:tcBorders>
              <w:top w:val="nil"/>
              <w:left w:val="nil"/>
              <w:bottom w:val="single" w:sz="8" w:space="0" w:color="FFFFFF"/>
              <w:right w:val="single" w:sz="8" w:space="0" w:color="FFFFFF"/>
            </w:tcBorders>
            <w:shd w:val="clear" w:color="000000" w:fill="D0CECE"/>
            <w:vAlign w:val="center"/>
            <w:hideMark/>
          </w:tcPr>
          <w:p w14:paraId="4CB86F84" w14:textId="77777777" w:rsidR="001E6939" w:rsidRPr="00DA2F92" w:rsidRDefault="001E693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50</w:t>
            </w:r>
          </w:p>
        </w:tc>
        <w:tc>
          <w:tcPr>
            <w:tcW w:w="2160" w:type="dxa"/>
            <w:tcBorders>
              <w:top w:val="nil"/>
              <w:left w:val="nil"/>
              <w:bottom w:val="single" w:sz="8" w:space="0" w:color="FFFFFF"/>
              <w:right w:val="single" w:sz="8" w:space="0" w:color="FFFFFF"/>
            </w:tcBorders>
            <w:shd w:val="clear" w:color="000000" w:fill="D0CECE"/>
            <w:vAlign w:val="center"/>
            <w:hideMark/>
          </w:tcPr>
          <w:p w14:paraId="5A9AF46B" w14:textId="77777777" w:rsidR="001E6939" w:rsidRPr="00DA2F92" w:rsidRDefault="001E6939" w:rsidP="001E6939">
            <w:pPr>
              <w:spacing w:after="0"/>
              <w:jc w:val="center"/>
              <w:rPr>
                <w:rFonts w:ascii="Calibri" w:eastAsia="Times New Roman" w:hAnsi="Calibri" w:cs="Calibri"/>
                <w:color w:val="000000"/>
                <w:sz w:val="20"/>
                <w:lang w:eastAsia="en-GB"/>
              </w:rPr>
            </w:pPr>
            <w:r w:rsidRPr="00DA2F92">
              <w:rPr>
                <w:rFonts w:ascii="Calibri" w:eastAsia="Times New Roman" w:hAnsi="Calibri" w:cs="Calibri"/>
                <w:color w:val="000000"/>
                <w:sz w:val="20"/>
                <w:lang w:eastAsia="en-GB"/>
              </w:rPr>
              <w:t>23.4%</w:t>
            </w:r>
          </w:p>
        </w:tc>
      </w:tr>
    </w:tbl>
    <w:p w14:paraId="534D8DCE" w14:textId="77777777" w:rsidR="001E6939" w:rsidRDefault="001E6939" w:rsidP="001E6939">
      <w:pPr>
        <w:keepNext/>
        <w:keepLines/>
        <w:spacing w:before="60" w:after="120"/>
        <w:jc w:val="right"/>
        <w:rPr>
          <w:i/>
          <w:sz w:val="18"/>
        </w:rPr>
      </w:pPr>
      <w:r>
        <w:rPr>
          <w:i/>
          <w:sz w:val="18"/>
        </w:rPr>
        <w:t>Source: HMRC Overseas Trade Statistics, Eurostat, Cebr analysis</w:t>
      </w:r>
    </w:p>
    <w:p w14:paraId="1014CE6F" w14:textId="77777777" w:rsidR="00D17FEA" w:rsidRDefault="001E6939" w:rsidP="00D17FEA">
      <w:r w:rsidRPr="001C146F">
        <w:t xml:space="preserve">Note that, in contrast to </w:t>
      </w:r>
      <w:r w:rsidRPr="001C146F">
        <w:fldChar w:fldCharType="begin"/>
      </w:r>
      <w:r w:rsidRPr="001C146F">
        <w:instrText xml:space="preserve"> REF _Ref14955583 \h </w:instrText>
      </w:r>
      <w:r w:rsidR="001C146F" w:rsidRPr="001C146F">
        <w:instrText xml:space="preserve"> \* MERGEFORMAT </w:instrText>
      </w:r>
      <w:r w:rsidRPr="001C146F">
        <w:fldChar w:fldCharType="separate"/>
      </w:r>
      <w:r w:rsidR="00D17FEA">
        <w:t>Table 3</w:t>
      </w:r>
      <w:r w:rsidRPr="001C146F">
        <w:fldChar w:fldCharType="end"/>
      </w:r>
      <w:r w:rsidRPr="001C146F">
        <w:t xml:space="preserve">, there is no total row in either </w:t>
      </w:r>
      <w:r w:rsidRPr="001C146F">
        <w:fldChar w:fldCharType="begin"/>
      </w:r>
      <w:r w:rsidRPr="001C146F">
        <w:instrText xml:space="preserve"> REF _Ref14958434 \h </w:instrText>
      </w:r>
      <w:r w:rsidR="001C146F" w:rsidRPr="001C146F">
        <w:instrText xml:space="preserve"> \* MERGEFORMAT </w:instrText>
      </w:r>
      <w:r w:rsidRPr="001C146F">
        <w:fldChar w:fldCharType="separate"/>
      </w:r>
      <w:r w:rsidR="00D17FEA">
        <w:t>Table 5</w:t>
      </w:r>
      <w:r w:rsidRPr="001C146F">
        <w:fldChar w:fldCharType="end"/>
      </w:r>
      <w:r w:rsidRPr="001C146F">
        <w:t xml:space="preserve"> or </w:t>
      </w:r>
      <w:r>
        <w:fldChar w:fldCharType="begin"/>
      </w:r>
      <w:r w:rsidRPr="001C146F">
        <w:instrText xml:space="preserve"> REF _Ref14958435 \h </w:instrText>
      </w:r>
      <w:r w:rsidR="001C146F" w:rsidRPr="001C146F">
        <w:instrText xml:space="preserve"> \* MERGEFORMAT </w:instrText>
      </w:r>
      <w:r>
        <w:fldChar w:fldCharType="separate"/>
      </w:r>
    </w:p>
    <w:p w14:paraId="61460A8D" w14:textId="675EC061" w:rsidR="001E6939" w:rsidRPr="001C146F" w:rsidRDefault="00D17FEA" w:rsidP="00E5404F">
      <w:r>
        <w:t xml:space="preserve">Table </w:t>
      </w:r>
      <w:r>
        <w:rPr>
          <w:noProof/>
        </w:rPr>
        <w:t>6</w:t>
      </w:r>
      <w:r w:rsidR="001E6939">
        <w:fldChar w:fldCharType="end"/>
      </w:r>
      <w:r w:rsidR="001E6939">
        <w:t xml:space="preserve"> this is because these tables provide a more granular snapshot of </w:t>
      </w:r>
      <w:r w:rsidR="001E6939" w:rsidRPr="00C86AB3">
        <w:t>some</w:t>
      </w:r>
      <w:r w:rsidR="001E6939" w:rsidRPr="001C146F">
        <w:t xml:space="preserve"> </w:t>
      </w:r>
      <w:r w:rsidR="001E6939">
        <w:t xml:space="preserve">of the information contained in </w:t>
      </w:r>
      <w:r w:rsidR="001E6939">
        <w:fldChar w:fldCharType="begin"/>
      </w:r>
      <w:r w:rsidR="001E6939">
        <w:instrText xml:space="preserve"> REF _Ref14955583 \h </w:instrText>
      </w:r>
      <w:r w:rsidR="001C146F">
        <w:instrText xml:space="preserve"> \* MERGEFORMAT </w:instrText>
      </w:r>
      <w:r w:rsidR="001E6939">
        <w:fldChar w:fldCharType="separate"/>
      </w:r>
      <w:r>
        <w:t>Table 3</w:t>
      </w:r>
      <w:r w:rsidR="001E6939">
        <w:fldChar w:fldCharType="end"/>
      </w:r>
      <w:r w:rsidR="001E6939">
        <w:t xml:space="preserve"> but not the whole picture and so will not sum to the same total value. </w:t>
      </w:r>
    </w:p>
    <w:p w14:paraId="570FA095" w14:textId="77777777" w:rsidR="001E6939" w:rsidRDefault="001E6939" w:rsidP="00E5404F">
      <w:r>
        <w:t xml:space="preserve">The results presented here are clearly illustrative of the vital international gateway role played by the Solent LEP and its maritime sector. In the area of machinery and transport equipment, it is clear that the associated manufacturing industries have a significant dependence on the services offered by the maritime </w:t>
      </w:r>
      <w:r>
        <w:lastRenderedPageBreak/>
        <w:t>sector in the Solent LEP. However, it is clear that a very wide range of manufacturing industries up and down the country are dependent on the maritime sector in the Solent LEP to get their finished goods to market.</w:t>
      </w:r>
    </w:p>
    <w:p w14:paraId="0D905A69" w14:textId="77777777" w:rsidR="001E6939" w:rsidRDefault="001E6939" w:rsidP="001E6939">
      <w:pPr>
        <w:pStyle w:val="Heading2"/>
      </w:pPr>
      <w:bookmarkStart w:id="55" w:name="_Toc504572222"/>
      <w:bookmarkStart w:id="56" w:name="_Ref15303431"/>
      <w:bookmarkStart w:id="57" w:name="_Toc15987484"/>
      <w:bookmarkStart w:id="58" w:name="_Toc20139733"/>
      <w:r>
        <w:t>The key imports facilitated by the Solent maritime sector</w:t>
      </w:r>
      <w:bookmarkEnd w:id="55"/>
      <w:r>
        <w:t xml:space="preserve"> from Non-EU countries</w:t>
      </w:r>
      <w:bookmarkEnd w:id="56"/>
      <w:bookmarkEnd w:id="57"/>
      <w:bookmarkEnd w:id="58"/>
    </w:p>
    <w:p w14:paraId="75E91F4B" w14:textId="11DECAAA" w:rsidR="001E6939" w:rsidRDefault="001E6939" w:rsidP="00E5404F">
      <w:r>
        <w:t xml:space="preserve">This subsection concerns the imports of goods that are facilitated by the Solent maritime sector. It is structured in a manner </w:t>
      </w:r>
      <w:proofErr w:type="gramStart"/>
      <w:r>
        <w:t>similar to</w:t>
      </w:r>
      <w:proofErr w:type="gramEnd"/>
      <w:r>
        <w:t xml:space="preserve"> Section </w:t>
      </w:r>
      <w:r>
        <w:fldChar w:fldCharType="begin"/>
      </w:r>
      <w:r>
        <w:instrText xml:space="preserve"> REF _Ref499890819 \r \h </w:instrText>
      </w:r>
      <w:r w:rsidR="00321E8C">
        <w:instrText xml:space="preserve"> \* MERGEFORMAT </w:instrText>
      </w:r>
      <w:r>
        <w:fldChar w:fldCharType="separate"/>
      </w:r>
      <w:r w:rsidR="00D17FEA">
        <w:t>3.4</w:t>
      </w:r>
      <w:r>
        <w:fldChar w:fldCharType="end"/>
      </w:r>
      <w:r>
        <w:t>. We commence with a broad overview of the import product categories that are moving through the Solent with the help of its maritime sector. Imports can be expected to include final goods for consumption and investment and intermediate products that provide vital inputs for UK manufacturers, including those heavily engaged in exporting.</w:t>
      </w:r>
    </w:p>
    <w:p w14:paraId="0B628672" w14:textId="6F60446C" w:rsidR="001E6939" w:rsidRDefault="001E6939" w:rsidP="00E5404F">
      <w:r>
        <w:t xml:space="preserve">At the SITC 1-digit level, </w:t>
      </w:r>
      <w:r>
        <w:fldChar w:fldCharType="begin"/>
      </w:r>
      <w:r>
        <w:instrText xml:space="preserve"> REF _Ref14960377 \h </w:instrText>
      </w:r>
      <w:r w:rsidR="00321E8C">
        <w:instrText xml:space="preserve"> \* MERGEFORMAT </w:instrText>
      </w:r>
      <w:r>
        <w:fldChar w:fldCharType="separate"/>
      </w:r>
      <w:r w:rsidR="00D17FEA">
        <w:t xml:space="preserve">Table </w:t>
      </w:r>
      <w:r w:rsidR="00D17FEA">
        <w:rPr>
          <w:noProof/>
        </w:rPr>
        <w:t>7</w:t>
      </w:r>
      <w:r>
        <w:fldChar w:fldCharType="end"/>
      </w:r>
      <w:r>
        <w:t xml:space="preserve"> illustrates that the Solent moves a 17.8% share of all miscellaneous manufactured articles that are imported to the UK from non-EU countries. This includes goods like:</w:t>
      </w:r>
    </w:p>
    <w:p w14:paraId="5DCC832D" w14:textId="77777777" w:rsidR="001E6939" w:rsidRDefault="001E6939" w:rsidP="001E6939">
      <w:pPr>
        <w:pStyle w:val="ListBullet"/>
        <w:numPr>
          <w:ilvl w:val="0"/>
          <w:numId w:val="20"/>
        </w:numPr>
        <w:ind w:left="360"/>
        <w:jc w:val="both"/>
        <w:rPr>
          <w:rFonts w:ascii="Calibri" w:eastAsia="Microsoft JhengHei" w:hAnsi="Calibri"/>
        </w:rPr>
      </w:pPr>
      <w:r>
        <w:rPr>
          <w:rFonts w:ascii="Calibri" w:eastAsia="Microsoft JhengHei" w:hAnsi="Calibri"/>
        </w:rPr>
        <w:t>Pre-fabricated buildings;</w:t>
      </w:r>
    </w:p>
    <w:p w14:paraId="09D1454B" w14:textId="77777777" w:rsidR="001E6939" w:rsidRDefault="001E6939" w:rsidP="001E6939">
      <w:pPr>
        <w:pStyle w:val="ListBullet"/>
        <w:numPr>
          <w:ilvl w:val="0"/>
          <w:numId w:val="20"/>
        </w:numPr>
        <w:ind w:left="360"/>
        <w:jc w:val="both"/>
        <w:rPr>
          <w:rFonts w:ascii="Calibri" w:eastAsia="Microsoft JhengHei" w:hAnsi="Calibri"/>
        </w:rPr>
      </w:pPr>
      <w:r>
        <w:rPr>
          <w:rFonts w:ascii="Calibri" w:eastAsia="Microsoft JhengHei" w:hAnsi="Calibri"/>
        </w:rPr>
        <w:t>Furniture;</w:t>
      </w:r>
    </w:p>
    <w:p w14:paraId="3C5C0FF5" w14:textId="77777777" w:rsidR="001E6939" w:rsidRDefault="001E6939" w:rsidP="001E6939">
      <w:pPr>
        <w:pStyle w:val="ListBullet"/>
        <w:numPr>
          <w:ilvl w:val="0"/>
          <w:numId w:val="20"/>
        </w:numPr>
        <w:ind w:left="360"/>
        <w:jc w:val="both"/>
        <w:rPr>
          <w:rFonts w:ascii="Calibri" w:eastAsia="Microsoft JhengHei" w:hAnsi="Calibri"/>
        </w:rPr>
      </w:pPr>
      <w:r>
        <w:rPr>
          <w:rFonts w:ascii="Calibri" w:eastAsia="Microsoft JhengHei" w:hAnsi="Calibri"/>
        </w:rPr>
        <w:t>Travel goods;</w:t>
      </w:r>
    </w:p>
    <w:p w14:paraId="32DD0F4F" w14:textId="77777777" w:rsidR="001E6939" w:rsidRDefault="001E6939" w:rsidP="001E6939">
      <w:pPr>
        <w:pStyle w:val="ListBullet"/>
        <w:numPr>
          <w:ilvl w:val="0"/>
          <w:numId w:val="20"/>
        </w:numPr>
        <w:ind w:left="360"/>
        <w:jc w:val="both"/>
        <w:rPr>
          <w:rFonts w:ascii="Calibri" w:eastAsia="Microsoft JhengHei" w:hAnsi="Calibri"/>
        </w:rPr>
      </w:pPr>
      <w:r>
        <w:rPr>
          <w:rFonts w:ascii="Calibri" w:eastAsia="Microsoft JhengHei" w:hAnsi="Calibri"/>
        </w:rPr>
        <w:t>Clothing and footwear;</w:t>
      </w:r>
    </w:p>
    <w:p w14:paraId="65A1135A" w14:textId="77777777" w:rsidR="001E6939" w:rsidRDefault="001E6939" w:rsidP="001E6939">
      <w:pPr>
        <w:pStyle w:val="ListBullet"/>
        <w:numPr>
          <w:ilvl w:val="0"/>
          <w:numId w:val="20"/>
        </w:numPr>
        <w:ind w:left="360"/>
        <w:jc w:val="both"/>
        <w:rPr>
          <w:rFonts w:ascii="Calibri" w:eastAsia="Microsoft JhengHei" w:hAnsi="Calibri"/>
        </w:rPr>
      </w:pPr>
      <w:r>
        <w:rPr>
          <w:rFonts w:ascii="Calibri" w:eastAsia="Microsoft JhengHei" w:hAnsi="Calibri"/>
        </w:rPr>
        <w:t>Professional and scientific instruments and apparatus; and</w:t>
      </w:r>
    </w:p>
    <w:p w14:paraId="6F7052BD" w14:textId="77777777" w:rsidR="001E6939" w:rsidRPr="00440450" w:rsidRDefault="001E6939" w:rsidP="001E6939">
      <w:pPr>
        <w:pStyle w:val="ListBullet"/>
        <w:numPr>
          <w:ilvl w:val="0"/>
          <w:numId w:val="20"/>
        </w:numPr>
        <w:ind w:left="360"/>
        <w:jc w:val="both"/>
        <w:rPr>
          <w:rFonts w:ascii="Calibri" w:eastAsia="Microsoft JhengHei" w:hAnsi="Calibri"/>
        </w:rPr>
      </w:pPr>
      <w:r>
        <w:rPr>
          <w:rFonts w:ascii="Calibri" w:eastAsia="Microsoft JhengHei" w:hAnsi="Calibri"/>
        </w:rPr>
        <w:t xml:space="preserve">Photographic and optical goods, including clocks and watches. </w:t>
      </w:r>
    </w:p>
    <w:p w14:paraId="4322FDD8" w14:textId="77777777" w:rsidR="001E6939" w:rsidRDefault="001E6939" w:rsidP="00E5404F">
      <w:r>
        <w:t xml:space="preserve">Many of these goods can be expected to be dominated by goods in final form to support consumption or investment programmes. As such, the maritime sector in the Solent LEP plays an important role in facilitating competition for domestic manufacturers of the same kinds of product.  </w:t>
      </w:r>
    </w:p>
    <w:p w14:paraId="4E786B4A" w14:textId="4E78B4A7" w:rsidR="0051409C" w:rsidRDefault="001E6939" w:rsidP="00DE3B79">
      <w:r>
        <w:t>In value terms, the highest category is machinery and transport equipment, of which imports to the value of £7.7 billion were moved through the Solent in 2017. This is likely to include final goods and, thus, again a source of competition for UK manufacturers. However, it is also likely to include parts and components that are built into machinery and transport equipment being manufactured in the UK, either for export or for the domestic market.</w:t>
      </w:r>
    </w:p>
    <w:p w14:paraId="524C0A55" w14:textId="77777777" w:rsidR="00DE3B79" w:rsidRDefault="00DE3B79" w:rsidP="00DE3B79"/>
    <w:p w14:paraId="3396FB3B" w14:textId="77777777" w:rsidR="00DE3B79" w:rsidRDefault="00DE3B79" w:rsidP="00DE3B79"/>
    <w:p w14:paraId="4230D688" w14:textId="77777777" w:rsidR="00DE3B79" w:rsidRDefault="00DE3B79" w:rsidP="00DE3B79"/>
    <w:p w14:paraId="66A2FFE9" w14:textId="77777777" w:rsidR="00DE3B79" w:rsidRDefault="00DE3B79" w:rsidP="00DE3B79"/>
    <w:p w14:paraId="16408C0D" w14:textId="77777777" w:rsidR="00DE3B79" w:rsidRDefault="00DE3B79" w:rsidP="00DE3B79"/>
    <w:p w14:paraId="4549929C" w14:textId="77777777" w:rsidR="00DE3B79" w:rsidRDefault="00DE3B79" w:rsidP="00DE3B79"/>
    <w:p w14:paraId="328A33E1" w14:textId="77777777" w:rsidR="00DE3B79" w:rsidRDefault="00DE3B79" w:rsidP="00DE3B79"/>
    <w:p w14:paraId="18325D39" w14:textId="77777777" w:rsidR="00DE3B79" w:rsidRDefault="00DE3B79" w:rsidP="00DE3B79"/>
    <w:p w14:paraId="5F2F0E99" w14:textId="77777777" w:rsidR="00DE3B79" w:rsidRDefault="00DE3B79" w:rsidP="00DE3B79"/>
    <w:p w14:paraId="2B4FFAF2" w14:textId="77777777" w:rsidR="00DE3B79" w:rsidRDefault="00DE3B79" w:rsidP="00DE3B79"/>
    <w:p w14:paraId="365AD6F4" w14:textId="77777777" w:rsidR="00DE3B79" w:rsidRDefault="00DE3B79" w:rsidP="00DE3B79"/>
    <w:p w14:paraId="7CBC0087" w14:textId="14A933E5" w:rsidR="001E6939" w:rsidRDefault="001E6939" w:rsidP="001E6939">
      <w:pPr>
        <w:pStyle w:val="Caption"/>
      </w:pPr>
      <w:bookmarkStart w:id="59" w:name="_Ref14960377"/>
      <w:r>
        <w:lastRenderedPageBreak/>
        <w:t xml:space="preserve">Table </w:t>
      </w:r>
      <w:r>
        <w:rPr>
          <w:noProof/>
        </w:rPr>
        <w:fldChar w:fldCharType="begin"/>
      </w:r>
      <w:r>
        <w:rPr>
          <w:noProof/>
        </w:rPr>
        <w:instrText xml:space="preserve"> SEQ Table \* ARABIC </w:instrText>
      </w:r>
      <w:r>
        <w:rPr>
          <w:noProof/>
        </w:rPr>
        <w:fldChar w:fldCharType="separate"/>
      </w:r>
      <w:r w:rsidR="00D17FEA">
        <w:rPr>
          <w:noProof/>
        </w:rPr>
        <w:t>7</w:t>
      </w:r>
      <w:r>
        <w:rPr>
          <w:noProof/>
        </w:rPr>
        <w:fldChar w:fldCharType="end"/>
      </w:r>
      <w:bookmarkEnd w:id="59"/>
      <w:r>
        <w:t>: Imports</w:t>
      </w:r>
      <w:r w:rsidRPr="00081097">
        <w:t xml:space="preserve"> to non-EU countries by SITC 1-digit product category</w:t>
      </w:r>
      <w:r>
        <w:t xml:space="preserve"> in 2017</w:t>
      </w:r>
    </w:p>
    <w:tbl>
      <w:tblPr>
        <w:tblW w:w="9343" w:type="dxa"/>
        <w:tblLook w:val="04A0" w:firstRow="1" w:lastRow="0" w:firstColumn="1" w:lastColumn="0" w:noHBand="0" w:noVBand="1"/>
      </w:tblPr>
      <w:tblGrid>
        <w:gridCol w:w="5023"/>
        <w:gridCol w:w="2160"/>
        <w:gridCol w:w="2160"/>
      </w:tblGrid>
      <w:tr w:rsidR="001E6939" w:rsidRPr="000E026B" w14:paraId="07A356AF" w14:textId="77777777" w:rsidTr="001E6939">
        <w:trPr>
          <w:trHeight w:val="488"/>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36D29DC" w14:textId="77777777" w:rsidR="001E6939" w:rsidRPr="000E026B" w:rsidRDefault="001E6939" w:rsidP="001E6939">
            <w:pPr>
              <w:spacing w:after="0"/>
              <w:jc w:val="center"/>
              <w:rPr>
                <w:rFonts w:ascii="Calibri" w:eastAsia="Times New Roman" w:hAnsi="Calibri" w:cs="Calibri"/>
                <w:b/>
                <w:bCs/>
                <w:color w:val="FFFFFF"/>
                <w:sz w:val="20"/>
                <w:lang w:eastAsia="en-GB"/>
              </w:rPr>
            </w:pPr>
            <w:r w:rsidRPr="000E026B">
              <w:rPr>
                <w:rFonts w:ascii="Calibri" w:eastAsia="Times New Roman" w:hAnsi="Calibri" w:cs="Calibri"/>
                <w:b/>
                <w:bCs/>
                <w:color w:val="FFFFFF"/>
                <w:sz w:val="20"/>
                <w:lang w:eastAsia="en-GB"/>
              </w:rPr>
              <w:t>SITC 1-digit product categories</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DEBCFA4" w14:textId="77777777" w:rsidR="001E6939" w:rsidRPr="000E026B" w:rsidRDefault="001E6939" w:rsidP="001E6939">
            <w:pPr>
              <w:spacing w:after="0"/>
              <w:jc w:val="center"/>
              <w:rPr>
                <w:rFonts w:ascii="Calibri" w:eastAsia="Times New Roman" w:hAnsi="Calibri" w:cs="Calibri"/>
                <w:b/>
                <w:bCs/>
                <w:color w:val="FFFFFF"/>
                <w:sz w:val="20"/>
                <w:lang w:eastAsia="en-GB"/>
              </w:rPr>
            </w:pPr>
            <w:r w:rsidRPr="000E026B">
              <w:rPr>
                <w:rFonts w:ascii="Calibri" w:eastAsia="Times New Roman" w:hAnsi="Calibri" w:cs="Calibri"/>
                <w:b/>
                <w:bCs/>
                <w:color w:val="FFFFFF"/>
                <w:sz w:val="20"/>
                <w:lang w:eastAsia="en-GB"/>
              </w:rPr>
              <w:t>£ millions</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A897D92" w14:textId="37305E9A" w:rsidR="001E6939" w:rsidRPr="000E026B" w:rsidRDefault="00DE3B79" w:rsidP="001E6939">
            <w:pPr>
              <w:spacing w:after="0"/>
              <w:jc w:val="center"/>
              <w:rPr>
                <w:rFonts w:ascii="Calibri" w:eastAsia="Times New Roman" w:hAnsi="Calibri" w:cs="Calibri"/>
                <w:b/>
                <w:bCs/>
                <w:color w:val="FFFFFF"/>
                <w:sz w:val="20"/>
                <w:lang w:eastAsia="en-GB"/>
              </w:rPr>
            </w:pPr>
            <w:r w:rsidRPr="000E026B">
              <w:rPr>
                <w:rFonts w:ascii="Calibri" w:eastAsia="Times New Roman" w:hAnsi="Calibri" w:cs="Calibri"/>
                <w:b/>
                <w:bCs/>
                <w:color w:val="FFFFFF"/>
                <w:sz w:val="20"/>
                <w:lang w:eastAsia="en-GB"/>
              </w:rPr>
              <w:t>% share of UK total</w:t>
            </w:r>
            <w:r>
              <w:rPr>
                <w:rFonts w:ascii="Calibri" w:eastAsia="Times New Roman" w:hAnsi="Calibri" w:cs="Calibri"/>
                <w:b/>
                <w:bCs/>
                <w:color w:val="FFFFFF"/>
                <w:sz w:val="20"/>
                <w:lang w:eastAsia="en-GB"/>
              </w:rPr>
              <w:t xml:space="preserve"> non-EU trade</w:t>
            </w:r>
          </w:p>
        </w:tc>
      </w:tr>
      <w:tr w:rsidR="001E6939" w:rsidRPr="000E026B" w14:paraId="15DAD4D9" w14:textId="77777777" w:rsidTr="001E6939">
        <w:trPr>
          <w:trHeight w:val="488"/>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04128CE"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0 - Food &amp; live animals</w:t>
            </w:r>
          </w:p>
        </w:tc>
        <w:tc>
          <w:tcPr>
            <w:tcW w:w="2160" w:type="dxa"/>
            <w:tcBorders>
              <w:top w:val="nil"/>
              <w:left w:val="nil"/>
              <w:bottom w:val="single" w:sz="8" w:space="0" w:color="FFFFFF"/>
              <w:right w:val="single" w:sz="8" w:space="0" w:color="FFFFFF"/>
            </w:tcBorders>
            <w:shd w:val="clear" w:color="000000" w:fill="E7EEEF"/>
            <w:vAlign w:val="center"/>
          </w:tcPr>
          <w:p w14:paraId="7EC72745" w14:textId="77777777" w:rsidR="001E6939" w:rsidRPr="00321E8C" w:rsidRDefault="001E6939" w:rsidP="001E6939">
            <w:pPr>
              <w:spacing w:after="0"/>
              <w:jc w:val="center"/>
              <w:rPr>
                <w:rFonts w:ascii="Calibri" w:hAnsi="Calibri" w:cs="Calibri"/>
                <w:color w:val="000000"/>
                <w:sz w:val="20"/>
              </w:rPr>
            </w:pPr>
            <w:r w:rsidRPr="00321E8C">
              <w:rPr>
                <w:rFonts w:ascii="Calibri" w:hAnsi="Calibri" w:cs="Calibri"/>
                <w:color w:val="000000"/>
                <w:sz w:val="20"/>
              </w:rPr>
              <w:t>1,440</w:t>
            </w:r>
          </w:p>
        </w:tc>
        <w:tc>
          <w:tcPr>
            <w:tcW w:w="2160" w:type="dxa"/>
            <w:tcBorders>
              <w:top w:val="nil"/>
              <w:left w:val="nil"/>
              <w:bottom w:val="single" w:sz="8" w:space="0" w:color="FFFFFF"/>
              <w:right w:val="single" w:sz="8" w:space="0" w:color="FFFFFF"/>
            </w:tcBorders>
            <w:shd w:val="clear" w:color="000000" w:fill="E7EEEF"/>
            <w:vAlign w:val="center"/>
          </w:tcPr>
          <w:p w14:paraId="393A8A5D"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12.5%</w:t>
            </w:r>
          </w:p>
        </w:tc>
      </w:tr>
      <w:tr w:rsidR="001E6939" w:rsidRPr="000E026B" w14:paraId="71DC4C25" w14:textId="77777777" w:rsidTr="001E6939">
        <w:trPr>
          <w:trHeight w:val="488"/>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724521E"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1 - Beverages &amp; tobacco</w:t>
            </w:r>
          </w:p>
        </w:tc>
        <w:tc>
          <w:tcPr>
            <w:tcW w:w="2160" w:type="dxa"/>
            <w:tcBorders>
              <w:top w:val="nil"/>
              <w:left w:val="nil"/>
              <w:bottom w:val="single" w:sz="8" w:space="0" w:color="FFFFFF"/>
              <w:right w:val="single" w:sz="8" w:space="0" w:color="FFFFFF"/>
            </w:tcBorders>
            <w:shd w:val="clear" w:color="000000" w:fill="D0CECE"/>
            <w:vAlign w:val="center"/>
          </w:tcPr>
          <w:p w14:paraId="176EEEBD"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87</w:t>
            </w:r>
          </w:p>
        </w:tc>
        <w:tc>
          <w:tcPr>
            <w:tcW w:w="2160" w:type="dxa"/>
            <w:tcBorders>
              <w:top w:val="nil"/>
              <w:left w:val="nil"/>
              <w:bottom w:val="single" w:sz="8" w:space="0" w:color="FFFFFF"/>
              <w:right w:val="single" w:sz="8" w:space="0" w:color="FFFFFF"/>
            </w:tcBorders>
            <w:shd w:val="clear" w:color="000000" w:fill="D0CECE"/>
            <w:vAlign w:val="center"/>
          </w:tcPr>
          <w:p w14:paraId="15C99816"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5.5%</w:t>
            </w:r>
          </w:p>
        </w:tc>
      </w:tr>
      <w:tr w:rsidR="001E6939" w:rsidRPr="000E026B" w14:paraId="1C63E571" w14:textId="77777777" w:rsidTr="001E6939">
        <w:trPr>
          <w:trHeight w:val="488"/>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B622493"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2 - Crude materials, inedible, except fuels</w:t>
            </w:r>
          </w:p>
        </w:tc>
        <w:tc>
          <w:tcPr>
            <w:tcW w:w="2160" w:type="dxa"/>
            <w:tcBorders>
              <w:top w:val="nil"/>
              <w:left w:val="nil"/>
              <w:bottom w:val="single" w:sz="8" w:space="0" w:color="FFFFFF"/>
              <w:right w:val="single" w:sz="8" w:space="0" w:color="FFFFFF"/>
            </w:tcBorders>
            <w:shd w:val="clear" w:color="000000" w:fill="E7EEEF"/>
            <w:vAlign w:val="center"/>
          </w:tcPr>
          <w:p w14:paraId="6F21DC10"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596</w:t>
            </w:r>
          </w:p>
        </w:tc>
        <w:tc>
          <w:tcPr>
            <w:tcW w:w="2160" w:type="dxa"/>
            <w:tcBorders>
              <w:top w:val="nil"/>
              <w:left w:val="nil"/>
              <w:bottom w:val="single" w:sz="8" w:space="0" w:color="FFFFFF"/>
              <w:right w:val="single" w:sz="8" w:space="0" w:color="FFFFFF"/>
            </w:tcBorders>
            <w:shd w:val="clear" w:color="000000" w:fill="E7EEEF"/>
            <w:vAlign w:val="center"/>
          </w:tcPr>
          <w:p w14:paraId="010448A7"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12.8%</w:t>
            </w:r>
          </w:p>
        </w:tc>
      </w:tr>
      <w:tr w:rsidR="001E6939" w:rsidRPr="000E026B" w14:paraId="0FDBC44C" w14:textId="77777777" w:rsidTr="001E6939">
        <w:trPr>
          <w:trHeight w:val="488"/>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F65F16D"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3 - Mineral fuels, lubricants &amp; related materials</w:t>
            </w:r>
          </w:p>
        </w:tc>
        <w:tc>
          <w:tcPr>
            <w:tcW w:w="2160" w:type="dxa"/>
            <w:tcBorders>
              <w:top w:val="nil"/>
              <w:left w:val="nil"/>
              <w:bottom w:val="single" w:sz="8" w:space="0" w:color="FFFFFF"/>
              <w:right w:val="single" w:sz="8" w:space="0" w:color="FFFFFF"/>
            </w:tcBorders>
            <w:shd w:val="clear" w:color="000000" w:fill="D0CECE"/>
            <w:vAlign w:val="center"/>
          </w:tcPr>
          <w:p w14:paraId="44EBAB9E"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3,674</w:t>
            </w:r>
          </w:p>
        </w:tc>
        <w:tc>
          <w:tcPr>
            <w:tcW w:w="2160" w:type="dxa"/>
            <w:tcBorders>
              <w:top w:val="nil"/>
              <w:left w:val="nil"/>
              <w:bottom w:val="single" w:sz="8" w:space="0" w:color="FFFFFF"/>
              <w:right w:val="single" w:sz="8" w:space="0" w:color="FFFFFF"/>
            </w:tcBorders>
            <w:shd w:val="clear" w:color="000000" w:fill="D0CECE"/>
            <w:vAlign w:val="center"/>
          </w:tcPr>
          <w:p w14:paraId="2023936F"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11.7%</w:t>
            </w:r>
          </w:p>
        </w:tc>
      </w:tr>
      <w:tr w:rsidR="001E6939" w:rsidRPr="000E026B" w14:paraId="4AA6EDE8" w14:textId="77777777" w:rsidTr="001E6939">
        <w:trPr>
          <w:trHeight w:val="489"/>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D064935"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4 - Animal &amp; vegetable oils, fats &amp; waxes</w:t>
            </w:r>
          </w:p>
        </w:tc>
        <w:tc>
          <w:tcPr>
            <w:tcW w:w="2160" w:type="dxa"/>
            <w:tcBorders>
              <w:top w:val="nil"/>
              <w:left w:val="nil"/>
              <w:bottom w:val="single" w:sz="8" w:space="0" w:color="FFFFFF"/>
              <w:right w:val="single" w:sz="8" w:space="0" w:color="FFFFFF"/>
            </w:tcBorders>
            <w:shd w:val="clear" w:color="000000" w:fill="E7EEEF"/>
            <w:vAlign w:val="center"/>
          </w:tcPr>
          <w:p w14:paraId="75337FE5"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12</w:t>
            </w:r>
          </w:p>
        </w:tc>
        <w:tc>
          <w:tcPr>
            <w:tcW w:w="2160" w:type="dxa"/>
            <w:tcBorders>
              <w:top w:val="nil"/>
              <w:left w:val="nil"/>
              <w:bottom w:val="single" w:sz="8" w:space="0" w:color="FFFFFF"/>
              <w:right w:val="single" w:sz="8" w:space="0" w:color="FFFFFF"/>
            </w:tcBorders>
            <w:shd w:val="clear" w:color="000000" w:fill="E7EEEF"/>
            <w:vAlign w:val="center"/>
          </w:tcPr>
          <w:p w14:paraId="53BE67F4"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2.4%</w:t>
            </w:r>
          </w:p>
        </w:tc>
      </w:tr>
      <w:tr w:rsidR="001E6939" w:rsidRPr="000E026B" w14:paraId="181F62E0" w14:textId="77777777" w:rsidTr="001E6939">
        <w:trPr>
          <w:trHeight w:val="488"/>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101B733"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 xml:space="preserve">5 - Chemicals &amp; related products, </w:t>
            </w:r>
            <w:proofErr w:type="spellStart"/>
            <w:r w:rsidRPr="00E5404F">
              <w:rPr>
                <w:rFonts w:ascii="Calibri" w:eastAsia="Times New Roman" w:hAnsi="Calibri" w:cs="Calibri"/>
                <w:bCs/>
                <w:color w:val="FFFFFF"/>
                <w:sz w:val="20"/>
                <w:lang w:eastAsia="en-GB"/>
              </w:rPr>
              <w:t>nes</w:t>
            </w:r>
            <w:proofErr w:type="spellEnd"/>
          </w:p>
        </w:tc>
        <w:tc>
          <w:tcPr>
            <w:tcW w:w="2160" w:type="dxa"/>
            <w:tcBorders>
              <w:top w:val="nil"/>
              <w:left w:val="nil"/>
              <w:bottom w:val="single" w:sz="8" w:space="0" w:color="FFFFFF"/>
              <w:right w:val="single" w:sz="8" w:space="0" w:color="FFFFFF"/>
            </w:tcBorders>
            <w:shd w:val="clear" w:color="000000" w:fill="D0CECE"/>
            <w:vAlign w:val="center"/>
          </w:tcPr>
          <w:p w14:paraId="39DDD1CE"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1,422</w:t>
            </w:r>
          </w:p>
        </w:tc>
        <w:tc>
          <w:tcPr>
            <w:tcW w:w="2160" w:type="dxa"/>
            <w:tcBorders>
              <w:top w:val="nil"/>
              <w:left w:val="nil"/>
              <w:bottom w:val="single" w:sz="8" w:space="0" w:color="FFFFFF"/>
              <w:right w:val="single" w:sz="8" w:space="0" w:color="FFFFFF"/>
            </w:tcBorders>
            <w:shd w:val="clear" w:color="000000" w:fill="D0CECE"/>
            <w:vAlign w:val="center"/>
          </w:tcPr>
          <w:p w14:paraId="0DC6A11C"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9.5%</w:t>
            </w:r>
          </w:p>
        </w:tc>
      </w:tr>
      <w:tr w:rsidR="001E6939" w:rsidRPr="000E026B" w14:paraId="3E472854" w14:textId="77777777" w:rsidTr="001E6939">
        <w:trPr>
          <w:trHeight w:val="488"/>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720EB98"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6 - Manufactured goods classified chiefly by material</w:t>
            </w:r>
          </w:p>
        </w:tc>
        <w:tc>
          <w:tcPr>
            <w:tcW w:w="2160" w:type="dxa"/>
            <w:tcBorders>
              <w:top w:val="nil"/>
              <w:left w:val="nil"/>
              <w:bottom w:val="single" w:sz="8" w:space="0" w:color="FFFFFF"/>
              <w:right w:val="single" w:sz="8" w:space="0" w:color="FFFFFF"/>
            </w:tcBorders>
            <w:shd w:val="clear" w:color="000000" w:fill="E7EEEF"/>
            <w:vAlign w:val="center"/>
          </w:tcPr>
          <w:p w14:paraId="14FACCE2"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2,942</w:t>
            </w:r>
          </w:p>
        </w:tc>
        <w:tc>
          <w:tcPr>
            <w:tcW w:w="2160" w:type="dxa"/>
            <w:tcBorders>
              <w:top w:val="nil"/>
              <w:left w:val="nil"/>
              <w:bottom w:val="single" w:sz="8" w:space="0" w:color="FFFFFF"/>
              <w:right w:val="single" w:sz="8" w:space="0" w:color="FFFFFF"/>
            </w:tcBorders>
            <w:shd w:val="clear" w:color="000000" w:fill="E7EEEF"/>
            <w:vAlign w:val="center"/>
          </w:tcPr>
          <w:p w14:paraId="7492C973"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12.8%</w:t>
            </w:r>
          </w:p>
        </w:tc>
      </w:tr>
      <w:tr w:rsidR="001E6939" w:rsidRPr="000E026B" w14:paraId="4A69309F" w14:textId="77777777" w:rsidTr="001E6939">
        <w:trPr>
          <w:trHeight w:val="488"/>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AE2F98E"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7 - Machinery &amp; transport equipment</w:t>
            </w:r>
          </w:p>
        </w:tc>
        <w:tc>
          <w:tcPr>
            <w:tcW w:w="2160" w:type="dxa"/>
            <w:tcBorders>
              <w:top w:val="nil"/>
              <w:left w:val="nil"/>
              <w:bottom w:val="single" w:sz="8" w:space="0" w:color="FFFFFF"/>
              <w:right w:val="single" w:sz="8" w:space="0" w:color="FFFFFF"/>
            </w:tcBorders>
            <w:shd w:val="clear" w:color="000000" w:fill="D0CECE"/>
            <w:vAlign w:val="center"/>
          </w:tcPr>
          <w:p w14:paraId="008C8AAA"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7,766</w:t>
            </w:r>
          </w:p>
        </w:tc>
        <w:tc>
          <w:tcPr>
            <w:tcW w:w="2160" w:type="dxa"/>
            <w:tcBorders>
              <w:top w:val="nil"/>
              <w:left w:val="nil"/>
              <w:bottom w:val="single" w:sz="8" w:space="0" w:color="FFFFFF"/>
              <w:right w:val="single" w:sz="8" w:space="0" w:color="FFFFFF"/>
            </w:tcBorders>
            <w:shd w:val="clear" w:color="000000" w:fill="D0CECE"/>
            <w:vAlign w:val="center"/>
          </w:tcPr>
          <w:p w14:paraId="2AB05993"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10.2%</w:t>
            </w:r>
          </w:p>
        </w:tc>
      </w:tr>
      <w:tr w:rsidR="001E6939" w:rsidRPr="000E026B" w14:paraId="6C12BCB5" w14:textId="77777777" w:rsidTr="001E6939">
        <w:trPr>
          <w:trHeight w:val="488"/>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07B2F66"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8 - Miscellaneous manufactured articles</w:t>
            </w:r>
          </w:p>
        </w:tc>
        <w:tc>
          <w:tcPr>
            <w:tcW w:w="2160" w:type="dxa"/>
            <w:tcBorders>
              <w:top w:val="nil"/>
              <w:left w:val="nil"/>
              <w:bottom w:val="single" w:sz="8" w:space="0" w:color="FFFFFF"/>
              <w:right w:val="single" w:sz="8" w:space="0" w:color="FFFFFF"/>
            </w:tcBorders>
            <w:shd w:val="clear" w:color="000000" w:fill="E7EEEF"/>
            <w:vAlign w:val="center"/>
          </w:tcPr>
          <w:p w14:paraId="50D61FF0"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7,636</w:t>
            </w:r>
          </w:p>
        </w:tc>
        <w:tc>
          <w:tcPr>
            <w:tcW w:w="2160" w:type="dxa"/>
            <w:tcBorders>
              <w:top w:val="nil"/>
              <w:left w:val="nil"/>
              <w:bottom w:val="single" w:sz="8" w:space="0" w:color="FFFFFF"/>
              <w:right w:val="single" w:sz="8" w:space="0" w:color="FFFFFF"/>
            </w:tcBorders>
            <w:shd w:val="clear" w:color="000000" w:fill="E7EEEF"/>
            <w:vAlign w:val="center"/>
          </w:tcPr>
          <w:p w14:paraId="419429C2"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17.8%</w:t>
            </w:r>
          </w:p>
        </w:tc>
      </w:tr>
      <w:tr w:rsidR="001E6939" w:rsidRPr="000E026B" w14:paraId="2807D83F" w14:textId="77777777" w:rsidTr="001E6939">
        <w:trPr>
          <w:trHeight w:val="488"/>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5DE65AA"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 xml:space="preserve"> 9 - Commodities/transactions not </w:t>
            </w:r>
            <w:proofErr w:type="spellStart"/>
            <w:r w:rsidRPr="00E5404F">
              <w:rPr>
                <w:rFonts w:ascii="Calibri" w:eastAsia="Times New Roman" w:hAnsi="Calibri" w:cs="Calibri"/>
                <w:bCs/>
                <w:color w:val="FFFFFF"/>
                <w:sz w:val="20"/>
                <w:lang w:eastAsia="en-GB"/>
              </w:rPr>
              <w:t>class'd</w:t>
            </w:r>
            <w:proofErr w:type="spellEnd"/>
            <w:r w:rsidRPr="00E5404F">
              <w:rPr>
                <w:rFonts w:ascii="Calibri" w:eastAsia="Times New Roman" w:hAnsi="Calibri" w:cs="Calibri"/>
                <w:bCs/>
                <w:color w:val="FFFFFF"/>
                <w:sz w:val="20"/>
                <w:lang w:eastAsia="en-GB"/>
              </w:rPr>
              <w:t xml:space="preserve"> elsewhere in SITC</w:t>
            </w:r>
          </w:p>
        </w:tc>
        <w:tc>
          <w:tcPr>
            <w:tcW w:w="2160" w:type="dxa"/>
            <w:tcBorders>
              <w:top w:val="nil"/>
              <w:left w:val="nil"/>
              <w:bottom w:val="single" w:sz="8" w:space="0" w:color="FFFFFF"/>
              <w:right w:val="single" w:sz="8" w:space="0" w:color="FFFFFF"/>
            </w:tcBorders>
            <w:shd w:val="clear" w:color="000000" w:fill="D0CECE"/>
            <w:vAlign w:val="center"/>
          </w:tcPr>
          <w:p w14:paraId="5FEEF29D"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162</w:t>
            </w:r>
          </w:p>
        </w:tc>
        <w:tc>
          <w:tcPr>
            <w:tcW w:w="2160" w:type="dxa"/>
            <w:tcBorders>
              <w:top w:val="nil"/>
              <w:left w:val="nil"/>
              <w:bottom w:val="single" w:sz="8" w:space="0" w:color="FFFFFF"/>
              <w:right w:val="single" w:sz="8" w:space="0" w:color="FFFFFF"/>
            </w:tcBorders>
            <w:shd w:val="clear" w:color="000000" w:fill="D0CECE"/>
            <w:vAlign w:val="center"/>
          </w:tcPr>
          <w:p w14:paraId="6CDE524A" w14:textId="77777777" w:rsidR="001E6939" w:rsidRPr="00321E8C" w:rsidRDefault="001E6939" w:rsidP="001E6939">
            <w:pPr>
              <w:jc w:val="center"/>
              <w:rPr>
                <w:rFonts w:ascii="Calibri" w:hAnsi="Calibri" w:cs="Calibri"/>
                <w:color w:val="000000"/>
                <w:sz w:val="20"/>
              </w:rPr>
            </w:pPr>
            <w:r w:rsidRPr="00321E8C">
              <w:rPr>
                <w:rFonts w:ascii="Calibri" w:hAnsi="Calibri" w:cs="Calibri"/>
                <w:color w:val="000000"/>
                <w:sz w:val="20"/>
              </w:rPr>
              <w:t>0.5%</w:t>
            </w:r>
          </w:p>
        </w:tc>
      </w:tr>
      <w:tr w:rsidR="001E6939" w:rsidRPr="000E026B" w14:paraId="2D3BF652" w14:textId="77777777" w:rsidTr="001E6939">
        <w:trPr>
          <w:trHeight w:val="489"/>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FFFAA00" w14:textId="77777777" w:rsidR="001E6939" w:rsidRPr="000E026B" w:rsidRDefault="001E6939" w:rsidP="001E6939">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Total</w:t>
            </w:r>
          </w:p>
        </w:tc>
        <w:tc>
          <w:tcPr>
            <w:tcW w:w="2160" w:type="dxa"/>
            <w:tcBorders>
              <w:top w:val="nil"/>
              <w:left w:val="nil"/>
              <w:bottom w:val="single" w:sz="8" w:space="0" w:color="FFFFFF"/>
              <w:right w:val="single" w:sz="8" w:space="0" w:color="FFFFFF"/>
            </w:tcBorders>
            <w:shd w:val="clear" w:color="000000" w:fill="E7EEEF"/>
            <w:vAlign w:val="center"/>
          </w:tcPr>
          <w:p w14:paraId="1E2995EC" w14:textId="77777777" w:rsidR="001E6939" w:rsidRDefault="001E6939" w:rsidP="001E6939">
            <w:pPr>
              <w:jc w:val="center"/>
              <w:rPr>
                <w:rFonts w:ascii="Calibri" w:hAnsi="Calibri" w:cs="Calibri"/>
                <w:color w:val="000000"/>
                <w:sz w:val="20"/>
              </w:rPr>
            </w:pPr>
            <w:r>
              <w:rPr>
                <w:rFonts w:ascii="Calibri" w:hAnsi="Calibri" w:cs="Calibri"/>
                <w:color w:val="000000"/>
                <w:sz w:val="20"/>
              </w:rPr>
              <w:t>25,737</w:t>
            </w:r>
          </w:p>
        </w:tc>
        <w:tc>
          <w:tcPr>
            <w:tcW w:w="2160" w:type="dxa"/>
            <w:tcBorders>
              <w:top w:val="nil"/>
              <w:left w:val="nil"/>
              <w:bottom w:val="single" w:sz="8" w:space="0" w:color="FFFFFF"/>
              <w:right w:val="single" w:sz="8" w:space="0" w:color="FFFFFF"/>
            </w:tcBorders>
            <w:shd w:val="clear" w:color="000000" w:fill="E7EEEF"/>
            <w:vAlign w:val="center"/>
          </w:tcPr>
          <w:p w14:paraId="3C6942FF" w14:textId="77777777" w:rsidR="001E6939" w:rsidRDefault="001E6939" w:rsidP="001E6939">
            <w:pPr>
              <w:jc w:val="center"/>
              <w:rPr>
                <w:rFonts w:ascii="Calibri" w:hAnsi="Calibri" w:cs="Calibri"/>
                <w:color w:val="000000"/>
                <w:sz w:val="20"/>
              </w:rPr>
            </w:pPr>
            <w:r>
              <w:rPr>
                <w:rFonts w:ascii="Calibri" w:hAnsi="Calibri" w:cs="Calibri"/>
                <w:color w:val="000000"/>
                <w:sz w:val="20"/>
              </w:rPr>
              <w:t>10.7%</w:t>
            </w:r>
          </w:p>
        </w:tc>
      </w:tr>
    </w:tbl>
    <w:p w14:paraId="70657EC7" w14:textId="77777777" w:rsidR="001E6939" w:rsidRDefault="001E6939" w:rsidP="001E6939">
      <w:pPr>
        <w:keepNext/>
        <w:keepLines/>
        <w:spacing w:before="60" w:after="120"/>
        <w:jc w:val="right"/>
        <w:rPr>
          <w:i/>
          <w:sz w:val="18"/>
        </w:rPr>
      </w:pPr>
      <w:r>
        <w:rPr>
          <w:i/>
          <w:sz w:val="18"/>
        </w:rPr>
        <w:t>Source: HMRC Overseas Trade Statistics, Eurostat, Cebr analysis</w:t>
      </w:r>
    </w:p>
    <w:p w14:paraId="00BD9414" w14:textId="75D9FA09" w:rsidR="001E6939" w:rsidRPr="00676D30" w:rsidRDefault="001E6939" w:rsidP="00E5404F">
      <w:pPr>
        <w:rPr>
          <w:color w:val="ED1C24" w:themeColor="accent5"/>
        </w:rPr>
      </w:pPr>
      <w:r>
        <w:t>At the SITC 2-digit level, the picture</w:t>
      </w:r>
      <w:r w:rsidR="00321E8C">
        <w:t xml:space="preserve"> is somewhat different</w:t>
      </w:r>
      <w:r>
        <w:t xml:space="preserve">. </w:t>
      </w:r>
      <w:r w:rsidRPr="00A558D4">
        <w:fldChar w:fldCharType="begin"/>
      </w:r>
      <w:r w:rsidRPr="00A558D4">
        <w:instrText xml:space="preserve"> REF _Ref14961454 \h </w:instrText>
      </w:r>
      <w:r w:rsidR="00321E8C">
        <w:instrText xml:space="preserve"> \* MERGEFORMAT </w:instrText>
      </w:r>
      <w:r w:rsidRPr="00A558D4">
        <w:fldChar w:fldCharType="separate"/>
      </w:r>
      <w:r w:rsidR="00D17FEA">
        <w:t xml:space="preserve">Table </w:t>
      </w:r>
      <w:r w:rsidR="00D17FEA">
        <w:rPr>
          <w:noProof/>
        </w:rPr>
        <w:t>8</w:t>
      </w:r>
      <w:r w:rsidRPr="00A558D4">
        <w:fldChar w:fldCharType="end"/>
      </w:r>
      <w:r w:rsidR="001C146F">
        <w:t xml:space="preserve"> </w:t>
      </w:r>
      <w:r w:rsidRPr="00A558D4">
        <w:t xml:space="preserve">suggests that, by value, 28.4% of the UK’s imports of Furniture from non-EU countries are moved through the Solent ports, amounting to £1.1 billion. </w:t>
      </w:r>
      <w:r>
        <w:t>Similarly, £2.2 billion worth of road vehicles pass through the Solent, amounting to 23.5% of UK imports.</w:t>
      </w:r>
    </w:p>
    <w:p w14:paraId="16F4F8A9" w14:textId="5A532EE0" w:rsidR="001E6939" w:rsidRDefault="001E6939" w:rsidP="00E5404F">
      <w:r w:rsidRPr="003F3037">
        <w:t>The machinery and transport equipment categories are much less prominent in the Solent in terms of imports. Indeed, t</w:t>
      </w:r>
      <w:r>
        <w:t>he £2.2</w:t>
      </w:r>
      <w:r w:rsidRPr="003F3037">
        <w:t xml:space="preserve"> billion of imports from non-EU countries in the road vehicles category pales in comparison to the export numbers. We suspect that parts and components, required by UK manufacturers to produce motor vehicles for the domestic market or for export, accounts for a relatively sizable share of this. Nonetheless, the Solent is responsible for moving a sizeable share of the UK’s total import</w:t>
      </w:r>
      <w:r w:rsidR="0051409C">
        <w:t>s of products in this category.</w:t>
      </w:r>
    </w:p>
    <w:p w14:paraId="443A3598" w14:textId="77777777" w:rsidR="0051409C" w:rsidRDefault="0051409C" w:rsidP="0051409C">
      <w:pPr>
        <w:jc w:val="both"/>
      </w:pPr>
    </w:p>
    <w:p w14:paraId="0AAD10D5" w14:textId="77777777" w:rsidR="0051409C" w:rsidRDefault="0051409C" w:rsidP="0051409C">
      <w:pPr>
        <w:jc w:val="both"/>
      </w:pPr>
    </w:p>
    <w:p w14:paraId="2C6B61F8" w14:textId="77777777" w:rsidR="0051409C" w:rsidRDefault="0051409C" w:rsidP="0051409C">
      <w:pPr>
        <w:jc w:val="both"/>
      </w:pPr>
    </w:p>
    <w:p w14:paraId="2E9A2F7A" w14:textId="77777777" w:rsidR="0051409C" w:rsidRDefault="0051409C" w:rsidP="0051409C">
      <w:pPr>
        <w:jc w:val="both"/>
      </w:pPr>
    </w:p>
    <w:p w14:paraId="6C1C20A0" w14:textId="77777777" w:rsidR="0051409C" w:rsidRDefault="0051409C" w:rsidP="0051409C">
      <w:pPr>
        <w:jc w:val="both"/>
      </w:pPr>
    </w:p>
    <w:p w14:paraId="0E1C9B01" w14:textId="77777777" w:rsidR="0051409C" w:rsidRDefault="0051409C" w:rsidP="0051409C">
      <w:pPr>
        <w:jc w:val="both"/>
      </w:pPr>
    </w:p>
    <w:p w14:paraId="7A733905" w14:textId="77777777" w:rsidR="0051409C" w:rsidRDefault="0051409C" w:rsidP="0051409C">
      <w:pPr>
        <w:jc w:val="both"/>
      </w:pPr>
    </w:p>
    <w:p w14:paraId="37F36B57" w14:textId="77777777" w:rsidR="0051409C" w:rsidRDefault="0051409C" w:rsidP="0051409C">
      <w:pPr>
        <w:jc w:val="both"/>
      </w:pPr>
    </w:p>
    <w:p w14:paraId="24B78558" w14:textId="77777777" w:rsidR="0051409C" w:rsidRDefault="0051409C" w:rsidP="0051409C">
      <w:pPr>
        <w:jc w:val="both"/>
      </w:pPr>
    </w:p>
    <w:p w14:paraId="4EF426BD" w14:textId="77777777" w:rsidR="001E6939" w:rsidRPr="00AA3B43" w:rsidRDefault="001E6939" w:rsidP="001E6939">
      <w:pPr>
        <w:pStyle w:val="Caption"/>
      </w:pPr>
      <w:bookmarkStart w:id="60" w:name="_Ref14961454"/>
      <w:r>
        <w:lastRenderedPageBreak/>
        <w:t xml:space="preserve">Table </w:t>
      </w:r>
      <w:r>
        <w:rPr>
          <w:noProof/>
        </w:rPr>
        <w:fldChar w:fldCharType="begin"/>
      </w:r>
      <w:r>
        <w:rPr>
          <w:noProof/>
        </w:rPr>
        <w:instrText xml:space="preserve"> SEQ Table \* ARABIC </w:instrText>
      </w:r>
      <w:r>
        <w:rPr>
          <w:noProof/>
        </w:rPr>
        <w:fldChar w:fldCharType="separate"/>
      </w:r>
      <w:r w:rsidR="00D17FEA">
        <w:rPr>
          <w:noProof/>
        </w:rPr>
        <w:t>8</w:t>
      </w:r>
      <w:r>
        <w:rPr>
          <w:noProof/>
        </w:rPr>
        <w:fldChar w:fldCharType="end"/>
      </w:r>
      <w:bookmarkEnd w:id="60"/>
      <w:r>
        <w:t xml:space="preserve">: </w:t>
      </w:r>
      <w:r w:rsidRPr="004A03F3">
        <w:t>Impor</w:t>
      </w:r>
      <w:r>
        <w:t>ts to non-EU countries by SITC 2</w:t>
      </w:r>
      <w:r w:rsidRPr="004A03F3">
        <w:t>-digit product category</w:t>
      </w:r>
    </w:p>
    <w:tbl>
      <w:tblPr>
        <w:tblW w:w="9345" w:type="dxa"/>
        <w:tblLook w:val="04A0" w:firstRow="1" w:lastRow="0" w:firstColumn="1" w:lastColumn="0" w:noHBand="0" w:noVBand="1"/>
      </w:tblPr>
      <w:tblGrid>
        <w:gridCol w:w="5025"/>
        <w:gridCol w:w="2160"/>
        <w:gridCol w:w="2160"/>
      </w:tblGrid>
      <w:tr w:rsidR="001E6939" w:rsidRPr="00676D30" w14:paraId="39659180" w14:textId="77777777" w:rsidTr="001E6939">
        <w:trPr>
          <w:trHeight w:val="428"/>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77EF51C"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SITC 2-digit product categories</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C8DDB7C"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 million</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929F33F" w14:textId="3B8C1C36" w:rsidR="001E6939" w:rsidRPr="00676D30" w:rsidRDefault="00DE3B79" w:rsidP="001E6939">
            <w:pPr>
              <w:spacing w:after="0"/>
              <w:jc w:val="center"/>
              <w:rPr>
                <w:rFonts w:ascii="Calibri" w:eastAsia="Times New Roman" w:hAnsi="Calibri" w:cs="Calibri"/>
                <w:b/>
                <w:bCs/>
                <w:color w:val="FFFFFF"/>
                <w:sz w:val="20"/>
                <w:lang w:eastAsia="en-GB"/>
              </w:rPr>
            </w:pPr>
            <w:r w:rsidRPr="000E026B">
              <w:rPr>
                <w:rFonts w:ascii="Calibri" w:eastAsia="Times New Roman" w:hAnsi="Calibri" w:cs="Calibri"/>
                <w:b/>
                <w:bCs/>
                <w:color w:val="FFFFFF"/>
                <w:sz w:val="20"/>
                <w:lang w:eastAsia="en-GB"/>
              </w:rPr>
              <w:t>% share of UK total</w:t>
            </w:r>
            <w:r>
              <w:rPr>
                <w:rFonts w:ascii="Calibri" w:eastAsia="Times New Roman" w:hAnsi="Calibri" w:cs="Calibri"/>
                <w:b/>
                <w:bCs/>
                <w:color w:val="FFFFFF"/>
                <w:sz w:val="20"/>
                <w:lang w:eastAsia="en-GB"/>
              </w:rPr>
              <w:t xml:space="preserve"> non-EU trade</w:t>
            </w:r>
          </w:p>
        </w:tc>
      </w:tr>
      <w:tr w:rsidR="001E6939" w:rsidRPr="00676D30" w14:paraId="4A3F9784" w14:textId="77777777" w:rsidTr="001E6939">
        <w:trPr>
          <w:trHeight w:val="428"/>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88BBEA2"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23 - Crude rubber (including synthetic &amp; reclaimed)</w:t>
            </w:r>
          </w:p>
        </w:tc>
        <w:tc>
          <w:tcPr>
            <w:tcW w:w="2160" w:type="dxa"/>
            <w:tcBorders>
              <w:top w:val="nil"/>
              <w:left w:val="nil"/>
              <w:bottom w:val="single" w:sz="8" w:space="0" w:color="FFFFFF"/>
              <w:right w:val="single" w:sz="8" w:space="0" w:color="FFFFFF"/>
            </w:tcBorders>
            <w:shd w:val="clear" w:color="000000" w:fill="E7EEEF"/>
            <w:vAlign w:val="center"/>
            <w:hideMark/>
          </w:tcPr>
          <w:p w14:paraId="741D0C3D"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54</w:t>
            </w:r>
          </w:p>
        </w:tc>
        <w:tc>
          <w:tcPr>
            <w:tcW w:w="2160" w:type="dxa"/>
            <w:tcBorders>
              <w:top w:val="nil"/>
              <w:left w:val="nil"/>
              <w:bottom w:val="single" w:sz="8" w:space="0" w:color="FFFFFF"/>
              <w:right w:val="single" w:sz="8" w:space="0" w:color="FFFFFF"/>
            </w:tcBorders>
            <w:shd w:val="clear" w:color="000000" w:fill="E7EEEF"/>
            <w:vAlign w:val="center"/>
            <w:hideMark/>
          </w:tcPr>
          <w:p w14:paraId="196B73A1"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40.7%</w:t>
            </w:r>
          </w:p>
        </w:tc>
      </w:tr>
      <w:tr w:rsidR="001E6939" w:rsidRPr="00676D30" w14:paraId="27148061" w14:textId="77777777" w:rsidTr="001E6939">
        <w:trPr>
          <w:trHeight w:val="285"/>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4A48D5B"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28 - Metalliferous ores &amp; metal scrap</w:t>
            </w:r>
          </w:p>
        </w:tc>
        <w:tc>
          <w:tcPr>
            <w:tcW w:w="2160" w:type="dxa"/>
            <w:tcBorders>
              <w:top w:val="nil"/>
              <w:left w:val="nil"/>
              <w:bottom w:val="single" w:sz="8" w:space="0" w:color="FFFFFF"/>
              <w:right w:val="single" w:sz="8" w:space="0" w:color="FFFFFF"/>
            </w:tcBorders>
            <w:shd w:val="clear" w:color="000000" w:fill="D0CECE"/>
            <w:vAlign w:val="center"/>
            <w:hideMark/>
          </w:tcPr>
          <w:p w14:paraId="37CF8CD6"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346</w:t>
            </w:r>
          </w:p>
        </w:tc>
        <w:tc>
          <w:tcPr>
            <w:tcW w:w="2160" w:type="dxa"/>
            <w:tcBorders>
              <w:top w:val="nil"/>
              <w:left w:val="nil"/>
              <w:bottom w:val="single" w:sz="8" w:space="0" w:color="FFFFFF"/>
              <w:right w:val="single" w:sz="8" w:space="0" w:color="FFFFFF"/>
            </w:tcBorders>
            <w:shd w:val="clear" w:color="000000" w:fill="D0CECE"/>
            <w:vAlign w:val="center"/>
            <w:hideMark/>
          </w:tcPr>
          <w:p w14:paraId="305AD119"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20.9%</w:t>
            </w:r>
          </w:p>
        </w:tc>
      </w:tr>
      <w:tr w:rsidR="001E6939" w:rsidRPr="00676D30" w14:paraId="32F95711" w14:textId="77777777" w:rsidTr="001E6939">
        <w:trPr>
          <w:trHeight w:val="488"/>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88DC9FA"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 xml:space="preserve">61 - Leather, leather manufactures </w:t>
            </w:r>
            <w:proofErr w:type="spellStart"/>
            <w:r w:rsidRPr="00676D30">
              <w:rPr>
                <w:rFonts w:ascii="Calibri" w:eastAsia="Times New Roman" w:hAnsi="Calibri" w:cs="Calibri"/>
                <w:b/>
                <w:bCs/>
                <w:color w:val="FFFFFF"/>
                <w:sz w:val="20"/>
                <w:lang w:eastAsia="en-GB"/>
              </w:rPr>
              <w:t>n.e.s</w:t>
            </w:r>
            <w:proofErr w:type="spellEnd"/>
            <w:r w:rsidRPr="00676D30">
              <w:rPr>
                <w:rFonts w:ascii="Calibri" w:eastAsia="Times New Roman" w:hAnsi="Calibri" w:cs="Calibri"/>
                <w:b/>
                <w:bCs/>
                <w:color w:val="FFFFFF"/>
                <w:sz w:val="20"/>
                <w:lang w:eastAsia="en-GB"/>
              </w:rPr>
              <w:t xml:space="preserve"> &amp; dressed </w:t>
            </w:r>
            <w:proofErr w:type="spellStart"/>
            <w:r w:rsidRPr="00676D30">
              <w:rPr>
                <w:rFonts w:ascii="Calibri" w:eastAsia="Times New Roman" w:hAnsi="Calibri" w:cs="Calibri"/>
                <w:b/>
                <w:bCs/>
                <w:color w:val="FFFFFF"/>
                <w:sz w:val="20"/>
                <w:lang w:eastAsia="en-GB"/>
              </w:rPr>
              <w:t>furskins</w:t>
            </w:r>
            <w:proofErr w:type="spellEnd"/>
          </w:p>
        </w:tc>
        <w:tc>
          <w:tcPr>
            <w:tcW w:w="2160" w:type="dxa"/>
            <w:tcBorders>
              <w:top w:val="nil"/>
              <w:left w:val="nil"/>
              <w:bottom w:val="single" w:sz="8" w:space="0" w:color="FFFFFF"/>
              <w:right w:val="single" w:sz="8" w:space="0" w:color="FFFFFF"/>
            </w:tcBorders>
            <w:shd w:val="clear" w:color="000000" w:fill="E7EEEF"/>
            <w:vAlign w:val="center"/>
            <w:hideMark/>
          </w:tcPr>
          <w:p w14:paraId="528A5343"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28</w:t>
            </w:r>
          </w:p>
        </w:tc>
        <w:tc>
          <w:tcPr>
            <w:tcW w:w="2160" w:type="dxa"/>
            <w:tcBorders>
              <w:top w:val="nil"/>
              <w:left w:val="nil"/>
              <w:bottom w:val="single" w:sz="8" w:space="0" w:color="FFFFFF"/>
              <w:right w:val="single" w:sz="8" w:space="0" w:color="FFFFFF"/>
            </w:tcBorders>
            <w:shd w:val="clear" w:color="000000" w:fill="E7EEEF"/>
            <w:vAlign w:val="center"/>
            <w:hideMark/>
          </w:tcPr>
          <w:p w14:paraId="1FA90A35"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20.4%</w:t>
            </w:r>
          </w:p>
        </w:tc>
      </w:tr>
      <w:tr w:rsidR="001E6939" w:rsidRPr="00676D30" w14:paraId="6B23B0CE" w14:textId="77777777" w:rsidTr="001E6939">
        <w:trPr>
          <w:trHeight w:val="428"/>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28DE96A"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 xml:space="preserve">62 - Rubber manufactures </w:t>
            </w:r>
            <w:proofErr w:type="spellStart"/>
            <w:r w:rsidRPr="00676D30">
              <w:rPr>
                <w:rFonts w:ascii="Calibri" w:eastAsia="Times New Roman" w:hAnsi="Calibri" w:cs="Calibri"/>
                <w:b/>
                <w:bCs/>
                <w:color w:val="FFFFFF"/>
                <w:sz w:val="20"/>
                <w:lang w:eastAsia="en-GB"/>
              </w:rPr>
              <w:t>n.e.s.</w:t>
            </w:r>
            <w:proofErr w:type="spellEnd"/>
          </w:p>
        </w:tc>
        <w:tc>
          <w:tcPr>
            <w:tcW w:w="2160" w:type="dxa"/>
            <w:tcBorders>
              <w:top w:val="nil"/>
              <w:left w:val="nil"/>
              <w:bottom w:val="single" w:sz="8" w:space="0" w:color="FFFFFF"/>
              <w:right w:val="single" w:sz="8" w:space="0" w:color="FFFFFF"/>
            </w:tcBorders>
            <w:shd w:val="clear" w:color="000000" w:fill="D0CECE"/>
            <w:vAlign w:val="center"/>
            <w:hideMark/>
          </w:tcPr>
          <w:p w14:paraId="394050DD"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351</w:t>
            </w:r>
          </w:p>
        </w:tc>
        <w:tc>
          <w:tcPr>
            <w:tcW w:w="2160" w:type="dxa"/>
            <w:tcBorders>
              <w:top w:val="nil"/>
              <w:left w:val="nil"/>
              <w:bottom w:val="single" w:sz="8" w:space="0" w:color="FFFFFF"/>
              <w:right w:val="single" w:sz="8" w:space="0" w:color="FFFFFF"/>
            </w:tcBorders>
            <w:shd w:val="clear" w:color="000000" w:fill="D0CECE"/>
            <w:vAlign w:val="center"/>
            <w:hideMark/>
          </w:tcPr>
          <w:p w14:paraId="736B0174"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25.4%</w:t>
            </w:r>
          </w:p>
        </w:tc>
      </w:tr>
      <w:tr w:rsidR="001E6939" w:rsidRPr="00676D30" w14:paraId="3D2F720D" w14:textId="77777777" w:rsidTr="001E6939">
        <w:trPr>
          <w:trHeight w:val="428"/>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342BDCE"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72 - Machinery specialized for particular industries</w:t>
            </w:r>
          </w:p>
        </w:tc>
        <w:tc>
          <w:tcPr>
            <w:tcW w:w="2160" w:type="dxa"/>
            <w:tcBorders>
              <w:top w:val="nil"/>
              <w:left w:val="nil"/>
              <w:bottom w:val="single" w:sz="8" w:space="0" w:color="FFFFFF"/>
              <w:right w:val="single" w:sz="8" w:space="0" w:color="FFFFFF"/>
            </w:tcBorders>
            <w:shd w:val="clear" w:color="000000" w:fill="E7EEEF"/>
            <w:vAlign w:val="center"/>
            <w:hideMark/>
          </w:tcPr>
          <w:p w14:paraId="42786220"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605</w:t>
            </w:r>
          </w:p>
        </w:tc>
        <w:tc>
          <w:tcPr>
            <w:tcW w:w="2160" w:type="dxa"/>
            <w:tcBorders>
              <w:top w:val="nil"/>
              <w:left w:val="nil"/>
              <w:bottom w:val="single" w:sz="8" w:space="0" w:color="FFFFFF"/>
              <w:right w:val="single" w:sz="8" w:space="0" w:color="FFFFFF"/>
            </w:tcBorders>
            <w:shd w:val="clear" w:color="000000" w:fill="E7EEEF"/>
            <w:vAlign w:val="center"/>
            <w:hideMark/>
          </w:tcPr>
          <w:p w14:paraId="1F593ABF"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22.4%</w:t>
            </w:r>
          </w:p>
        </w:tc>
      </w:tr>
      <w:tr w:rsidR="001E6939" w:rsidRPr="00676D30" w14:paraId="764EA310" w14:textId="77777777" w:rsidTr="001E6939">
        <w:trPr>
          <w:trHeight w:val="428"/>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0372D32"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73 - Metalworking machinery</w:t>
            </w:r>
          </w:p>
        </w:tc>
        <w:tc>
          <w:tcPr>
            <w:tcW w:w="2160" w:type="dxa"/>
            <w:tcBorders>
              <w:top w:val="nil"/>
              <w:left w:val="nil"/>
              <w:bottom w:val="single" w:sz="8" w:space="0" w:color="FFFFFF"/>
              <w:right w:val="single" w:sz="8" w:space="0" w:color="FFFFFF"/>
            </w:tcBorders>
            <w:shd w:val="clear" w:color="000000" w:fill="D0CECE"/>
            <w:vAlign w:val="center"/>
            <w:hideMark/>
          </w:tcPr>
          <w:p w14:paraId="3FCDB427"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105</w:t>
            </w:r>
          </w:p>
        </w:tc>
        <w:tc>
          <w:tcPr>
            <w:tcW w:w="2160" w:type="dxa"/>
            <w:tcBorders>
              <w:top w:val="nil"/>
              <w:left w:val="nil"/>
              <w:bottom w:val="single" w:sz="8" w:space="0" w:color="FFFFFF"/>
              <w:right w:val="single" w:sz="8" w:space="0" w:color="FFFFFF"/>
            </w:tcBorders>
            <w:shd w:val="clear" w:color="000000" w:fill="D0CECE"/>
            <w:vAlign w:val="center"/>
            <w:hideMark/>
          </w:tcPr>
          <w:p w14:paraId="5184FF9A"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20.5%</w:t>
            </w:r>
          </w:p>
        </w:tc>
      </w:tr>
      <w:tr w:rsidR="001E6939" w:rsidRPr="00676D30" w14:paraId="56337B9C" w14:textId="77777777" w:rsidTr="001E6939">
        <w:trPr>
          <w:trHeight w:val="368"/>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1D2A123"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78 - Road vehicles (including air cushion vehicles)</w:t>
            </w:r>
          </w:p>
        </w:tc>
        <w:tc>
          <w:tcPr>
            <w:tcW w:w="2160" w:type="dxa"/>
            <w:tcBorders>
              <w:top w:val="nil"/>
              <w:left w:val="nil"/>
              <w:bottom w:val="single" w:sz="8" w:space="0" w:color="FFFFFF"/>
              <w:right w:val="single" w:sz="8" w:space="0" w:color="FFFFFF"/>
            </w:tcBorders>
            <w:shd w:val="clear" w:color="000000" w:fill="E7EEEF"/>
            <w:vAlign w:val="center"/>
            <w:hideMark/>
          </w:tcPr>
          <w:p w14:paraId="487C8D29"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2,235</w:t>
            </w:r>
          </w:p>
        </w:tc>
        <w:tc>
          <w:tcPr>
            <w:tcW w:w="2160" w:type="dxa"/>
            <w:tcBorders>
              <w:top w:val="nil"/>
              <w:left w:val="nil"/>
              <w:bottom w:val="single" w:sz="8" w:space="0" w:color="FFFFFF"/>
              <w:right w:val="single" w:sz="8" w:space="0" w:color="FFFFFF"/>
            </w:tcBorders>
            <w:shd w:val="clear" w:color="000000" w:fill="E7EEEF"/>
            <w:vAlign w:val="center"/>
            <w:hideMark/>
          </w:tcPr>
          <w:p w14:paraId="6D4048BD"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23.5%</w:t>
            </w:r>
          </w:p>
        </w:tc>
      </w:tr>
      <w:tr w:rsidR="001E6939" w:rsidRPr="00676D30" w14:paraId="7E7F4203" w14:textId="77777777" w:rsidTr="001E6939">
        <w:trPr>
          <w:trHeight w:val="631"/>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01A00BE"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 xml:space="preserve">81 - P/fab </w:t>
            </w:r>
            <w:proofErr w:type="spellStart"/>
            <w:proofErr w:type="gramStart"/>
            <w:r w:rsidRPr="00676D30">
              <w:rPr>
                <w:rFonts w:ascii="Calibri" w:eastAsia="Times New Roman" w:hAnsi="Calibri" w:cs="Calibri"/>
                <w:b/>
                <w:bCs/>
                <w:color w:val="FFFFFF"/>
                <w:sz w:val="20"/>
                <w:lang w:eastAsia="en-GB"/>
              </w:rPr>
              <w:t>buildings;sanit</w:t>
            </w:r>
            <w:proofErr w:type="spellEnd"/>
            <w:r w:rsidRPr="00676D30">
              <w:rPr>
                <w:rFonts w:ascii="Calibri" w:eastAsia="Times New Roman" w:hAnsi="Calibri" w:cs="Calibri"/>
                <w:b/>
                <w:bCs/>
                <w:color w:val="FFFFFF"/>
                <w:sz w:val="20"/>
                <w:lang w:eastAsia="en-GB"/>
              </w:rPr>
              <w:t>.</w:t>
            </w:r>
            <w:proofErr w:type="gramEnd"/>
            <w:r w:rsidRPr="00676D30">
              <w:rPr>
                <w:rFonts w:ascii="Calibri" w:eastAsia="Times New Roman" w:hAnsi="Calibri" w:cs="Calibri"/>
                <w:b/>
                <w:bCs/>
                <w:color w:val="FFFFFF"/>
                <w:sz w:val="20"/>
                <w:lang w:eastAsia="en-GB"/>
              </w:rPr>
              <w:t>,</w:t>
            </w:r>
            <w:proofErr w:type="spellStart"/>
            <w:r w:rsidRPr="00676D30">
              <w:rPr>
                <w:rFonts w:ascii="Calibri" w:eastAsia="Times New Roman" w:hAnsi="Calibri" w:cs="Calibri"/>
                <w:b/>
                <w:bCs/>
                <w:color w:val="FFFFFF"/>
                <w:sz w:val="20"/>
                <w:lang w:eastAsia="en-GB"/>
              </w:rPr>
              <w:t>plumbing,heating</w:t>
            </w:r>
            <w:proofErr w:type="spellEnd"/>
            <w:r w:rsidRPr="00676D30">
              <w:rPr>
                <w:rFonts w:ascii="Calibri" w:eastAsia="Times New Roman" w:hAnsi="Calibri" w:cs="Calibri"/>
                <w:b/>
                <w:bCs/>
                <w:color w:val="FFFFFF"/>
                <w:sz w:val="20"/>
                <w:lang w:eastAsia="en-GB"/>
              </w:rPr>
              <w:t xml:space="preserve"> &amp;lighting </w:t>
            </w:r>
            <w:proofErr w:type="spellStart"/>
            <w:r w:rsidRPr="00676D30">
              <w:rPr>
                <w:rFonts w:ascii="Calibri" w:eastAsia="Times New Roman" w:hAnsi="Calibri" w:cs="Calibri"/>
                <w:b/>
                <w:bCs/>
                <w:color w:val="FFFFFF"/>
                <w:sz w:val="20"/>
                <w:lang w:eastAsia="en-GB"/>
              </w:rPr>
              <w:t>fixt</w:t>
            </w:r>
            <w:proofErr w:type="spellEnd"/>
            <w:r w:rsidRPr="00676D30">
              <w:rPr>
                <w:rFonts w:ascii="Calibri" w:eastAsia="Times New Roman" w:hAnsi="Calibri" w:cs="Calibri"/>
                <w:b/>
                <w:bCs/>
                <w:color w:val="FFFFFF"/>
                <w:sz w:val="20"/>
                <w:lang w:eastAsia="en-GB"/>
              </w:rPr>
              <w:t>.</w:t>
            </w:r>
          </w:p>
        </w:tc>
        <w:tc>
          <w:tcPr>
            <w:tcW w:w="2160" w:type="dxa"/>
            <w:tcBorders>
              <w:top w:val="nil"/>
              <w:left w:val="nil"/>
              <w:bottom w:val="single" w:sz="8" w:space="0" w:color="FFFFFF"/>
              <w:right w:val="single" w:sz="8" w:space="0" w:color="FFFFFF"/>
            </w:tcBorders>
            <w:shd w:val="clear" w:color="000000" w:fill="D0CECE"/>
            <w:vAlign w:val="center"/>
            <w:hideMark/>
          </w:tcPr>
          <w:p w14:paraId="509B302C"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335</w:t>
            </w:r>
          </w:p>
        </w:tc>
        <w:tc>
          <w:tcPr>
            <w:tcW w:w="2160" w:type="dxa"/>
            <w:tcBorders>
              <w:top w:val="nil"/>
              <w:left w:val="nil"/>
              <w:bottom w:val="single" w:sz="8" w:space="0" w:color="FFFFFF"/>
              <w:right w:val="single" w:sz="8" w:space="0" w:color="FFFFFF"/>
            </w:tcBorders>
            <w:shd w:val="clear" w:color="000000" w:fill="D0CECE"/>
            <w:vAlign w:val="center"/>
            <w:hideMark/>
          </w:tcPr>
          <w:p w14:paraId="6C93D5D5"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22.0%</w:t>
            </w:r>
          </w:p>
        </w:tc>
      </w:tr>
      <w:tr w:rsidR="001E6939" w:rsidRPr="00676D30" w14:paraId="417D128E" w14:textId="77777777" w:rsidTr="001E6939">
        <w:trPr>
          <w:trHeight w:val="428"/>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314742F"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82 - Furniture &amp; parts thereof; bedding, mattresses etc</w:t>
            </w:r>
          </w:p>
        </w:tc>
        <w:tc>
          <w:tcPr>
            <w:tcW w:w="2160" w:type="dxa"/>
            <w:tcBorders>
              <w:top w:val="nil"/>
              <w:left w:val="nil"/>
              <w:bottom w:val="single" w:sz="8" w:space="0" w:color="FFFFFF"/>
              <w:right w:val="single" w:sz="8" w:space="0" w:color="FFFFFF"/>
            </w:tcBorders>
            <w:shd w:val="clear" w:color="000000" w:fill="E7EEEF"/>
            <w:vAlign w:val="center"/>
            <w:hideMark/>
          </w:tcPr>
          <w:p w14:paraId="72BA1C18"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1,082</w:t>
            </w:r>
          </w:p>
        </w:tc>
        <w:tc>
          <w:tcPr>
            <w:tcW w:w="2160" w:type="dxa"/>
            <w:tcBorders>
              <w:top w:val="nil"/>
              <w:left w:val="nil"/>
              <w:bottom w:val="single" w:sz="8" w:space="0" w:color="FFFFFF"/>
              <w:right w:val="single" w:sz="8" w:space="0" w:color="FFFFFF"/>
            </w:tcBorders>
            <w:shd w:val="clear" w:color="000000" w:fill="E7EEEF"/>
            <w:vAlign w:val="center"/>
            <w:hideMark/>
          </w:tcPr>
          <w:p w14:paraId="68D4A9A5"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28.4%</w:t>
            </w:r>
          </w:p>
        </w:tc>
      </w:tr>
      <w:tr w:rsidR="001E6939" w:rsidRPr="00676D30" w14:paraId="049828CA" w14:textId="77777777" w:rsidTr="001E6939">
        <w:trPr>
          <w:trHeight w:val="631"/>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63DB5D6"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83 - Travel goods, handbags &amp; similar containers</w:t>
            </w:r>
          </w:p>
        </w:tc>
        <w:tc>
          <w:tcPr>
            <w:tcW w:w="2160" w:type="dxa"/>
            <w:tcBorders>
              <w:top w:val="nil"/>
              <w:left w:val="nil"/>
              <w:bottom w:val="single" w:sz="8" w:space="0" w:color="FFFFFF"/>
              <w:right w:val="single" w:sz="8" w:space="0" w:color="FFFFFF"/>
            </w:tcBorders>
            <w:shd w:val="clear" w:color="000000" w:fill="D0CECE"/>
            <w:vAlign w:val="center"/>
            <w:hideMark/>
          </w:tcPr>
          <w:p w14:paraId="3875D44B"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276</w:t>
            </w:r>
          </w:p>
        </w:tc>
        <w:tc>
          <w:tcPr>
            <w:tcW w:w="2160" w:type="dxa"/>
            <w:tcBorders>
              <w:top w:val="nil"/>
              <w:left w:val="nil"/>
              <w:bottom w:val="single" w:sz="8" w:space="0" w:color="FFFFFF"/>
              <w:right w:val="single" w:sz="8" w:space="0" w:color="FFFFFF"/>
            </w:tcBorders>
            <w:shd w:val="clear" w:color="000000" w:fill="D0CECE"/>
            <w:vAlign w:val="center"/>
            <w:hideMark/>
          </w:tcPr>
          <w:p w14:paraId="1B5E1D56"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22.8%</w:t>
            </w:r>
          </w:p>
        </w:tc>
      </w:tr>
      <w:tr w:rsidR="001E6939" w:rsidRPr="00676D30" w14:paraId="4A4F0791" w14:textId="77777777" w:rsidTr="001E6939">
        <w:trPr>
          <w:trHeight w:val="261"/>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C6177DE"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85 - Footwear</w:t>
            </w:r>
          </w:p>
        </w:tc>
        <w:tc>
          <w:tcPr>
            <w:tcW w:w="2160" w:type="dxa"/>
            <w:tcBorders>
              <w:top w:val="nil"/>
              <w:left w:val="nil"/>
              <w:bottom w:val="single" w:sz="8" w:space="0" w:color="FFFFFF"/>
              <w:right w:val="single" w:sz="8" w:space="0" w:color="FFFFFF"/>
            </w:tcBorders>
            <w:shd w:val="clear" w:color="000000" w:fill="E7EEEF"/>
            <w:vAlign w:val="center"/>
            <w:hideMark/>
          </w:tcPr>
          <w:p w14:paraId="2240591D"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573</w:t>
            </w:r>
          </w:p>
        </w:tc>
        <w:tc>
          <w:tcPr>
            <w:tcW w:w="2160" w:type="dxa"/>
            <w:tcBorders>
              <w:top w:val="nil"/>
              <w:left w:val="nil"/>
              <w:bottom w:val="single" w:sz="8" w:space="0" w:color="FFFFFF"/>
              <w:right w:val="single" w:sz="8" w:space="0" w:color="FFFFFF"/>
            </w:tcBorders>
            <w:shd w:val="clear" w:color="000000" w:fill="E7EEEF"/>
            <w:vAlign w:val="center"/>
            <w:hideMark/>
          </w:tcPr>
          <w:p w14:paraId="19A782BB"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21.6%</w:t>
            </w:r>
          </w:p>
        </w:tc>
      </w:tr>
      <w:tr w:rsidR="001E6939" w:rsidRPr="00676D30" w14:paraId="7F5A94C0" w14:textId="77777777" w:rsidTr="001E6939">
        <w:trPr>
          <w:trHeight w:val="297"/>
        </w:trPr>
        <w:tc>
          <w:tcPr>
            <w:tcW w:w="502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4E21207" w14:textId="77777777" w:rsidR="001E6939" w:rsidRPr="00676D30" w:rsidRDefault="001E6939" w:rsidP="001E6939">
            <w:pPr>
              <w:spacing w:after="0"/>
              <w:jc w:val="center"/>
              <w:rPr>
                <w:rFonts w:ascii="Calibri" w:eastAsia="Times New Roman" w:hAnsi="Calibri" w:cs="Calibri"/>
                <w:b/>
                <w:bCs/>
                <w:color w:val="FFFFFF"/>
                <w:sz w:val="20"/>
                <w:lang w:eastAsia="en-GB"/>
              </w:rPr>
            </w:pPr>
            <w:r w:rsidRPr="00676D30">
              <w:rPr>
                <w:rFonts w:ascii="Calibri" w:eastAsia="Times New Roman" w:hAnsi="Calibri" w:cs="Calibri"/>
                <w:b/>
                <w:bCs/>
                <w:color w:val="FFFFFF"/>
                <w:sz w:val="20"/>
                <w:lang w:eastAsia="en-GB"/>
              </w:rPr>
              <w:t xml:space="preserve">89 - Miscellaneous manufactured articles </w:t>
            </w:r>
            <w:proofErr w:type="spellStart"/>
            <w:r w:rsidRPr="00676D30">
              <w:rPr>
                <w:rFonts w:ascii="Calibri" w:eastAsia="Times New Roman" w:hAnsi="Calibri" w:cs="Calibri"/>
                <w:b/>
                <w:bCs/>
                <w:color w:val="FFFFFF"/>
                <w:sz w:val="20"/>
                <w:lang w:eastAsia="en-GB"/>
              </w:rPr>
              <w:t>n.e.s.</w:t>
            </w:r>
            <w:proofErr w:type="spellEnd"/>
          </w:p>
        </w:tc>
        <w:tc>
          <w:tcPr>
            <w:tcW w:w="2160" w:type="dxa"/>
            <w:tcBorders>
              <w:top w:val="nil"/>
              <w:left w:val="nil"/>
              <w:bottom w:val="single" w:sz="8" w:space="0" w:color="FFFFFF"/>
              <w:right w:val="single" w:sz="8" w:space="0" w:color="FFFFFF"/>
            </w:tcBorders>
            <w:shd w:val="clear" w:color="000000" w:fill="D0CECE"/>
            <w:vAlign w:val="center"/>
            <w:hideMark/>
          </w:tcPr>
          <w:p w14:paraId="7FDA73E6"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2,673</w:t>
            </w:r>
          </w:p>
        </w:tc>
        <w:tc>
          <w:tcPr>
            <w:tcW w:w="2160" w:type="dxa"/>
            <w:tcBorders>
              <w:top w:val="nil"/>
              <w:left w:val="nil"/>
              <w:bottom w:val="single" w:sz="8" w:space="0" w:color="FFFFFF"/>
              <w:right w:val="single" w:sz="8" w:space="0" w:color="FFFFFF"/>
            </w:tcBorders>
            <w:shd w:val="clear" w:color="000000" w:fill="D0CECE"/>
            <w:vAlign w:val="center"/>
            <w:hideMark/>
          </w:tcPr>
          <w:p w14:paraId="7A9D4B31" w14:textId="77777777" w:rsidR="001E6939" w:rsidRPr="00676D30" w:rsidRDefault="001E6939" w:rsidP="001E6939">
            <w:pPr>
              <w:spacing w:after="0"/>
              <w:jc w:val="center"/>
              <w:rPr>
                <w:rFonts w:ascii="Calibri" w:eastAsia="Times New Roman" w:hAnsi="Calibri" w:cs="Calibri"/>
                <w:color w:val="000000"/>
                <w:sz w:val="20"/>
                <w:lang w:eastAsia="en-GB"/>
              </w:rPr>
            </w:pPr>
            <w:r w:rsidRPr="00676D30">
              <w:rPr>
                <w:rFonts w:ascii="Calibri" w:eastAsia="Times New Roman" w:hAnsi="Calibri" w:cs="Calibri"/>
                <w:color w:val="000000"/>
                <w:sz w:val="20"/>
                <w:lang w:eastAsia="en-GB"/>
              </w:rPr>
              <w:t>20.5%</w:t>
            </w:r>
          </w:p>
        </w:tc>
      </w:tr>
    </w:tbl>
    <w:p w14:paraId="510996FD" w14:textId="77777777" w:rsidR="001E6939" w:rsidRDefault="001E6939" w:rsidP="001E6939">
      <w:pPr>
        <w:keepNext/>
        <w:keepLines/>
        <w:spacing w:before="60" w:after="120"/>
        <w:jc w:val="right"/>
        <w:rPr>
          <w:i/>
          <w:sz w:val="18"/>
        </w:rPr>
      </w:pPr>
      <w:r>
        <w:rPr>
          <w:i/>
          <w:sz w:val="18"/>
        </w:rPr>
        <w:t>Source: HMRC Overseas Trade Statistics, Eurostat, Cebr analysis</w:t>
      </w:r>
    </w:p>
    <w:p w14:paraId="77F250E2" w14:textId="5F084164" w:rsidR="001E6939" w:rsidRDefault="001E6939" w:rsidP="00E5404F">
      <w:r>
        <w:fldChar w:fldCharType="begin"/>
      </w:r>
      <w:r>
        <w:instrText xml:space="preserve"> REF _Ref14962920 \h </w:instrText>
      </w:r>
      <w:r w:rsidR="009F47CE">
        <w:instrText xml:space="preserve"> \* MERGEFORMAT </w:instrText>
      </w:r>
      <w:r>
        <w:fldChar w:fldCharType="separate"/>
      </w:r>
      <w:r w:rsidR="00D17FEA">
        <w:t xml:space="preserve">Table </w:t>
      </w:r>
      <w:r w:rsidR="00D17FEA">
        <w:rPr>
          <w:noProof/>
        </w:rPr>
        <w:t>9</w:t>
      </w:r>
      <w:r>
        <w:fldChar w:fldCharType="end"/>
      </w:r>
      <w:r>
        <w:t xml:space="preserve"> displays results as the SITC 3-digit level; the picture largely mirrors that in </w:t>
      </w:r>
      <w:r>
        <w:fldChar w:fldCharType="begin"/>
      </w:r>
      <w:r>
        <w:instrText xml:space="preserve"> REF _Ref14961454 \h </w:instrText>
      </w:r>
      <w:r w:rsidR="009F47CE">
        <w:instrText xml:space="preserve"> \* MERGEFORMAT </w:instrText>
      </w:r>
      <w:r>
        <w:fldChar w:fldCharType="separate"/>
      </w:r>
      <w:r w:rsidR="00D17FEA">
        <w:t xml:space="preserve">Table </w:t>
      </w:r>
      <w:r w:rsidR="00D17FEA">
        <w:rPr>
          <w:noProof/>
        </w:rPr>
        <w:t>8</w:t>
      </w:r>
      <w:r>
        <w:fldChar w:fldCharType="end"/>
      </w:r>
      <w:r>
        <w:t xml:space="preserve"> above. In value terms, petroleum oils and oils obtained from bituminous minerals are dominant at £3.4 billion imports from non-EU countries passing through the Solent, a 21.1% share of the UK total. </w:t>
      </w:r>
    </w:p>
    <w:p w14:paraId="2615DA4D" w14:textId="5AC186F2" w:rsidR="001E6939" w:rsidRDefault="001E6939" w:rsidP="00E5404F">
      <w:r>
        <w:t xml:space="preserve">It can also be seen from </w:t>
      </w:r>
      <w:r>
        <w:fldChar w:fldCharType="begin"/>
      </w:r>
      <w:r>
        <w:instrText xml:space="preserve"> REF _Ref14962920 \h </w:instrText>
      </w:r>
      <w:r w:rsidR="009F47CE">
        <w:instrText xml:space="preserve"> \* MERGEFORMAT </w:instrText>
      </w:r>
      <w:r>
        <w:fldChar w:fldCharType="separate"/>
      </w:r>
      <w:r w:rsidR="00D17FEA">
        <w:t xml:space="preserve">Table </w:t>
      </w:r>
      <w:r w:rsidR="00D17FEA">
        <w:rPr>
          <w:noProof/>
        </w:rPr>
        <w:t>9</w:t>
      </w:r>
      <w:r>
        <w:fldChar w:fldCharType="end"/>
      </w:r>
      <w:r>
        <w:t xml:space="preserve"> that the Solent handles 61.6% of UK imports from non-EU countries in motor vehicles for the transport of goods and other special purposes and 31.0% of the UK’s imports of parts and accessories of motor vehicles. This confirms the role of the maritime sector in the Solent LEP in facilitating the supply chain needs of UK manufacturers of machinery and transport equipment, as well as providing the route to market for their exports. </w:t>
      </w:r>
    </w:p>
    <w:p w14:paraId="7F071331" w14:textId="47DA6791" w:rsidR="001E6939" w:rsidRDefault="001E6939" w:rsidP="00E5404F">
      <w:r>
        <w:t>However, it is clear that the maritime sector in the Solent LEP provides a vital cog in the wheel of most, if not all, of the full range of manufacturing sectors in the UK, from food and clothing, to motor cars and goods vehicles to aircraft, spacecraft and satellites. This role comes in various guises from ensuring the movement of vital imported inputs to UK manufacturers from abroad, of valuable exports to our trading partners or in moving imported final goods that provide a competitive discipline for UK manufacturers looking to maintain global market share.</w:t>
      </w:r>
    </w:p>
    <w:p w14:paraId="71A9CE30" w14:textId="77777777" w:rsidR="0051409C" w:rsidRDefault="0051409C" w:rsidP="001E6939">
      <w:pPr>
        <w:jc w:val="both"/>
      </w:pPr>
    </w:p>
    <w:p w14:paraId="680E9C72" w14:textId="77777777" w:rsidR="0051409C" w:rsidRDefault="0051409C" w:rsidP="001E6939">
      <w:pPr>
        <w:jc w:val="both"/>
      </w:pPr>
    </w:p>
    <w:p w14:paraId="1394A466" w14:textId="77777777" w:rsidR="0051409C" w:rsidRDefault="0051409C" w:rsidP="001E6939">
      <w:pPr>
        <w:jc w:val="both"/>
      </w:pPr>
    </w:p>
    <w:p w14:paraId="48738E82" w14:textId="77777777" w:rsidR="0051409C" w:rsidRDefault="0051409C" w:rsidP="001E6939">
      <w:pPr>
        <w:jc w:val="both"/>
      </w:pPr>
    </w:p>
    <w:p w14:paraId="142EE693" w14:textId="77777777" w:rsidR="0051409C" w:rsidRDefault="0051409C" w:rsidP="001E6939">
      <w:pPr>
        <w:jc w:val="both"/>
      </w:pPr>
    </w:p>
    <w:p w14:paraId="6650449B" w14:textId="77777777" w:rsidR="0051409C" w:rsidRDefault="0051409C" w:rsidP="001E6939">
      <w:pPr>
        <w:jc w:val="both"/>
      </w:pPr>
    </w:p>
    <w:p w14:paraId="4D78449F" w14:textId="77777777" w:rsidR="001E6939" w:rsidRPr="005E210D" w:rsidRDefault="001E6939" w:rsidP="001E6939">
      <w:pPr>
        <w:pStyle w:val="Caption"/>
      </w:pPr>
      <w:bookmarkStart w:id="61" w:name="_Ref14962920"/>
      <w:r>
        <w:lastRenderedPageBreak/>
        <w:t xml:space="preserve">Table </w:t>
      </w:r>
      <w:r>
        <w:rPr>
          <w:noProof/>
        </w:rPr>
        <w:fldChar w:fldCharType="begin"/>
      </w:r>
      <w:r>
        <w:rPr>
          <w:noProof/>
        </w:rPr>
        <w:instrText xml:space="preserve"> SEQ Table \* ARABIC </w:instrText>
      </w:r>
      <w:r>
        <w:rPr>
          <w:noProof/>
        </w:rPr>
        <w:fldChar w:fldCharType="separate"/>
      </w:r>
      <w:r w:rsidR="00D17FEA">
        <w:rPr>
          <w:noProof/>
        </w:rPr>
        <w:t>9</w:t>
      </w:r>
      <w:r>
        <w:rPr>
          <w:noProof/>
        </w:rPr>
        <w:fldChar w:fldCharType="end"/>
      </w:r>
      <w:bookmarkEnd w:id="61"/>
      <w:r>
        <w:t>: Imports</w:t>
      </w:r>
      <w:r w:rsidRPr="00F86EA3">
        <w:t xml:space="preserve"> to non-EU countries by SITC 3-digit product category</w:t>
      </w:r>
      <w:r>
        <w:t xml:space="preserve"> in 2017 – </w:t>
      </w:r>
      <w:r w:rsidRPr="00DA2F92">
        <w:t>Mineral fuels, lubricants &amp; related materials</w:t>
      </w:r>
      <w:r>
        <w:t xml:space="preserve"> (SITC 1-digit disaggregated)</w:t>
      </w:r>
    </w:p>
    <w:tbl>
      <w:tblPr>
        <w:tblW w:w="9343" w:type="dxa"/>
        <w:tblLook w:val="04A0" w:firstRow="1" w:lastRow="0" w:firstColumn="1" w:lastColumn="0" w:noHBand="0" w:noVBand="1"/>
      </w:tblPr>
      <w:tblGrid>
        <w:gridCol w:w="5023"/>
        <w:gridCol w:w="2160"/>
        <w:gridCol w:w="2160"/>
      </w:tblGrid>
      <w:tr w:rsidR="001E6939" w:rsidRPr="007A2AFF" w14:paraId="3130DE98" w14:textId="77777777" w:rsidTr="001E6939">
        <w:trPr>
          <w:trHeight w:val="408"/>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9ED717D" w14:textId="77777777" w:rsidR="001E6939" w:rsidRPr="007A2AFF" w:rsidRDefault="001E6939" w:rsidP="001E6939">
            <w:pPr>
              <w:spacing w:after="0"/>
              <w:jc w:val="center"/>
              <w:rPr>
                <w:rFonts w:ascii="Calibri" w:eastAsia="Times New Roman" w:hAnsi="Calibri" w:cs="Calibri"/>
                <w:b/>
                <w:bCs/>
                <w:color w:val="FFFFFF"/>
                <w:sz w:val="20"/>
                <w:lang w:eastAsia="en-GB"/>
              </w:rPr>
            </w:pPr>
            <w:r w:rsidRPr="007A2AFF">
              <w:rPr>
                <w:rFonts w:ascii="Calibri" w:eastAsia="Times New Roman" w:hAnsi="Calibri" w:cs="Calibri"/>
                <w:b/>
                <w:bCs/>
                <w:color w:val="FFFFFF"/>
                <w:sz w:val="20"/>
                <w:lang w:eastAsia="en-GB"/>
              </w:rPr>
              <w:t>SITC 3-digit product categories</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5278733" w14:textId="77777777" w:rsidR="001E6939" w:rsidRPr="007A2AFF" w:rsidRDefault="001E6939" w:rsidP="001E6939">
            <w:pPr>
              <w:spacing w:after="0"/>
              <w:jc w:val="center"/>
              <w:rPr>
                <w:rFonts w:ascii="Calibri" w:eastAsia="Times New Roman" w:hAnsi="Calibri" w:cs="Calibri"/>
                <w:b/>
                <w:bCs/>
                <w:color w:val="FFFFFF"/>
                <w:sz w:val="20"/>
                <w:lang w:eastAsia="en-GB"/>
              </w:rPr>
            </w:pPr>
            <w:r w:rsidRPr="007A2AFF">
              <w:rPr>
                <w:rFonts w:ascii="Calibri" w:eastAsia="Times New Roman" w:hAnsi="Calibri" w:cs="Calibri"/>
                <w:b/>
                <w:bCs/>
                <w:color w:val="FFFFFF"/>
                <w:sz w:val="20"/>
                <w:lang w:eastAsia="en-GB"/>
              </w:rPr>
              <w:t>£ millions</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87A919C" w14:textId="6D90B778" w:rsidR="001E6939" w:rsidRPr="007A2AFF" w:rsidRDefault="00DE3B79" w:rsidP="001E6939">
            <w:pPr>
              <w:spacing w:after="0"/>
              <w:jc w:val="center"/>
              <w:rPr>
                <w:rFonts w:ascii="Calibri" w:eastAsia="Times New Roman" w:hAnsi="Calibri" w:cs="Calibri"/>
                <w:b/>
                <w:bCs/>
                <w:color w:val="FFFFFF"/>
                <w:sz w:val="20"/>
                <w:lang w:eastAsia="en-GB"/>
              </w:rPr>
            </w:pPr>
            <w:r w:rsidRPr="000E026B">
              <w:rPr>
                <w:rFonts w:ascii="Calibri" w:eastAsia="Times New Roman" w:hAnsi="Calibri" w:cs="Calibri"/>
                <w:b/>
                <w:bCs/>
                <w:color w:val="FFFFFF"/>
                <w:sz w:val="20"/>
                <w:lang w:eastAsia="en-GB"/>
              </w:rPr>
              <w:t>% share of UK total</w:t>
            </w:r>
            <w:r>
              <w:rPr>
                <w:rFonts w:ascii="Calibri" w:eastAsia="Times New Roman" w:hAnsi="Calibri" w:cs="Calibri"/>
                <w:b/>
                <w:bCs/>
                <w:color w:val="FFFFFF"/>
                <w:sz w:val="20"/>
                <w:lang w:eastAsia="en-GB"/>
              </w:rPr>
              <w:t xml:space="preserve"> non-EU trade</w:t>
            </w:r>
          </w:p>
        </w:tc>
      </w:tr>
      <w:tr w:rsidR="001E6939" w:rsidRPr="007A2AFF" w14:paraId="5B82E8BC" w14:textId="77777777" w:rsidTr="001E6939">
        <w:trPr>
          <w:trHeight w:val="439"/>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AD84DA7"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333 - Petroleum oils and oils obtained from bituminous minerals, crude</w:t>
            </w:r>
          </w:p>
        </w:tc>
        <w:tc>
          <w:tcPr>
            <w:tcW w:w="2160" w:type="dxa"/>
            <w:tcBorders>
              <w:top w:val="nil"/>
              <w:left w:val="nil"/>
              <w:bottom w:val="single" w:sz="8" w:space="0" w:color="FFFFFF"/>
              <w:right w:val="single" w:sz="8" w:space="0" w:color="FFFFFF"/>
            </w:tcBorders>
            <w:shd w:val="clear" w:color="000000" w:fill="D0CECE"/>
            <w:vAlign w:val="center"/>
            <w:hideMark/>
          </w:tcPr>
          <w:p w14:paraId="1727D0BE"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3,392</w:t>
            </w:r>
          </w:p>
        </w:tc>
        <w:tc>
          <w:tcPr>
            <w:tcW w:w="2160" w:type="dxa"/>
            <w:tcBorders>
              <w:top w:val="nil"/>
              <w:left w:val="nil"/>
              <w:bottom w:val="single" w:sz="8" w:space="0" w:color="FFFFFF"/>
              <w:right w:val="single" w:sz="8" w:space="0" w:color="FFFFFF"/>
            </w:tcBorders>
            <w:shd w:val="clear" w:color="000000" w:fill="D0CECE"/>
            <w:vAlign w:val="center"/>
            <w:hideMark/>
          </w:tcPr>
          <w:p w14:paraId="6D7FD107"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21.1%</w:t>
            </w:r>
          </w:p>
        </w:tc>
      </w:tr>
      <w:tr w:rsidR="001E6939" w:rsidRPr="007A2AFF" w14:paraId="277F13DF" w14:textId="77777777" w:rsidTr="001E6939">
        <w:trPr>
          <w:trHeight w:val="674"/>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827636A"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 xml:space="preserve">334 - Oils obtained from petroleum or bituminous </w:t>
            </w:r>
            <w:proofErr w:type="spellStart"/>
            <w:r w:rsidRPr="00E5404F">
              <w:rPr>
                <w:rFonts w:ascii="Calibri" w:eastAsia="Times New Roman" w:hAnsi="Calibri" w:cs="Calibri"/>
                <w:bCs/>
                <w:color w:val="FFFFFF"/>
                <w:sz w:val="20"/>
                <w:lang w:eastAsia="en-GB"/>
              </w:rPr>
              <w:t>mnl</w:t>
            </w:r>
            <w:proofErr w:type="spellEnd"/>
            <w:r w:rsidRPr="00E5404F">
              <w:rPr>
                <w:rFonts w:ascii="Calibri" w:eastAsia="Times New Roman" w:hAnsi="Calibri" w:cs="Calibri"/>
                <w:bCs/>
                <w:color w:val="FFFFFF"/>
                <w:sz w:val="20"/>
                <w:lang w:eastAsia="en-GB"/>
              </w:rPr>
              <w:t xml:space="preserve">, </w:t>
            </w:r>
            <w:proofErr w:type="spellStart"/>
            <w:r w:rsidRPr="00E5404F">
              <w:rPr>
                <w:rFonts w:ascii="Calibri" w:eastAsia="Times New Roman" w:hAnsi="Calibri" w:cs="Calibri"/>
                <w:bCs/>
                <w:color w:val="FFFFFF"/>
                <w:sz w:val="20"/>
                <w:lang w:eastAsia="en-GB"/>
              </w:rPr>
              <w:t>prp</w:t>
            </w:r>
            <w:proofErr w:type="spellEnd"/>
            <w:r w:rsidRPr="00E5404F">
              <w:rPr>
                <w:rFonts w:ascii="Calibri" w:eastAsia="Times New Roman" w:hAnsi="Calibri" w:cs="Calibri"/>
                <w:bCs/>
                <w:color w:val="FFFFFF"/>
                <w:sz w:val="20"/>
                <w:lang w:eastAsia="en-GB"/>
              </w:rPr>
              <w:t xml:space="preserve"> </w:t>
            </w:r>
            <w:proofErr w:type="spellStart"/>
            <w:r w:rsidRPr="00E5404F">
              <w:rPr>
                <w:rFonts w:ascii="Calibri" w:eastAsia="Times New Roman" w:hAnsi="Calibri" w:cs="Calibri"/>
                <w:bCs/>
                <w:color w:val="FFFFFF"/>
                <w:sz w:val="20"/>
                <w:lang w:eastAsia="en-GB"/>
              </w:rPr>
              <w:t>nes</w:t>
            </w:r>
            <w:proofErr w:type="spellEnd"/>
            <w:r w:rsidRPr="00E5404F">
              <w:rPr>
                <w:rFonts w:ascii="Calibri" w:eastAsia="Times New Roman" w:hAnsi="Calibri" w:cs="Calibri"/>
                <w:bCs/>
                <w:color w:val="FFFFFF"/>
                <w:sz w:val="20"/>
                <w:lang w:eastAsia="en-GB"/>
              </w:rPr>
              <w:t xml:space="preserve">, containing by weight </w:t>
            </w:r>
            <w:proofErr w:type="spellStart"/>
            <w:r w:rsidRPr="00E5404F">
              <w:rPr>
                <w:rFonts w:ascii="Calibri" w:eastAsia="Times New Roman" w:hAnsi="Calibri" w:cs="Calibri"/>
                <w:bCs/>
                <w:color w:val="FFFFFF"/>
                <w:sz w:val="20"/>
                <w:lang w:eastAsia="en-GB"/>
              </w:rPr>
              <w:t>nlt</w:t>
            </w:r>
            <w:proofErr w:type="spellEnd"/>
            <w:r w:rsidRPr="00E5404F">
              <w:rPr>
                <w:rFonts w:ascii="Calibri" w:eastAsia="Times New Roman" w:hAnsi="Calibri" w:cs="Calibri"/>
                <w:bCs/>
                <w:color w:val="FFFFFF"/>
                <w:sz w:val="20"/>
                <w:lang w:eastAsia="en-GB"/>
              </w:rPr>
              <w:t xml:space="preserve"> 70%.of these oils</w:t>
            </w:r>
          </w:p>
        </w:tc>
        <w:tc>
          <w:tcPr>
            <w:tcW w:w="2160" w:type="dxa"/>
            <w:tcBorders>
              <w:top w:val="nil"/>
              <w:left w:val="nil"/>
              <w:bottom w:val="single" w:sz="8" w:space="0" w:color="FFFFFF"/>
              <w:right w:val="single" w:sz="8" w:space="0" w:color="FFFFFF"/>
            </w:tcBorders>
            <w:shd w:val="clear" w:color="000000" w:fill="E7EEEF"/>
            <w:vAlign w:val="center"/>
            <w:hideMark/>
          </w:tcPr>
          <w:p w14:paraId="2A1DC1A9"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273</w:t>
            </w:r>
          </w:p>
        </w:tc>
        <w:tc>
          <w:tcPr>
            <w:tcW w:w="2160" w:type="dxa"/>
            <w:tcBorders>
              <w:top w:val="nil"/>
              <w:left w:val="nil"/>
              <w:bottom w:val="single" w:sz="8" w:space="0" w:color="FFFFFF"/>
              <w:right w:val="single" w:sz="8" w:space="0" w:color="FFFFFF"/>
            </w:tcBorders>
            <w:shd w:val="clear" w:color="000000" w:fill="E7EEEF"/>
            <w:vAlign w:val="center"/>
            <w:hideMark/>
          </w:tcPr>
          <w:p w14:paraId="529B364D"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4.1%</w:t>
            </w:r>
          </w:p>
        </w:tc>
      </w:tr>
      <w:tr w:rsidR="001E6939" w:rsidRPr="007A2AFF" w14:paraId="582A3970" w14:textId="77777777" w:rsidTr="001E6939">
        <w:trPr>
          <w:trHeight w:val="600"/>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12A1B11"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 xml:space="preserve">335 - Residual petroleum products, </w:t>
            </w:r>
            <w:proofErr w:type="spellStart"/>
            <w:r w:rsidRPr="00E5404F">
              <w:rPr>
                <w:rFonts w:ascii="Calibri" w:eastAsia="Times New Roman" w:hAnsi="Calibri" w:cs="Calibri"/>
                <w:bCs/>
                <w:color w:val="FFFFFF"/>
                <w:sz w:val="20"/>
                <w:lang w:eastAsia="en-GB"/>
              </w:rPr>
              <w:t>nes</w:t>
            </w:r>
            <w:proofErr w:type="spellEnd"/>
            <w:r w:rsidRPr="00E5404F">
              <w:rPr>
                <w:rFonts w:ascii="Calibri" w:eastAsia="Times New Roman" w:hAnsi="Calibri" w:cs="Calibri"/>
                <w:bCs/>
                <w:color w:val="FFFFFF"/>
                <w:sz w:val="20"/>
                <w:lang w:eastAsia="en-GB"/>
              </w:rPr>
              <w:t xml:space="preserve"> and related materials</w:t>
            </w:r>
          </w:p>
        </w:tc>
        <w:tc>
          <w:tcPr>
            <w:tcW w:w="2160" w:type="dxa"/>
            <w:tcBorders>
              <w:top w:val="nil"/>
              <w:left w:val="nil"/>
              <w:bottom w:val="single" w:sz="8" w:space="0" w:color="FFFFFF"/>
              <w:right w:val="single" w:sz="8" w:space="0" w:color="FFFFFF"/>
            </w:tcBorders>
            <w:shd w:val="clear" w:color="000000" w:fill="D0CECE"/>
            <w:vAlign w:val="center"/>
            <w:hideMark/>
          </w:tcPr>
          <w:p w14:paraId="575D38D6"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6</w:t>
            </w:r>
          </w:p>
        </w:tc>
        <w:tc>
          <w:tcPr>
            <w:tcW w:w="2160" w:type="dxa"/>
            <w:tcBorders>
              <w:top w:val="nil"/>
              <w:left w:val="nil"/>
              <w:bottom w:val="single" w:sz="8" w:space="0" w:color="FFFFFF"/>
              <w:right w:val="single" w:sz="8" w:space="0" w:color="FFFFFF"/>
            </w:tcBorders>
            <w:shd w:val="clear" w:color="000000" w:fill="D0CECE"/>
            <w:vAlign w:val="center"/>
            <w:hideMark/>
          </w:tcPr>
          <w:p w14:paraId="2E5A4588"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6.4%</w:t>
            </w:r>
          </w:p>
        </w:tc>
      </w:tr>
      <w:tr w:rsidR="001E6939" w:rsidRPr="007A2AFF" w14:paraId="2F36BD84" w14:textId="77777777" w:rsidTr="001E6939">
        <w:trPr>
          <w:trHeight w:val="396"/>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6EA5F04"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342 - Liquefied propane and butane</w:t>
            </w:r>
          </w:p>
        </w:tc>
        <w:tc>
          <w:tcPr>
            <w:tcW w:w="2160" w:type="dxa"/>
            <w:tcBorders>
              <w:top w:val="nil"/>
              <w:left w:val="nil"/>
              <w:bottom w:val="single" w:sz="8" w:space="0" w:color="FFFFFF"/>
              <w:right w:val="single" w:sz="8" w:space="0" w:color="FFFFFF"/>
            </w:tcBorders>
            <w:shd w:val="clear" w:color="000000" w:fill="E7EEEF"/>
            <w:vAlign w:val="center"/>
            <w:hideMark/>
          </w:tcPr>
          <w:p w14:paraId="484C1AC8"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3</w:t>
            </w:r>
          </w:p>
        </w:tc>
        <w:tc>
          <w:tcPr>
            <w:tcW w:w="2160" w:type="dxa"/>
            <w:tcBorders>
              <w:top w:val="nil"/>
              <w:left w:val="nil"/>
              <w:bottom w:val="single" w:sz="8" w:space="0" w:color="FFFFFF"/>
              <w:right w:val="single" w:sz="8" w:space="0" w:color="FFFFFF"/>
            </w:tcBorders>
            <w:shd w:val="clear" w:color="000000" w:fill="E7EEEF"/>
            <w:vAlign w:val="center"/>
            <w:hideMark/>
          </w:tcPr>
          <w:p w14:paraId="2AAC4DF0"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1.1%</w:t>
            </w:r>
          </w:p>
        </w:tc>
      </w:tr>
    </w:tbl>
    <w:p w14:paraId="452F68C2" w14:textId="465A209B" w:rsidR="001E6939" w:rsidRPr="001E6939" w:rsidRDefault="001E6939" w:rsidP="00E5404F">
      <w:pPr>
        <w:keepNext/>
        <w:keepLines/>
        <w:spacing w:before="60" w:after="120"/>
        <w:jc w:val="right"/>
      </w:pPr>
      <w:r>
        <w:rPr>
          <w:i/>
          <w:sz w:val="18"/>
        </w:rPr>
        <w:t>Source: HMRC Overseas Trade Statistics, Eurostat, Cebr analysis</w:t>
      </w:r>
    </w:p>
    <w:p w14:paraId="411153E0" w14:textId="77777777" w:rsidR="001E6939" w:rsidRDefault="001E6939" w:rsidP="001E6939">
      <w:pPr>
        <w:pStyle w:val="Caption"/>
      </w:pPr>
      <w:r>
        <w:t xml:space="preserve">Table </w:t>
      </w:r>
      <w:r>
        <w:rPr>
          <w:noProof/>
        </w:rPr>
        <w:fldChar w:fldCharType="begin"/>
      </w:r>
      <w:r>
        <w:rPr>
          <w:noProof/>
        </w:rPr>
        <w:instrText xml:space="preserve"> SEQ Table \* ARABIC </w:instrText>
      </w:r>
      <w:r>
        <w:rPr>
          <w:noProof/>
        </w:rPr>
        <w:fldChar w:fldCharType="separate"/>
      </w:r>
      <w:r w:rsidR="00D17FEA">
        <w:rPr>
          <w:noProof/>
        </w:rPr>
        <w:t>10</w:t>
      </w:r>
      <w:r>
        <w:rPr>
          <w:noProof/>
        </w:rPr>
        <w:fldChar w:fldCharType="end"/>
      </w:r>
      <w:r>
        <w:t>: Imports</w:t>
      </w:r>
      <w:r w:rsidRPr="00F86EA3">
        <w:t xml:space="preserve"> to non-EU countries by SITC 3-digit product category</w:t>
      </w:r>
      <w:r>
        <w:t xml:space="preserve"> in 2017 – Road vehicles (SITC 2-digit disaggregated)</w:t>
      </w:r>
    </w:p>
    <w:tbl>
      <w:tblPr>
        <w:tblW w:w="9343" w:type="dxa"/>
        <w:tblLook w:val="04A0" w:firstRow="1" w:lastRow="0" w:firstColumn="1" w:lastColumn="0" w:noHBand="0" w:noVBand="1"/>
      </w:tblPr>
      <w:tblGrid>
        <w:gridCol w:w="5023"/>
        <w:gridCol w:w="2160"/>
        <w:gridCol w:w="2160"/>
      </w:tblGrid>
      <w:tr w:rsidR="001E6939" w:rsidRPr="00293493" w14:paraId="4D0D1AD2" w14:textId="77777777" w:rsidTr="001E6939">
        <w:trPr>
          <w:trHeight w:val="540"/>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0CB90CA" w14:textId="77777777" w:rsidR="001E6939" w:rsidRPr="00293493" w:rsidRDefault="001E6939" w:rsidP="001E6939">
            <w:pPr>
              <w:spacing w:after="0"/>
              <w:jc w:val="center"/>
              <w:rPr>
                <w:rFonts w:ascii="Calibri" w:eastAsia="Times New Roman" w:hAnsi="Calibri" w:cs="Calibri"/>
                <w:b/>
                <w:bCs/>
                <w:color w:val="FFFFFF"/>
                <w:sz w:val="20"/>
                <w:lang w:eastAsia="en-GB"/>
              </w:rPr>
            </w:pPr>
            <w:r w:rsidRPr="00293493">
              <w:rPr>
                <w:rFonts w:ascii="Calibri" w:eastAsia="Times New Roman" w:hAnsi="Calibri" w:cs="Calibri"/>
                <w:b/>
                <w:bCs/>
                <w:color w:val="FFFFFF"/>
                <w:sz w:val="20"/>
                <w:lang w:eastAsia="en-GB"/>
              </w:rPr>
              <w:t>SITC 3-digit product categories</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C7E7C1C" w14:textId="77777777" w:rsidR="001E6939" w:rsidRPr="00293493" w:rsidRDefault="001E6939" w:rsidP="001E6939">
            <w:pPr>
              <w:spacing w:after="0"/>
              <w:jc w:val="center"/>
              <w:rPr>
                <w:rFonts w:ascii="Calibri" w:eastAsia="Times New Roman" w:hAnsi="Calibri" w:cs="Calibri"/>
                <w:b/>
                <w:bCs/>
                <w:color w:val="FFFFFF"/>
                <w:sz w:val="20"/>
                <w:lang w:eastAsia="en-GB"/>
              </w:rPr>
            </w:pPr>
            <w:r w:rsidRPr="00293493">
              <w:rPr>
                <w:rFonts w:ascii="Calibri" w:eastAsia="Times New Roman" w:hAnsi="Calibri" w:cs="Calibri"/>
                <w:b/>
                <w:bCs/>
                <w:color w:val="FFFFFF"/>
                <w:sz w:val="20"/>
                <w:lang w:eastAsia="en-GB"/>
              </w:rPr>
              <w:t>£ millions</w:t>
            </w:r>
          </w:p>
        </w:tc>
        <w:tc>
          <w:tcPr>
            <w:tcW w:w="216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B6C1923" w14:textId="450C7D88" w:rsidR="001E6939" w:rsidRPr="00293493" w:rsidRDefault="00DE3B79" w:rsidP="001E6939">
            <w:pPr>
              <w:spacing w:after="0"/>
              <w:jc w:val="center"/>
              <w:rPr>
                <w:rFonts w:ascii="Calibri" w:eastAsia="Times New Roman" w:hAnsi="Calibri" w:cs="Calibri"/>
                <w:b/>
                <w:bCs/>
                <w:color w:val="FFFFFF"/>
                <w:sz w:val="20"/>
                <w:lang w:eastAsia="en-GB"/>
              </w:rPr>
            </w:pPr>
            <w:r w:rsidRPr="000E026B">
              <w:rPr>
                <w:rFonts w:ascii="Calibri" w:eastAsia="Times New Roman" w:hAnsi="Calibri" w:cs="Calibri"/>
                <w:b/>
                <w:bCs/>
                <w:color w:val="FFFFFF"/>
                <w:sz w:val="20"/>
                <w:lang w:eastAsia="en-GB"/>
              </w:rPr>
              <w:t>% share of UK total</w:t>
            </w:r>
            <w:r>
              <w:rPr>
                <w:rFonts w:ascii="Calibri" w:eastAsia="Times New Roman" w:hAnsi="Calibri" w:cs="Calibri"/>
                <w:b/>
                <w:bCs/>
                <w:color w:val="FFFFFF"/>
                <w:sz w:val="20"/>
                <w:lang w:eastAsia="en-GB"/>
              </w:rPr>
              <w:t xml:space="preserve"> non-EU trade</w:t>
            </w:r>
          </w:p>
        </w:tc>
      </w:tr>
      <w:tr w:rsidR="001E6939" w:rsidRPr="00293493" w14:paraId="25184F61" w14:textId="77777777" w:rsidTr="001E6939">
        <w:trPr>
          <w:trHeight w:val="627"/>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ACAD298"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781 - Motor cars &amp; other m/vehicles principally designed for transport of persons (</w:t>
            </w:r>
            <w:proofErr w:type="spellStart"/>
            <w:r w:rsidRPr="00E5404F">
              <w:rPr>
                <w:rFonts w:ascii="Calibri" w:eastAsia="Times New Roman" w:hAnsi="Calibri" w:cs="Calibri"/>
                <w:bCs/>
                <w:color w:val="FFFFFF"/>
                <w:sz w:val="20"/>
                <w:lang w:eastAsia="en-GB"/>
              </w:rPr>
              <w:t>o/t</w:t>
            </w:r>
            <w:proofErr w:type="spellEnd"/>
            <w:r w:rsidRPr="00E5404F">
              <w:rPr>
                <w:rFonts w:ascii="Calibri" w:eastAsia="Times New Roman" w:hAnsi="Calibri" w:cs="Calibri"/>
                <w:bCs/>
                <w:color w:val="FFFFFF"/>
                <w:sz w:val="20"/>
                <w:lang w:eastAsia="en-GB"/>
              </w:rPr>
              <w:t xml:space="preserve"> public-transport vehicles)</w:t>
            </w:r>
          </w:p>
        </w:tc>
        <w:tc>
          <w:tcPr>
            <w:tcW w:w="2160" w:type="dxa"/>
            <w:tcBorders>
              <w:top w:val="nil"/>
              <w:left w:val="nil"/>
              <w:bottom w:val="single" w:sz="8" w:space="0" w:color="FFFFFF"/>
              <w:right w:val="single" w:sz="8" w:space="0" w:color="FFFFFF"/>
            </w:tcBorders>
            <w:shd w:val="clear" w:color="000000" w:fill="D0CECE"/>
            <w:vAlign w:val="center"/>
            <w:hideMark/>
          </w:tcPr>
          <w:p w14:paraId="21FDBEB4"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440</w:t>
            </w:r>
          </w:p>
        </w:tc>
        <w:tc>
          <w:tcPr>
            <w:tcW w:w="2160" w:type="dxa"/>
            <w:tcBorders>
              <w:top w:val="nil"/>
              <w:left w:val="nil"/>
              <w:bottom w:val="single" w:sz="8" w:space="0" w:color="FFFFFF"/>
              <w:right w:val="single" w:sz="8" w:space="0" w:color="FFFFFF"/>
            </w:tcBorders>
            <w:shd w:val="clear" w:color="000000" w:fill="D0CECE"/>
            <w:vAlign w:val="center"/>
            <w:hideMark/>
          </w:tcPr>
          <w:p w14:paraId="1E89BCAF"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10.0%</w:t>
            </w:r>
          </w:p>
        </w:tc>
      </w:tr>
      <w:tr w:rsidR="001E6939" w:rsidRPr="00293493" w14:paraId="3F69D146" w14:textId="77777777" w:rsidTr="001E6939">
        <w:trPr>
          <w:trHeight w:val="540"/>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0AA12DB"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782 - Motor vehicles for the transport of goods and special purposes motor vehicles</w:t>
            </w:r>
          </w:p>
        </w:tc>
        <w:tc>
          <w:tcPr>
            <w:tcW w:w="2160" w:type="dxa"/>
            <w:tcBorders>
              <w:top w:val="nil"/>
              <w:left w:val="nil"/>
              <w:bottom w:val="single" w:sz="8" w:space="0" w:color="FFFFFF"/>
              <w:right w:val="single" w:sz="8" w:space="0" w:color="FFFFFF"/>
            </w:tcBorders>
            <w:shd w:val="clear" w:color="000000" w:fill="E7EEEF"/>
            <w:vAlign w:val="center"/>
            <w:hideMark/>
          </w:tcPr>
          <w:p w14:paraId="07A23481"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687</w:t>
            </w:r>
          </w:p>
        </w:tc>
        <w:tc>
          <w:tcPr>
            <w:tcW w:w="2160" w:type="dxa"/>
            <w:tcBorders>
              <w:top w:val="nil"/>
              <w:left w:val="nil"/>
              <w:bottom w:val="single" w:sz="8" w:space="0" w:color="FFFFFF"/>
              <w:right w:val="single" w:sz="8" w:space="0" w:color="FFFFFF"/>
            </w:tcBorders>
            <w:shd w:val="clear" w:color="000000" w:fill="E7EEEF"/>
            <w:vAlign w:val="center"/>
            <w:hideMark/>
          </w:tcPr>
          <w:p w14:paraId="74C4DD47"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61.6%</w:t>
            </w:r>
          </w:p>
        </w:tc>
      </w:tr>
      <w:tr w:rsidR="001E6939" w:rsidRPr="00293493" w14:paraId="7A5E6D8D" w14:textId="77777777" w:rsidTr="001E6939">
        <w:trPr>
          <w:trHeight w:val="285"/>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98E343C"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 xml:space="preserve">783 - Road motor vehicles, </w:t>
            </w:r>
            <w:proofErr w:type="spellStart"/>
            <w:r w:rsidRPr="00E5404F">
              <w:rPr>
                <w:rFonts w:ascii="Calibri" w:eastAsia="Times New Roman" w:hAnsi="Calibri" w:cs="Calibri"/>
                <w:bCs/>
                <w:color w:val="FFFFFF"/>
                <w:sz w:val="20"/>
                <w:lang w:eastAsia="en-GB"/>
              </w:rPr>
              <w:t>nes</w:t>
            </w:r>
            <w:proofErr w:type="spellEnd"/>
          </w:p>
        </w:tc>
        <w:tc>
          <w:tcPr>
            <w:tcW w:w="2160" w:type="dxa"/>
            <w:tcBorders>
              <w:top w:val="nil"/>
              <w:left w:val="nil"/>
              <w:bottom w:val="single" w:sz="8" w:space="0" w:color="FFFFFF"/>
              <w:right w:val="single" w:sz="8" w:space="0" w:color="FFFFFF"/>
            </w:tcBorders>
            <w:shd w:val="clear" w:color="000000" w:fill="D0CECE"/>
            <w:vAlign w:val="center"/>
            <w:hideMark/>
          </w:tcPr>
          <w:p w14:paraId="3F76B86A"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27</w:t>
            </w:r>
          </w:p>
        </w:tc>
        <w:tc>
          <w:tcPr>
            <w:tcW w:w="2160" w:type="dxa"/>
            <w:tcBorders>
              <w:top w:val="nil"/>
              <w:left w:val="nil"/>
              <w:bottom w:val="single" w:sz="8" w:space="0" w:color="FFFFFF"/>
              <w:right w:val="single" w:sz="8" w:space="0" w:color="FFFFFF"/>
            </w:tcBorders>
            <w:shd w:val="clear" w:color="000000" w:fill="D0CECE"/>
            <w:vAlign w:val="center"/>
            <w:hideMark/>
          </w:tcPr>
          <w:p w14:paraId="488D9373"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22.9%</w:t>
            </w:r>
          </w:p>
        </w:tc>
      </w:tr>
      <w:tr w:rsidR="001E6939" w:rsidRPr="00293493" w14:paraId="7858EE69" w14:textId="77777777" w:rsidTr="001E6939">
        <w:trPr>
          <w:trHeight w:val="540"/>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39DC511"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784 - Parts and accessories of the motor vehicles of group 722, 781, 782 and 783</w:t>
            </w:r>
          </w:p>
        </w:tc>
        <w:tc>
          <w:tcPr>
            <w:tcW w:w="2160" w:type="dxa"/>
            <w:tcBorders>
              <w:top w:val="nil"/>
              <w:left w:val="nil"/>
              <w:bottom w:val="single" w:sz="8" w:space="0" w:color="FFFFFF"/>
              <w:right w:val="single" w:sz="8" w:space="0" w:color="FFFFFF"/>
            </w:tcBorders>
            <w:shd w:val="clear" w:color="000000" w:fill="E7EEEF"/>
            <w:vAlign w:val="center"/>
            <w:hideMark/>
          </w:tcPr>
          <w:p w14:paraId="269DE6FB"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838</w:t>
            </w:r>
          </w:p>
        </w:tc>
        <w:tc>
          <w:tcPr>
            <w:tcW w:w="2160" w:type="dxa"/>
            <w:tcBorders>
              <w:top w:val="nil"/>
              <w:left w:val="nil"/>
              <w:bottom w:val="single" w:sz="8" w:space="0" w:color="FFFFFF"/>
              <w:right w:val="single" w:sz="8" w:space="0" w:color="FFFFFF"/>
            </w:tcBorders>
            <w:shd w:val="clear" w:color="000000" w:fill="E7EEEF"/>
            <w:vAlign w:val="center"/>
            <w:hideMark/>
          </w:tcPr>
          <w:p w14:paraId="12B301CE"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31.0%</w:t>
            </w:r>
          </w:p>
        </w:tc>
      </w:tr>
      <w:tr w:rsidR="001E6939" w:rsidRPr="00293493" w14:paraId="483B9A83" w14:textId="77777777" w:rsidTr="001E6939">
        <w:trPr>
          <w:trHeight w:val="657"/>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6BF234A"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785 - Motorcycles (including mopeds) and cycles, motorized and non-motorized; invalid carriages</w:t>
            </w:r>
          </w:p>
        </w:tc>
        <w:tc>
          <w:tcPr>
            <w:tcW w:w="2160" w:type="dxa"/>
            <w:tcBorders>
              <w:top w:val="nil"/>
              <w:left w:val="nil"/>
              <w:bottom w:val="single" w:sz="8" w:space="0" w:color="FFFFFF"/>
              <w:right w:val="single" w:sz="8" w:space="0" w:color="FFFFFF"/>
            </w:tcBorders>
            <w:shd w:val="clear" w:color="000000" w:fill="D0CECE"/>
            <w:vAlign w:val="center"/>
            <w:hideMark/>
          </w:tcPr>
          <w:p w14:paraId="6DB98C25"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139</w:t>
            </w:r>
          </w:p>
        </w:tc>
        <w:tc>
          <w:tcPr>
            <w:tcW w:w="2160" w:type="dxa"/>
            <w:tcBorders>
              <w:top w:val="nil"/>
              <w:left w:val="nil"/>
              <w:bottom w:val="single" w:sz="8" w:space="0" w:color="FFFFFF"/>
              <w:right w:val="single" w:sz="8" w:space="0" w:color="FFFFFF"/>
            </w:tcBorders>
            <w:shd w:val="clear" w:color="000000" w:fill="D0CECE"/>
            <w:vAlign w:val="center"/>
            <w:hideMark/>
          </w:tcPr>
          <w:p w14:paraId="0242657A"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16.3%</w:t>
            </w:r>
          </w:p>
        </w:tc>
      </w:tr>
      <w:tr w:rsidR="001E6939" w:rsidRPr="00293493" w14:paraId="28362BA5" w14:textId="77777777" w:rsidTr="001E6939">
        <w:trPr>
          <w:trHeight w:val="795"/>
        </w:trPr>
        <w:tc>
          <w:tcPr>
            <w:tcW w:w="502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1A37F57" w14:textId="77777777" w:rsidR="001E6939" w:rsidRPr="00E5404F" w:rsidRDefault="001E6939" w:rsidP="001E6939">
            <w:pPr>
              <w:spacing w:after="0"/>
              <w:jc w:val="center"/>
              <w:rPr>
                <w:rFonts w:ascii="Calibri" w:eastAsia="Times New Roman" w:hAnsi="Calibri" w:cs="Calibri"/>
                <w:bCs/>
                <w:color w:val="FFFFFF"/>
                <w:sz w:val="20"/>
                <w:lang w:eastAsia="en-GB"/>
              </w:rPr>
            </w:pPr>
            <w:r w:rsidRPr="00E5404F">
              <w:rPr>
                <w:rFonts w:ascii="Calibri" w:eastAsia="Times New Roman" w:hAnsi="Calibri" w:cs="Calibri"/>
                <w:bCs/>
                <w:color w:val="FFFFFF"/>
                <w:sz w:val="20"/>
                <w:lang w:eastAsia="en-GB"/>
              </w:rPr>
              <w:t xml:space="preserve">786 - Trailers and semi-trailers; other vehicles, not </w:t>
            </w:r>
            <w:proofErr w:type="spellStart"/>
            <w:r w:rsidRPr="00E5404F">
              <w:rPr>
                <w:rFonts w:ascii="Calibri" w:eastAsia="Times New Roman" w:hAnsi="Calibri" w:cs="Calibri"/>
                <w:bCs/>
                <w:color w:val="FFFFFF"/>
                <w:sz w:val="20"/>
                <w:lang w:eastAsia="en-GB"/>
              </w:rPr>
              <w:t>mch</w:t>
            </w:r>
            <w:proofErr w:type="spellEnd"/>
            <w:r w:rsidRPr="00E5404F">
              <w:rPr>
                <w:rFonts w:ascii="Calibri" w:eastAsia="Times New Roman" w:hAnsi="Calibri" w:cs="Calibri"/>
                <w:bCs/>
                <w:color w:val="FFFFFF"/>
                <w:sz w:val="20"/>
                <w:lang w:eastAsia="en-GB"/>
              </w:rPr>
              <w:t xml:space="preserve"> propelled; specially designed &amp; equipped transport </w:t>
            </w:r>
            <w:proofErr w:type="spellStart"/>
            <w:r w:rsidRPr="00E5404F">
              <w:rPr>
                <w:rFonts w:ascii="Calibri" w:eastAsia="Times New Roman" w:hAnsi="Calibri" w:cs="Calibri"/>
                <w:bCs/>
                <w:color w:val="FFFFFF"/>
                <w:sz w:val="20"/>
                <w:lang w:eastAsia="en-GB"/>
              </w:rPr>
              <w:t>ctr</w:t>
            </w:r>
            <w:proofErr w:type="spellEnd"/>
          </w:p>
        </w:tc>
        <w:tc>
          <w:tcPr>
            <w:tcW w:w="2160" w:type="dxa"/>
            <w:tcBorders>
              <w:top w:val="nil"/>
              <w:left w:val="nil"/>
              <w:bottom w:val="single" w:sz="8" w:space="0" w:color="FFFFFF"/>
              <w:right w:val="single" w:sz="8" w:space="0" w:color="FFFFFF"/>
            </w:tcBorders>
            <w:shd w:val="clear" w:color="000000" w:fill="E7EEEF"/>
            <w:vAlign w:val="center"/>
            <w:hideMark/>
          </w:tcPr>
          <w:p w14:paraId="6858FEBA"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103</w:t>
            </w:r>
          </w:p>
        </w:tc>
        <w:tc>
          <w:tcPr>
            <w:tcW w:w="2160" w:type="dxa"/>
            <w:tcBorders>
              <w:top w:val="nil"/>
              <w:left w:val="nil"/>
              <w:bottom w:val="single" w:sz="8" w:space="0" w:color="FFFFFF"/>
              <w:right w:val="single" w:sz="8" w:space="0" w:color="FFFFFF"/>
            </w:tcBorders>
            <w:shd w:val="clear" w:color="000000" w:fill="E7EEEF"/>
            <w:vAlign w:val="center"/>
            <w:hideMark/>
          </w:tcPr>
          <w:p w14:paraId="39310268" w14:textId="77777777" w:rsidR="001E6939" w:rsidRPr="009F47CE" w:rsidRDefault="001E6939" w:rsidP="001E6939">
            <w:pPr>
              <w:spacing w:after="0"/>
              <w:jc w:val="center"/>
              <w:rPr>
                <w:rFonts w:ascii="Calibri" w:eastAsia="Times New Roman" w:hAnsi="Calibri" w:cs="Calibri"/>
                <w:color w:val="000000"/>
                <w:sz w:val="20"/>
                <w:lang w:eastAsia="en-GB"/>
              </w:rPr>
            </w:pPr>
            <w:r w:rsidRPr="009F47CE">
              <w:rPr>
                <w:rFonts w:ascii="Calibri" w:eastAsia="Times New Roman" w:hAnsi="Calibri" w:cs="Calibri"/>
                <w:color w:val="000000"/>
                <w:sz w:val="20"/>
                <w:lang w:eastAsia="en-GB"/>
              </w:rPr>
              <w:t>36.6%</w:t>
            </w:r>
          </w:p>
        </w:tc>
      </w:tr>
    </w:tbl>
    <w:p w14:paraId="2F23C8C3" w14:textId="0AA1C589" w:rsidR="001E6939" w:rsidRDefault="001E6939" w:rsidP="00E5404F">
      <w:pPr>
        <w:keepNext/>
        <w:keepLines/>
        <w:spacing w:before="60" w:after="120"/>
        <w:jc w:val="right"/>
      </w:pPr>
      <w:r>
        <w:rPr>
          <w:i/>
          <w:sz w:val="18"/>
        </w:rPr>
        <w:t>Source: HMRC Overseas Trade Statistics, Eurostat, Cebr analysis</w:t>
      </w:r>
    </w:p>
    <w:p w14:paraId="0AD9B92F" w14:textId="77777777" w:rsidR="001E6939" w:rsidRDefault="001E6939" w:rsidP="001E6939">
      <w:pPr>
        <w:pStyle w:val="Heading2"/>
      </w:pPr>
      <w:bookmarkStart w:id="62" w:name="_Toc15987485"/>
      <w:bookmarkStart w:id="63" w:name="_Toc20139734"/>
      <w:r>
        <w:t>The Solent’s facilitation of EU trade</w:t>
      </w:r>
      <w:bookmarkEnd w:id="62"/>
      <w:bookmarkEnd w:id="63"/>
    </w:p>
    <w:p w14:paraId="5DA1F978" w14:textId="2419F6AB" w:rsidR="001E6939" w:rsidRDefault="001E6939" w:rsidP="00E5404F">
      <w:r>
        <w:t xml:space="preserve">As explained prior, due to data limitations and the fact that EU traded goods do not </w:t>
      </w:r>
      <w:r w:rsidR="000D2AF5">
        <w:t xml:space="preserve">(yet) </w:t>
      </w:r>
      <w:r>
        <w:t xml:space="preserve">pass through Customs when entering the UK, disaggregated data and SITC code breakdowns found in HMRC Trade Statistics are not available for EU trade. As such, this section will provide an overview of the Solent’s facilitation of EU trade by volume and value over the period 2010 to 2017. </w:t>
      </w:r>
    </w:p>
    <w:p w14:paraId="29EC4FAE" w14:textId="55CB4656" w:rsidR="001E6939" w:rsidRDefault="001E6939" w:rsidP="00E5404F">
      <w:r>
        <w:fldChar w:fldCharType="begin"/>
      </w:r>
      <w:r>
        <w:instrText xml:space="preserve"> REF _Ref15301051 \h </w:instrText>
      </w:r>
      <w:r w:rsidR="000D2AF5">
        <w:instrText xml:space="preserve"> \* MERGEFORMAT </w:instrText>
      </w:r>
      <w:r>
        <w:fldChar w:fldCharType="separate"/>
      </w:r>
      <w:r w:rsidR="00D17FEA">
        <w:t xml:space="preserve">Figure </w:t>
      </w:r>
      <w:r w:rsidR="00D17FEA">
        <w:rPr>
          <w:noProof/>
        </w:rPr>
        <w:t>8</w:t>
      </w:r>
      <w:r>
        <w:fldChar w:fldCharType="end"/>
      </w:r>
      <w:r>
        <w:t xml:space="preserve"> below illustrates the Solent LEP share of total UK trade with EU countries in terms of both import and export volumes for each year in the period 2010 to 2017. Throughout the period, the Solent LEP has accounted for between 7 and 8% of total imports, with a slightly declining trend. As explained with regard to </w:t>
      </w:r>
      <w:r>
        <w:fldChar w:fldCharType="begin"/>
      </w:r>
      <w:r>
        <w:instrText xml:space="preserve"> REF _Ref14946019 \h </w:instrText>
      </w:r>
      <w:r w:rsidR="000D2AF5">
        <w:instrText xml:space="preserve"> \* MERGEFORMAT </w:instrText>
      </w:r>
      <w:r>
        <w:fldChar w:fldCharType="separate"/>
      </w:r>
      <w:r w:rsidR="00D17FEA">
        <w:t xml:space="preserve">Figure </w:t>
      </w:r>
      <w:r w:rsidR="00D17FEA">
        <w:rPr>
          <w:noProof/>
        </w:rPr>
        <w:t>4</w:t>
      </w:r>
      <w:r>
        <w:fldChar w:fldCharType="end"/>
      </w:r>
      <w:r>
        <w:t xml:space="preserve">, fluctuations in shares year to year may simply be a function of changes in total trade volumes and volumes passing through alternative ports rather than a definite trend. </w:t>
      </w:r>
    </w:p>
    <w:p w14:paraId="1DE34783" w14:textId="3064D8C8" w:rsidR="001E6939" w:rsidRDefault="001E6939" w:rsidP="00E5404F">
      <w:r>
        <w:t>However, the Solent LEP’s facilitation of UK exports to the EU has been on a steady rise since 2010, peaking in 2017. This trend appears to be more vindictive of the Solent LEP becoming a more important port for EU trade than mere fluctuations as a result of total trade.</w:t>
      </w:r>
    </w:p>
    <w:p w14:paraId="72562FB9" w14:textId="77777777" w:rsidR="000D2AF5" w:rsidRDefault="000D2AF5" w:rsidP="00E5404F"/>
    <w:p w14:paraId="2E4EE7A8" w14:textId="77777777" w:rsidR="000D2AF5" w:rsidRDefault="000D2AF5" w:rsidP="00E5404F"/>
    <w:p w14:paraId="0E60E560" w14:textId="77777777" w:rsidR="001E6939" w:rsidRDefault="001E6939" w:rsidP="001E6939">
      <w:pPr>
        <w:pStyle w:val="Caption"/>
      </w:pPr>
      <w:bookmarkStart w:id="64" w:name="_Ref15301051"/>
      <w:r>
        <w:lastRenderedPageBreak/>
        <w:t xml:space="preserve">Figure </w:t>
      </w:r>
      <w:r>
        <w:rPr>
          <w:noProof/>
        </w:rPr>
        <w:fldChar w:fldCharType="begin"/>
      </w:r>
      <w:r>
        <w:rPr>
          <w:noProof/>
        </w:rPr>
        <w:instrText xml:space="preserve"> SEQ Figure \* ARABIC </w:instrText>
      </w:r>
      <w:r>
        <w:rPr>
          <w:noProof/>
        </w:rPr>
        <w:fldChar w:fldCharType="separate"/>
      </w:r>
      <w:r w:rsidR="00D17FEA">
        <w:rPr>
          <w:noProof/>
        </w:rPr>
        <w:t>8</w:t>
      </w:r>
      <w:r>
        <w:rPr>
          <w:noProof/>
        </w:rPr>
        <w:fldChar w:fldCharType="end"/>
      </w:r>
      <w:bookmarkEnd w:id="64"/>
      <w:r>
        <w:t xml:space="preserve">: Solent LEP shares of total UK trade with EU countries, exports and imports by VOLUME, %, 2010-2017  </w:t>
      </w:r>
    </w:p>
    <w:p w14:paraId="364C55F6" w14:textId="77777777" w:rsidR="001E6939" w:rsidRDefault="001E6939" w:rsidP="001E6939">
      <w:pPr>
        <w:pStyle w:val="Caption"/>
      </w:pPr>
      <w:r>
        <w:rPr>
          <w:noProof/>
          <w:lang w:eastAsia="en-GB"/>
        </w:rPr>
        <w:drawing>
          <wp:inline distT="0" distB="0" distL="0" distR="0" wp14:anchorId="7645ED49" wp14:editId="7E640D69">
            <wp:extent cx="6120000" cy="3240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8AA026" w14:textId="77777777" w:rsidR="001E6939" w:rsidRDefault="001E6939" w:rsidP="001E6939">
      <w:pPr>
        <w:jc w:val="right"/>
        <w:rPr>
          <w:i/>
          <w:sz w:val="18"/>
        </w:rPr>
      </w:pPr>
      <w:r>
        <w:rPr>
          <w:i/>
          <w:sz w:val="18"/>
        </w:rPr>
        <w:t xml:space="preserve">Source: Eurostat, HMRC Overseas Trade Statistics, </w:t>
      </w:r>
      <w:proofErr w:type="spellStart"/>
      <w:r>
        <w:rPr>
          <w:i/>
          <w:sz w:val="18"/>
        </w:rPr>
        <w:t>Transmodal</w:t>
      </w:r>
      <w:proofErr w:type="spellEnd"/>
      <w:r>
        <w:rPr>
          <w:i/>
          <w:sz w:val="18"/>
        </w:rPr>
        <w:t>, ONS, Cebr analysis</w:t>
      </w:r>
    </w:p>
    <w:p w14:paraId="462EAD38" w14:textId="0EB57F48" w:rsidR="001E6939" w:rsidRDefault="001E6939" w:rsidP="00E5404F">
      <w:r>
        <w:fldChar w:fldCharType="begin"/>
      </w:r>
      <w:r>
        <w:instrText xml:space="preserve"> REF _Ref15301815 \h </w:instrText>
      </w:r>
      <w:r w:rsidR="00365BC6">
        <w:instrText xml:space="preserve"> \* MERGEFORMAT </w:instrText>
      </w:r>
      <w:r>
        <w:fldChar w:fldCharType="separate"/>
      </w:r>
      <w:r w:rsidR="00D17FEA">
        <w:t xml:space="preserve">Figure </w:t>
      </w:r>
      <w:r w:rsidR="00D17FEA">
        <w:rPr>
          <w:noProof/>
        </w:rPr>
        <w:t>9</w:t>
      </w:r>
      <w:r>
        <w:fldChar w:fldCharType="end"/>
      </w:r>
      <w:r>
        <w:t xml:space="preserve"> shows the Solent LEP share of UK trade with the EU by value. It largely mirrors the results seen in </w:t>
      </w:r>
      <w:r>
        <w:fldChar w:fldCharType="begin"/>
      </w:r>
      <w:r>
        <w:instrText xml:space="preserve"> REF _Ref15301051 \h </w:instrText>
      </w:r>
      <w:r w:rsidR="00365BC6">
        <w:instrText xml:space="preserve"> \* MERGEFORMAT </w:instrText>
      </w:r>
      <w:r>
        <w:fldChar w:fldCharType="separate"/>
      </w:r>
      <w:r w:rsidR="00D17FEA">
        <w:t xml:space="preserve">Figure </w:t>
      </w:r>
      <w:r w:rsidR="00D17FEA">
        <w:rPr>
          <w:noProof/>
        </w:rPr>
        <w:t>8</w:t>
      </w:r>
      <w:r>
        <w:fldChar w:fldCharType="end"/>
      </w:r>
      <w:r>
        <w:t xml:space="preserve"> but illustrates that the Solent region is more important in terms of value than volume with regards to EU trade. Where, by volume, the Solent LEP facilitated between 7 to 8% of imports from the EU, by value, the facilitation is between 8 and 10%. Value facilitation of imports peaked in 2013 at 10.3% which was followed by a low of 7.9% in 2015. Similarly to volume, it appears the facilitation of imports by value is on a slight decreasing trend.</w:t>
      </w:r>
    </w:p>
    <w:p w14:paraId="07B807E7" w14:textId="7B23C978" w:rsidR="001E6939" w:rsidRDefault="001E6939" w:rsidP="00E5404F">
      <w:r>
        <w:t>The value of exports to the EU that is facilitated by the Solent LEP is significant and increasing. In 2017, 8% of the value of exports to the EU passed through the Solent LEP compared to only 4% by volume. This has also grown significantly: the Solent LEP facilitation of exports by value in 2010 was only 4%. Although year to year there is minor fluctuations such as from 2014 (6%) to 2015 (5%) which rose again in 2016 (7%), it appears that the Solent LEP is becoming m</w:t>
      </w:r>
      <w:r w:rsidR="00365BC6">
        <w:t>ore</w:t>
      </w:r>
      <w:r>
        <w:t xml:space="preserve"> important for UK exports to the EU by value.</w:t>
      </w:r>
    </w:p>
    <w:p w14:paraId="3A13D221" w14:textId="3C4B4F58" w:rsidR="001E6939" w:rsidRDefault="001E6939" w:rsidP="00E5404F">
      <w:r>
        <w:t xml:space="preserve">As stated, due to data limitations we cannot disaggregate this by sector as was done in Section </w:t>
      </w:r>
      <w:r>
        <w:fldChar w:fldCharType="begin"/>
      </w:r>
      <w:r>
        <w:instrText xml:space="preserve"> REF _Ref499890819 \n \h </w:instrText>
      </w:r>
      <w:r w:rsidR="00365BC6">
        <w:instrText xml:space="preserve"> \* MERGEFORMAT </w:instrText>
      </w:r>
      <w:r>
        <w:fldChar w:fldCharType="separate"/>
      </w:r>
      <w:r w:rsidR="00D17FEA">
        <w:t>3.4</w:t>
      </w:r>
      <w:r>
        <w:fldChar w:fldCharType="end"/>
      </w:r>
      <w:r>
        <w:t xml:space="preserve"> and </w:t>
      </w:r>
      <w:r>
        <w:fldChar w:fldCharType="begin"/>
      </w:r>
      <w:r>
        <w:instrText xml:space="preserve"> REF _Ref15303431 \n \h </w:instrText>
      </w:r>
      <w:r w:rsidR="00365BC6">
        <w:instrText xml:space="preserve"> \* MERGEFORMAT </w:instrText>
      </w:r>
      <w:r>
        <w:fldChar w:fldCharType="separate"/>
      </w:r>
      <w:r w:rsidR="00D17FEA">
        <w:t>3.5</w:t>
      </w:r>
      <w:r>
        <w:fldChar w:fldCharType="end"/>
      </w:r>
      <w:r>
        <w:t>.</w:t>
      </w:r>
    </w:p>
    <w:p w14:paraId="25711215" w14:textId="77777777" w:rsidR="001E6939" w:rsidRDefault="001E6939" w:rsidP="001E6939"/>
    <w:p w14:paraId="7DCF7E26" w14:textId="77777777" w:rsidR="001E6939" w:rsidRDefault="001E6939" w:rsidP="001E6939"/>
    <w:p w14:paraId="1C2785CC" w14:textId="77777777" w:rsidR="001E6939" w:rsidRDefault="001E6939" w:rsidP="001E6939"/>
    <w:p w14:paraId="33449EAE" w14:textId="77777777" w:rsidR="001E6939" w:rsidRDefault="001E6939" w:rsidP="001E6939"/>
    <w:p w14:paraId="217048DD" w14:textId="77777777" w:rsidR="001E6939" w:rsidRDefault="001E6939" w:rsidP="001E6939"/>
    <w:p w14:paraId="6BA814BC" w14:textId="77777777" w:rsidR="001E6939" w:rsidRDefault="001E6939" w:rsidP="001E6939"/>
    <w:p w14:paraId="2A3050F5" w14:textId="77777777" w:rsidR="001E6939" w:rsidRDefault="001E6939" w:rsidP="001E6939"/>
    <w:p w14:paraId="1A9E86C5" w14:textId="77777777" w:rsidR="001E6939" w:rsidRDefault="001E6939" w:rsidP="001E6939"/>
    <w:p w14:paraId="4EA4FD25" w14:textId="77777777" w:rsidR="001E6939" w:rsidRDefault="001E6939" w:rsidP="001E6939"/>
    <w:p w14:paraId="6A883C32" w14:textId="77777777" w:rsidR="001E6939" w:rsidRDefault="001E6939" w:rsidP="001E6939"/>
    <w:p w14:paraId="077A32D8" w14:textId="77777777" w:rsidR="001E6939" w:rsidRDefault="001E6939" w:rsidP="001E6939">
      <w:pPr>
        <w:pStyle w:val="Caption"/>
      </w:pPr>
      <w:bookmarkStart w:id="65" w:name="_Ref15301815"/>
      <w:r>
        <w:t xml:space="preserve">Figure </w:t>
      </w:r>
      <w:r>
        <w:rPr>
          <w:noProof/>
        </w:rPr>
        <w:fldChar w:fldCharType="begin"/>
      </w:r>
      <w:r>
        <w:rPr>
          <w:noProof/>
        </w:rPr>
        <w:instrText xml:space="preserve"> SEQ Figure \* ARABIC </w:instrText>
      </w:r>
      <w:r>
        <w:rPr>
          <w:noProof/>
        </w:rPr>
        <w:fldChar w:fldCharType="separate"/>
      </w:r>
      <w:r w:rsidR="00D17FEA">
        <w:rPr>
          <w:noProof/>
        </w:rPr>
        <w:t>9</w:t>
      </w:r>
      <w:r>
        <w:rPr>
          <w:noProof/>
        </w:rPr>
        <w:fldChar w:fldCharType="end"/>
      </w:r>
      <w:bookmarkEnd w:id="65"/>
      <w:r>
        <w:t xml:space="preserve">: Solent LEP shares of total UK trade with EU countries, exports and imports by VALUE, %, 2010-2017  </w:t>
      </w:r>
    </w:p>
    <w:p w14:paraId="75FD326D" w14:textId="77777777" w:rsidR="001E6939" w:rsidRDefault="001E6939" w:rsidP="001E6939">
      <w:pPr>
        <w:pStyle w:val="Caption"/>
      </w:pPr>
      <w:r>
        <w:rPr>
          <w:noProof/>
          <w:lang w:eastAsia="en-GB"/>
        </w:rPr>
        <w:drawing>
          <wp:inline distT="0" distB="0" distL="0" distR="0" wp14:anchorId="4E94A463" wp14:editId="59078CB9">
            <wp:extent cx="6120000" cy="3240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847504" w14:textId="77777777" w:rsidR="001E6939" w:rsidRDefault="001E6939" w:rsidP="001E6939">
      <w:pPr>
        <w:jc w:val="right"/>
        <w:rPr>
          <w:i/>
          <w:sz w:val="18"/>
        </w:rPr>
      </w:pPr>
      <w:r>
        <w:rPr>
          <w:i/>
          <w:sz w:val="18"/>
        </w:rPr>
        <w:t xml:space="preserve">Source: Eurostat, HMRC Overseas Trade Statistics, </w:t>
      </w:r>
      <w:proofErr w:type="spellStart"/>
      <w:r>
        <w:rPr>
          <w:i/>
          <w:sz w:val="18"/>
        </w:rPr>
        <w:t>Transmodal</w:t>
      </w:r>
      <w:proofErr w:type="spellEnd"/>
      <w:r>
        <w:rPr>
          <w:i/>
          <w:sz w:val="18"/>
        </w:rPr>
        <w:t>, ONS, Cebr analysis</w:t>
      </w:r>
    </w:p>
    <w:p w14:paraId="2D89BFD8" w14:textId="77777777" w:rsidR="001E6939" w:rsidRDefault="001E6939" w:rsidP="001E6939">
      <w:pPr>
        <w:pStyle w:val="Heading2"/>
      </w:pPr>
      <w:bookmarkStart w:id="66" w:name="_Toc15987486"/>
      <w:bookmarkStart w:id="67" w:name="_Toc20139735"/>
      <w:r>
        <w:t>The Solent’s facilitation of total UK trade</w:t>
      </w:r>
      <w:bookmarkEnd w:id="66"/>
      <w:bookmarkEnd w:id="67"/>
    </w:p>
    <w:p w14:paraId="18918D73" w14:textId="77777777" w:rsidR="001E6939" w:rsidRDefault="001E6939" w:rsidP="004C05E7">
      <w:r>
        <w:t xml:space="preserve">The previous sections gave a breakdown of the Solent’s facilitation of trade with EU and Non-EU countries. For completeness, the section provides an overview of the Solent’s total trade facilitation by volume and value. </w:t>
      </w:r>
    </w:p>
    <w:p w14:paraId="22EC2F4C" w14:textId="2F065090" w:rsidR="001E6939" w:rsidRDefault="001E6939" w:rsidP="004C05E7">
      <w:r>
        <w:fldChar w:fldCharType="begin"/>
      </w:r>
      <w:r>
        <w:instrText xml:space="preserve"> REF _Ref15303885 \h </w:instrText>
      </w:r>
      <w:r w:rsidR="004C05E7">
        <w:instrText xml:space="preserve"> \* MERGEFORMAT </w:instrText>
      </w:r>
      <w:r>
        <w:fldChar w:fldCharType="separate"/>
      </w:r>
      <w:r w:rsidR="00D17FEA">
        <w:t xml:space="preserve">Figure </w:t>
      </w:r>
      <w:r w:rsidR="00D17FEA">
        <w:rPr>
          <w:noProof/>
        </w:rPr>
        <w:t>10</w:t>
      </w:r>
      <w:r>
        <w:fldChar w:fldCharType="end"/>
      </w:r>
      <w:r>
        <w:t xml:space="preserve"> illustrates the Solent’s trade facilitation with both EU and Non-EU countries, by volume. This is, in effect, an average of the previous two depictions of Solent’s trade. It is clear that the Solent region is a significant port for UK trade volumes, facilitating 9% of imports on average throughout the period. Likewise, it also shows that the importance of the Solent is increasing with regard to the volume of UK exports passing through its ports. </w:t>
      </w:r>
    </w:p>
    <w:p w14:paraId="74BDF723" w14:textId="77777777" w:rsidR="00D17FEA" w:rsidRPr="001E6939" w:rsidRDefault="001E6939" w:rsidP="00D17FEA">
      <w:pPr>
        <w:rPr>
          <w:i/>
          <w:sz w:val="18"/>
        </w:rPr>
      </w:pPr>
      <w:r>
        <w:t xml:space="preserve">Similar to the disaggregation, the Solent’s importance in trade facilitation by value is greater than that of volume. </w:t>
      </w:r>
      <w:r>
        <w:fldChar w:fldCharType="begin"/>
      </w:r>
      <w:r>
        <w:instrText xml:space="preserve"> REF _Ref15304451 \h </w:instrText>
      </w:r>
      <w:r w:rsidR="004C05E7">
        <w:instrText xml:space="preserve"> \* MERGEFORMAT </w:instrText>
      </w:r>
      <w:r>
        <w:fldChar w:fldCharType="separate"/>
      </w:r>
    </w:p>
    <w:p w14:paraId="59DF4B21" w14:textId="531C4752" w:rsidR="001E6939" w:rsidRDefault="00D17FEA" w:rsidP="004C05E7">
      <w:r>
        <w:t>Figure</w:t>
      </w:r>
      <w:r>
        <w:rPr>
          <w:noProof/>
        </w:rPr>
        <w:t xml:space="preserve"> 11</w:t>
      </w:r>
      <w:r w:rsidR="001E6939">
        <w:fldChar w:fldCharType="end"/>
      </w:r>
      <w:r w:rsidR="001E6939">
        <w:t xml:space="preserve"> illustrates that both import and export facilitation by the Solent is greater by value than in </w:t>
      </w:r>
      <w:r w:rsidR="001E6939">
        <w:fldChar w:fldCharType="begin"/>
      </w:r>
      <w:r w:rsidR="001E6939">
        <w:instrText xml:space="preserve"> REF _Ref15303885 \h </w:instrText>
      </w:r>
      <w:r w:rsidR="004C05E7">
        <w:instrText xml:space="preserve"> \* MERGEFORMAT </w:instrText>
      </w:r>
      <w:r w:rsidR="001E6939">
        <w:fldChar w:fldCharType="separate"/>
      </w:r>
      <w:r>
        <w:t xml:space="preserve">Figure </w:t>
      </w:r>
      <w:r>
        <w:rPr>
          <w:noProof/>
        </w:rPr>
        <w:t>10</w:t>
      </w:r>
      <w:r w:rsidR="001E6939">
        <w:fldChar w:fldCharType="end"/>
      </w:r>
      <w:r w:rsidR="001E6939">
        <w:t xml:space="preserve"> where it shows by volume. Similarly, the Solent ports are shown to becoming increasingly important for exports of UK trade to both EU and Non-EU countries, where in 2010 it facilitated 8% and by 2017 this had grown to 11% of total UK exports by value.</w:t>
      </w:r>
    </w:p>
    <w:p w14:paraId="665206A1" w14:textId="77777777" w:rsidR="001E6939" w:rsidRDefault="001E6939" w:rsidP="004C05E7">
      <w:r>
        <w:t xml:space="preserve">Emphasising the Solent’s importance as a trade hub is the value of trade that passes through it. In 2017, Solent’s gross trade was £92,728 million (net trade was £-15,846 million). This gross trade is equivalent to 4.6% of the value of UK GDP in 2017, highlighting the sheer value of trade that the ports facilitate. </w:t>
      </w:r>
    </w:p>
    <w:p w14:paraId="73D53FED" w14:textId="77777777" w:rsidR="001E6939" w:rsidRDefault="001E6939" w:rsidP="004C05E7">
      <w:r>
        <w:t>Interestingly, a study by the OECD</w:t>
      </w:r>
      <w:r>
        <w:rPr>
          <w:rStyle w:val="FootnoteReference"/>
        </w:rPr>
        <w:footnoteReference w:id="19"/>
      </w:r>
      <w:r>
        <w:t xml:space="preserve"> found that a 10% increase in trade openness stimulates a 4% increase in GDP per capita. The reason for this tends to be that trade allows for a country’s productivity to increase </w:t>
      </w:r>
      <w:r>
        <w:lastRenderedPageBreak/>
        <w:t xml:space="preserve">through avenues such as taking advantage of economies of scale, comparative advantages and general spill over effects. As such, a country which opens its trade can benefit through enhanced productivity which ultimately stimulates economic growth. That said, if Solent gross trade increased by £9,273 million, this would increase UK GDP per capita by £1,222. Since 2010, gross trade through the Solent has increased each year by £3,886 million on average thus illustrating how the Solent’s importance as a trade hub is transmitted through the economy. </w:t>
      </w:r>
    </w:p>
    <w:p w14:paraId="57026773" w14:textId="77777777" w:rsidR="001E6939" w:rsidRDefault="001E6939" w:rsidP="001E6939">
      <w:pPr>
        <w:pStyle w:val="Caption"/>
      </w:pPr>
      <w:bookmarkStart w:id="68" w:name="_Ref15303885"/>
      <w:r>
        <w:t xml:space="preserve">Figure </w:t>
      </w:r>
      <w:r>
        <w:rPr>
          <w:noProof/>
        </w:rPr>
        <w:fldChar w:fldCharType="begin"/>
      </w:r>
      <w:r>
        <w:rPr>
          <w:noProof/>
        </w:rPr>
        <w:instrText xml:space="preserve"> SEQ Figure \* ARABIC </w:instrText>
      </w:r>
      <w:r>
        <w:rPr>
          <w:noProof/>
        </w:rPr>
        <w:fldChar w:fldCharType="separate"/>
      </w:r>
      <w:r w:rsidR="00D17FEA">
        <w:rPr>
          <w:noProof/>
        </w:rPr>
        <w:t>10</w:t>
      </w:r>
      <w:r>
        <w:rPr>
          <w:noProof/>
        </w:rPr>
        <w:fldChar w:fldCharType="end"/>
      </w:r>
      <w:bookmarkEnd w:id="68"/>
      <w:r>
        <w:t xml:space="preserve">: Solent LEP shares of total UK trade, exports and imports by VOLUME, %, 2010-2017  </w:t>
      </w:r>
    </w:p>
    <w:p w14:paraId="12478677" w14:textId="77777777" w:rsidR="001E6939" w:rsidRDefault="001E6939" w:rsidP="001E6939">
      <w:r>
        <w:rPr>
          <w:noProof/>
          <w:lang w:eastAsia="en-GB"/>
        </w:rPr>
        <w:drawing>
          <wp:inline distT="0" distB="0" distL="0" distR="0" wp14:anchorId="5CD1BDF0" wp14:editId="116F5CBE">
            <wp:extent cx="6120000" cy="32400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DA0E01" w14:textId="3F202BE1" w:rsidR="001E6939" w:rsidRPr="001E6939" w:rsidRDefault="001E6939" w:rsidP="001E6939">
      <w:pPr>
        <w:jc w:val="right"/>
        <w:rPr>
          <w:i/>
          <w:sz w:val="18"/>
        </w:rPr>
      </w:pPr>
      <w:r>
        <w:rPr>
          <w:i/>
          <w:sz w:val="18"/>
        </w:rPr>
        <w:t xml:space="preserve">Source: Eurostat, HMRC Overseas Trade Statistics, </w:t>
      </w:r>
      <w:proofErr w:type="spellStart"/>
      <w:r>
        <w:rPr>
          <w:i/>
          <w:sz w:val="18"/>
        </w:rPr>
        <w:t>Transmodal</w:t>
      </w:r>
      <w:proofErr w:type="spellEnd"/>
      <w:r>
        <w:rPr>
          <w:i/>
          <w:sz w:val="18"/>
        </w:rPr>
        <w:t>, ONS, Cebr analysis</w:t>
      </w:r>
      <w:bookmarkStart w:id="69" w:name="_Ref15304451"/>
    </w:p>
    <w:p w14:paraId="4258117B" w14:textId="77777777" w:rsidR="001E6939" w:rsidRDefault="001E6939" w:rsidP="001E6939">
      <w:pPr>
        <w:pStyle w:val="Caption"/>
      </w:pPr>
    </w:p>
    <w:p w14:paraId="47A382B6" w14:textId="77777777" w:rsidR="001E6939" w:rsidRDefault="001E6939" w:rsidP="001E6939">
      <w:pPr>
        <w:pStyle w:val="Caption"/>
      </w:pPr>
      <w:r>
        <w:t xml:space="preserve">Figure </w:t>
      </w:r>
      <w:r>
        <w:rPr>
          <w:noProof/>
        </w:rPr>
        <w:fldChar w:fldCharType="begin"/>
      </w:r>
      <w:r>
        <w:rPr>
          <w:noProof/>
        </w:rPr>
        <w:instrText xml:space="preserve"> SEQ Figure \* ARABIC </w:instrText>
      </w:r>
      <w:r>
        <w:rPr>
          <w:noProof/>
        </w:rPr>
        <w:fldChar w:fldCharType="separate"/>
      </w:r>
      <w:r w:rsidR="00D17FEA">
        <w:rPr>
          <w:noProof/>
        </w:rPr>
        <w:t>11</w:t>
      </w:r>
      <w:r>
        <w:rPr>
          <w:noProof/>
        </w:rPr>
        <w:fldChar w:fldCharType="end"/>
      </w:r>
      <w:bookmarkEnd w:id="69"/>
      <w:r>
        <w:t xml:space="preserve">: Solent LEP shares of total UK trade, exports and imports by VALUE, %, 2010-2017  </w:t>
      </w:r>
    </w:p>
    <w:p w14:paraId="66DA5097" w14:textId="77777777" w:rsidR="001E6939" w:rsidRDefault="001E6939" w:rsidP="001E6939">
      <w:pPr>
        <w:jc w:val="right"/>
        <w:rPr>
          <w:i/>
          <w:sz w:val="18"/>
        </w:rPr>
      </w:pPr>
      <w:r>
        <w:rPr>
          <w:noProof/>
          <w:lang w:eastAsia="en-GB"/>
        </w:rPr>
        <w:drawing>
          <wp:inline distT="0" distB="0" distL="0" distR="0" wp14:anchorId="773FADA0" wp14:editId="74ED1F6A">
            <wp:extent cx="6120000" cy="3240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832C0">
        <w:rPr>
          <w:i/>
          <w:sz w:val="18"/>
        </w:rPr>
        <w:t xml:space="preserve"> </w:t>
      </w:r>
      <w:r>
        <w:rPr>
          <w:i/>
          <w:sz w:val="18"/>
        </w:rPr>
        <w:t xml:space="preserve">Source: Eurostat, HMRC Overseas Trade Statistics, </w:t>
      </w:r>
      <w:proofErr w:type="spellStart"/>
      <w:r>
        <w:rPr>
          <w:i/>
          <w:sz w:val="18"/>
        </w:rPr>
        <w:t>Transmodal</w:t>
      </w:r>
      <w:proofErr w:type="spellEnd"/>
      <w:r>
        <w:rPr>
          <w:i/>
          <w:sz w:val="18"/>
        </w:rPr>
        <w:t>, ONS, Cebr analysis</w:t>
      </w:r>
    </w:p>
    <w:p w14:paraId="60528DD7" w14:textId="77777777" w:rsidR="001E6939" w:rsidRDefault="001E6939" w:rsidP="001E6939">
      <w:pPr>
        <w:jc w:val="right"/>
        <w:rPr>
          <w:i/>
          <w:sz w:val="18"/>
        </w:rPr>
      </w:pPr>
    </w:p>
    <w:p w14:paraId="5A185AE7" w14:textId="77777777" w:rsidR="001E6939" w:rsidRDefault="001E6939" w:rsidP="001E6939">
      <w:pPr>
        <w:pStyle w:val="Heading2"/>
      </w:pPr>
      <w:bookmarkStart w:id="70" w:name="_Toc15987487"/>
      <w:bookmarkStart w:id="71" w:name="_Toc20139736"/>
      <w:r>
        <w:t>A Gateway for international tourism</w:t>
      </w:r>
      <w:bookmarkEnd w:id="70"/>
      <w:bookmarkEnd w:id="71"/>
    </w:p>
    <w:p w14:paraId="73643C09" w14:textId="77777777" w:rsidR="001E6939" w:rsidRDefault="001E6939" w:rsidP="00DE3B79">
      <w:r>
        <w:t xml:space="preserve">It is important to recognise that inbound tourism is a UK export: in the same way that producers of goods exports rely on the Solent maritime sector to get their goods to the international market; the tourism-orientated sectors – including travel, accommodation, arts and culture and so forth – rely on the maritime sector to bring people to the UK and in turn purchase from them. </w:t>
      </w:r>
    </w:p>
    <w:p w14:paraId="67602997" w14:textId="77777777" w:rsidR="001E6939" w:rsidRDefault="001E6939" w:rsidP="00DE3B79">
      <w:r>
        <w:t xml:space="preserve">With the low-cost carrier revolution in aviation and the emergence of rail services to continental Europe via the Channel Tunnel, travel by sea has declined in popularity. But the mode remains important for luxury cruising and when people want to travel to or from the UK with their own cars. </w:t>
      </w:r>
    </w:p>
    <w:p w14:paraId="6BDBD5A0" w14:textId="1632DFDF" w:rsidR="001E6939" w:rsidRDefault="001E6939" w:rsidP="00DE3B79">
      <w:r>
        <w:fldChar w:fldCharType="begin"/>
      </w:r>
      <w:r>
        <w:instrText xml:space="preserve"> REF _Ref15308448 \h </w:instrText>
      </w:r>
      <w:r w:rsidR="00DE3B79">
        <w:instrText xml:space="preserve"> \* MERGEFORMAT </w:instrText>
      </w:r>
      <w:r>
        <w:fldChar w:fldCharType="separate"/>
      </w:r>
      <w:r w:rsidR="00D17FEA">
        <w:t xml:space="preserve">Table </w:t>
      </w:r>
      <w:r w:rsidR="00D17FEA">
        <w:rPr>
          <w:noProof/>
        </w:rPr>
        <w:t>11</w:t>
      </w:r>
      <w:r>
        <w:fldChar w:fldCharType="end"/>
      </w:r>
      <w:r>
        <w:t xml:space="preserve"> illustrates how important the Solent is for inbound tourism – that is foreign individuals who come to the UK via the Solent through Ferries and spend money in the UK. As already stated, the value of inbound tourism is declining year on year, likely due to the rise of aviation and the Channel Tunnel rail crossing. However, the impact is still significant: 2017 saw 1.8 million ferry passengers come to the UK through Portsmouth, who had an average spend of just shy of £300 each, amounting to just under £550 million in expenditure through the UK. </w:t>
      </w:r>
    </w:p>
    <w:p w14:paraId="44FEFD18" w14:textId="77777777" w:rsidR="001E6939" w:rsidRDefault="001E6939" w:rsidP="001E6939">
      <w:pPr>
        <w:pStyle w:val="Caption"/>
      </w:pPr>
      <w:bookmarkStart w:id="72" w:name="_Ref15308448"/>
      <w:r>
        <w:t xml:space="preserve">Table </w:t>
      </w:r>
      <w:r>
        <w:rPr>
          <w:noProof/>
        </w:rPr>
        <w:fldChar w:fldCharType="begin"/>
      </w:r>
      <w:r>
        <w:rPr>
          <w:noProof/>
        </w:rPr>
        <w:instrText xml:space="preserve"> SEQ Table \* ARABIC </w:instrText>
      </w:r>
      <w:r>
        <w:rPr>
          <w:noProof/>
        </w:rPr>
        <w:fldChar w:fldCharType="separate"/>
      </w:r>
      <w:r w:rsidR="00D17FEA">
        <w:rPr>
          <w:noProof/>
        </w:rPr>
        <w:t>11</w:t>
      </w:r>
      <w:r>
        <w:rPr>
          <w:noProof/>
        </w:rPr>
        <w:fldChar w:fldCharType="end"/>
      </w:r>
      <w:bookmarkEnd w:id="72"/>
      <w:r>
        <w:t>: Number and value of inbound tourism through the Solent, 2010 to 2017</w:t>
      </w:r>
    </w:p>
    <w:tbl>
      <w:tblPr>
        <w:tblW w:w="9360" w:type="dxa"/>
        <w:tblLook w:val="04A0" w:firstRow="1" w:lastRow="0" w:firstColumn="1" w:lastColumn="0" w:noHBand="0" w:noVBand="1"/>
      </w:tblPr>
      <w:tblGrid>
        <w:gridCol w:w="2340"/>
        <w:gridCol w:w="2340"/>
        <w:gridCol w:w="2340"/>
        <w:gridCol w:w="2340"/>
      </w:tblGrid>
      <w:tr w:rsidR="001E6939" w:rsidRPr="000300B4" w14:paraId="6FA4CC0A" w14:textId="77777777" w:rsidTr="001E6939">
        <w:trPr>
          <w:trHeight w:val="357"/>
        </w:trPr>
        <w:tc>
          <w:tcPr>
            <w:tcW w:w="2340" w:type="dxa"/>
            <w:tcBorders>
              <w:top w:val="nil"/>
              <w:left w:val="nil"/>
              <w:bottom w:val="nil"/>
              <w:right w:val="nil"/>
            </w:tcBorders>
            <w:shd w:val="clear" w:color="auto" w:fill="auto"/>
            <w:noWrap/>
            <w:vAlign w:val="bottom"/>
            <w:hideMark/>
          </w:tcPr>
          <w:p w14:paraId="05405737" w14:textId="77777777" w:rsidR="001E6939" w:rsidRPr="000300B4" w:rsidRDefault="001E6939" w:rsidP="001E6939">
            <w:pPr>
              <w:spacing w:after="0"/>
              <w:rPr>
                <w:rFonts w:ascii="Times New Roman" w:eastAsia="Times New Roman" w:hAnsi="Times New Roman"/>
                <w:sz w:val="20"/>
                <w:szCs w:val="24"/>
                <w:lang w:eastAsia="en-GB"/>
              </w:rPr>
            </w:pPr>
          </w:p>
        </w:tc>
        <w:tc>
          <w:tcPr>
            <w:tcW w:w="23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05E9620" w14:textId="77777777" w:rsidR="001E6939" w:rsidRPr="000300B4" w:rsidRDefault="001E6939" w:rsidP="001E6939">
            <w:pPr>
              <w:spacing w:after="0"/>
              <w:jc w:val="center"/>
              <w:rPr>
                <w:rFonts w:ascii="Calibri" w:eastAsia="Times New Roman" w:hAnsi="Calibri" w:cs="Calibri"/>
                <w:b/>
                <w:bCs/>
                <w:color w:val="FFFFFF"/>
                <w:sz w:val="20"/>
                <w:lang w:eastAsia="en-GB"/>
              </w:rPr>
            </w:pPr>
            <w:r w:rsidRPr="000300B4">
              <w:rPr>
                <w:rFonts w:ascii="Calibri" w:eastAsia="Times New Roman" w:hAnsi="Calibri" w:cs="Calibri"/>
                <w:b/>
                <w:bCs/>
                <w:color w:val="FFFFFF"/>
                <w:sz w:val="20"/>
                <w:lang w:eastAsia="en-GB"/>
              </w:rPr>
              <w:t>Ferry Passengers on Short Sea Routes (000s), Portsmouth</w:t>
            </w:r>
          </w:p>
        </w:tc>
        <w:tc>
          <w:tcPr>
            <w:tcW w:w="23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7B2057F" w14:textId="77777777" w:rsidR="001E6939" w:rsidRPr="000300B4" w:rsidRDefault="001E6939" w:rsidP="001E6939">
            <w:pPr>
              <w:spacing w:after="0"/>
              <w:jc w:val="center"/>
              <w:rPr>
                <w:rFonts w:ascii="Calibri" w:eastAsia="Times New Roman" w:hAnsi="Calibri" w:cs="Calibri"/>
                <w:b/>
                <w:bCs/>
                <w:color w:val="FFFFFF"/>
                <w:sz w:val="20"/>
                <w:lang w:eastAsia="en-GB"/>
              </w:rPr>
            </w:pPr>
            <w:r w:rsidRPr="000300B4">
              <w:rPr>
                <w:rFonts w:ascii="Calibri" w:eastAsia="Times New Roman" w:hAnsi="Calibri" w:cs="Calibri"/>
                <w:b/>
                <w:bCs/>
                <w:color w:val="FFFFFF"/>
                <w:sz w:val="20"/>
                <w:lang w:eastAsia="en-GB"/>
              </w:rPr>
              <w:t>Overseas residents travelling by sea to the UK, average spend per visit, £</w:t>
            </w:r>
          </w:p>
        </w:tc>
        <w:tc>
          <w:tcPr>
            <w:tcW w:w="23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38991A2" w14:textId="77777777" w:rsidR="001E6939" w:rsidRPr="000300B4" w:rsidRDefault="001E6939" w:rsidP="001E6939">
            <w:pPr>
              <w:spacing w:after="0"/>
              <w:jc w:val="center"/>
              <w:rPr>
                <w:rFonts w:ascii="Calibri" w:eastAsia="Times New Roman" w:hAnsi="Calibri" w:cs="Calibri"/>
                <w:b/>
                <w:bCs/>
                <w:color w:val="FFFFFF"/>
                <w:sz w:val="20"/>
                <w:lang w:eastAsia="en-GB"/>
              </w:rPr>
            </w:pPr>
            <w:r w:rsidRPr="000300B4">
              <w:rPr>
                <w:rFonts w:ascii="Calibri" w:eastAsia="Times New Roman" w:hAnsi="Calibri" w:cs="Calibri"/>
                <w:b/>
                <w:bCs/>
                <w:color w:val="FFFFFF"/>
                <w:sz w:val="20"/>
                <w:lang w:eastAsia="en-GB"/>
              </w:rPr>
              <w:t>Inbound tourism value, £m</w:t>
            </w:r>
          </w:p>
        </w:tc>
      </w:tr>
      <w:tr w:rsidR="001E6939" w:rsidRPr="000300B4" w14:paraId="46809DED" w14:textId="77777777" w:rsidTr="001E6939">
        <w:trPr>
          <w:trHeight w:val="357"/>
        </w:trPr>
        <w:tc>
          <w:tcPr>
            <w:tcW w:w="23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03493D2" w14:textId="77777777" w:rsidR="001E6939" w:rsidRPr="000300B4" w:rsidRDefault="001E6939" w:rsidP="001E6939">
            <w:pPr>
              <w:spacing w:after="0"/>
              <w:jc w:val="center"/>
              <w:rPr>
                <w:rFonts w:ascii="Calibri" w:eastAsia="Times New Roman" w:hAnsi="Calibri" w:cs="Calibri"/>
                <w:b/>
                <w:bCs/>
                <w:color w:val="FFFFFF"/>
                <w:sz w:val="20"/>
                <w:lang w:eastAsia="en-GB"/>
              </w:rPr>
            </w:pPr>
            <w:r w:rsidRPr="000300B4">
              <w:rPr>
                <w:rFonts w:ascii="Calibri" w:eastAsia="Times New Roman" w:hAnsi="Calibri" w:cs="Calibri"/>
                <w:b/>
                <w:bCs/>
                <w:color w:val="FFFFFF"/>
                <w:sz w:val="20"/>
                <w:lang w:eastAsia="en-GB"/>
              </w:rPr>
              <w:t>2010</w:t>
            </w:r>
          </w:p>
        </w:tc>
        <w:tc>
          <w:tcPr>
            <w:tcW w:w="2340" w:type="dxa"/>
            <w:tcBorders>
              <w:top w:val="nil"/>
              <w:left w:val="nil"/>
              <w:bottom w:val="single" w:sz="8" w:space="0" w:color="FFFFFF"/>
              <w:right w:val="single" w:sz="8" w:space="0" w:color="FFFFFF"/>
            </w:tcBorders>
            <w:shd w:val="clear" w:color="000000" w:fill="D0CECE"/>
            <w:vAlign w:val="center"/>
            <w:hideMark/>
          </w:tcPr>
          <w:p w14:paraId="1C17A041"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2,212</w:t>
            </w:r>
          </w:p>
        </w:tc>
        <w:tc>
          <w:tcPr>
            <w:tcW w:w="2340" w:type="dxa"/>
            <w:tcBorders>
              <w:top w:val="nil"/>
              <w:left w:val="nil"/>
              <w:bottom w:val="single" w:sz="8" w:space="0" w:color="FFFFFF"/>
              <w:right w:val="single" w:sz="8" w:space="0" w:color="FFFFFF"/>
            </w:tcBorders>
            <w:shd w:val="clear" w:color="000000" w:fill="D0CECE"/>
            <w:vAlign w:val="center"/>
            <w:hideMark/>
          </w:tcPr>
          <w:p w14:paraId="516BA398"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358</w:t>
            </w:r>
          </w:p>
        </w:tc>
        <w:tc>
          <w:tcPr>
            <w:tcW w:w="2340" w:type="dxa"/>
            <w:tcBorders>
              <w:top w:val="nil"/>
              <w:left w:val="nil"/>
              <w:bottom w:val="single" w:sz="8" w:space="0" w:color="FFFFFF"/>
              <w:right w:val="single" w:sz="8" w:space="0" w:color="FFFFFF"/>
            </w:tcBorders>
            <w:shd w:val="clear" w:color="000000" w:fill="D0CECE"/>
            <w:vAlign w:val="center"/>
            <w:hideMark/>
          </w:tcPr>
          <w:p w14:paraId="296FF116"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791</w:t>
            </w:r>
          </w:p>
        </w:tc>
      </w:tr>
      <w:tr w:rsidR="001E6939" w:rsidRPr="000300B4" w14:paraId="6029054C" w14:textId="77777777" w:rsidTr="001E6939">
        <w:trPr>
          <w:trHeight w:val="357"/>
        </w:trPr>
        <w:tc>
          <w:tcPr>
            <w:tcW w:w="23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F376B22" w14:textId="77777777" w:rsidR="001E6939" w:rsidRPr="000300B4" w:rsidRDefault="001E6939" w:rsidP="001E6939">
            <w:pPr>
              <w:spacing w:after="0"/>
              <w:jc w:val="center"/>
              <w:rPr>
                <w:rFonts w:ascii="Calibri" w:eastAsia="Times New Roman" w:hAnsi="Calibri" w:cs="Calibri"/>
                <w:b/>
                <w:bCs/>
                <w:color w:val="FFFFFF"/>
                <w:sz w:val="20"/>
                <w:lang w:eastAsia="en-GB"/>
              </w:rPr>
            </w:pPr>
            <w:r w:rsidRPr="000300B4">
              <w:rPr>
                <w:rFonts w:ascii="Calibri" w:eastAsia="Times New Roman" w:hAnsi="Calibri" w:cs="Calibri"/>
                <w:b/>
                <w:bCs/>
                <w:color w:val="FFFFFF"/>
                <w:sz w:val="20"/>
                <w:lang w:eastAsia="en-GB"/>
              </w:rPr>
              <w:t>2011</w:t>
            </w:r>
          </w:p>
        </w:tc>
        <w:tc>
          <w:tcPr>
            <w:tcW w:w="2340" w:type="dxa"/>
            <w:tcBorders>
              <w:top w:val="nil"/>
              <w:left w:val="nil"/>
              <w:bottom w:val="single" w:sz="8" w:space="0" w:color="FFFFFF"/>
              <w:right w:val="single" w:sz="8" w:space="0" w:color="FFFFFF"/>
            </w:tcBorders>
            <w:shd w:val="clear" w:color="000000" w:fill="E7EEEF"/>
            <w:vAlign w:val="center"/>
            <w:hideMark/>
          </w:tcPr>
          <w:p w14:paraId="1C15CF9F"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2,065</w:t>
            </w:r>
          </w:p>
        </w:tc>
        <w:tc>
          <w:tcPr>
            <w:tcW w:w="2340" w:type="dxa"/>
            <w:tcBorders>
              <w:top w:val="nil"/>
              <w:left w:val="nil"/>
              <w:bottom w:val="single" w:sz="8" w:space="0" w:color="FFFFFF"/>
              <w:right w:val="single" w:sz="8" w:space="0" w:color="FFFFFF"/>
            </w:tcBorders>
            <w:shd w:val="clear" w:color="000000" w:fill="E7EEEF"/>
            <w:vAlign w:val="center"/>
            <w:hideMark/>
          </w:tcPr>
          <w:p w14:paraId="0BCAB931"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352</w:t>
            </w:r>
          </w:p>
        </w:tc>
        <w:tc>
          <w:tcPr>
            <w:tcW w:w="2340" w:type="dxa"/>
            <w:tcBorders>
              <w:top w:val="nil"/>
              <w:left w:val="nil"/>
              <w:bottom w:val="single" w:sz="8" w:space="0" w:color="FFFFFF"/>
              <w:right w:val="single" w:sz="8" w:space="0" w:color="FFFFFF"/>
            </w:tcBorders>
            <w:shd w:val="clear" w:color="000000" w:fill="E7EEEF"/>
            <w:vAlign w:val="center"/>
            <w:hideMark/>
          </w:tcPr>
          <w:p w14:paraId="7B2F49A4"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727</w:t>
            </w:r>
          </w:p>
        </w:tc>
      </w:tr>
      <w:tr w:rsidR="001E6939" w:rsidRPr="000300B4" w14:paraId="304FA9DB" w14:textId="77777777" w:rsidTr="001E6939">
        <w:trPr>
          <w:trHeight w:val="357"/>
        </w:trPr>
        <w:tc>
          <w:tcPr>
            <w:tcW w:w="23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0BD2408" w14:textId="77777777" w:rsidR="001E6939" w:rsidRPr="000300B4" w:rsidRDefault="001E6939" w:rsidP="001E6939">
            <w:pPr>
              <w:spacing w:after="0"/>
              <w:jc w:val="center"/>
              <w:rPr>
                <w:rFonts w:ascii="Calibri" w:eastAsia="Times New Roman" w:hAnsi="Calibri" w:cs="Calibri"/>
                <w:b/>
                <w:bCs/>
                <w:color w:val="FFFFFF"/>
                <w:sz w:val="20"/>
                <w:lang w:eastAsia="en-GB"/>
              </w:rPr>
            </w:pPr>
            <w:r w:rsidRPr="000300B4">
              <w:rPr>
                <w:rFonts w:ascii="Calibri" w:eastAsia="Times New Roman" w:hAnsi="Calibri" w:cs="Calibri"/>
                <w:b/>
                <w:bCs/>
                <w:color w:val="FFFFFF"/>
                <w:sz w:val="20"/>
                <w:lang w:eastAsia="en-GB"/>
              </w:rPr>
              <w:t>2012</w:t>
            </w:r>
          </w:p>
        </w:tc>
        <w:tc>
          <w:tcPr>
            <w:tcW w:w="2340" w:type="dxa"/>
            <w:tcBorders>
              <w:top w:val="nil"/>
              <w:left w:val="nil"/>
              <w:bottom w:val="single" w:sz="8" w:space="0" w:color="FFFFFF"/>
              <w:right w:val="single" w:sz="8" w:space="0" w:color="FFFFFF"/>
            </w:tcBorders>
            <w:shd w:val="clear" w:color="000000" w:fill="D0CECE"/>
            <w:vAlign w:val="center"/>
            <w:hideMark/>
          </w:tcPr>
          <w:p w14:paraId="131BFE35"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1,880</w:t>
            </w:r>
          </w:p>
        </w:tc>
        <w:tc>
          <w:tcPr>
            <w:tcW w:w="2340" w:type="dxa"/>
            <w:tcBorders>
              <w:top w:val="nil"/>
              <w:left w:val="nil"/>
              <w:bottom w:val="single" w:sz="8" w:space="0" w:color="FFFFFF"/>
              <w:right w:val="single" w:sz="8" w:space="0" w:color="FFFFFF"/>
            </w:tcBorders>
            <w:shd w:val="clear" w:color="000000" w:fill="D0CECE"/>
            <w:vAlign w:val="center"/>
            <w:hideMark/>
          </w:tcPr>
          <w:p w14:paraId="33F3ECAE"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344</w:t>
            </w:r>
          </w:p>
        </w:tc>
        <w:tc>
          <w:tcPr>
            <w:tcW w:w="2340" w:type="dxa"/>
            <w:tcBorders>
              <w:top w:val="nil"/>
              <w:left w:val="nil"/>
              <w:bottom w:val="single" w:sz="8" w:space="0" w:color="FFFFFF"/>
              <w:right w:val="single" w:sz="8" w:space="0" w:color="FFFFFF"/>
            </w:tcBorders>
            <w:shd w:val="clear" w:color="000000" w:fill="D0CECE"/>
            <w:vAlign w:val="center"/>
            <w:hideMark/>
          </w:tcPr>
          <w:p w14:paraId="2FCB963F"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647</w:t>
            </w:r>
          </w:p>
        </w:tc>
      </w:tr>
      <w:tr w:rsidR="001E6939" w:rsidRPr="000300B4" w14:paraId="40C01DA3" w14:textId="77777777" w:rsidTr="001E6939">
        <w:trPr>
          <w:trHeight w:val="357"/>
        </w:trPr>
        <w:tc>
          <w:tcPr>
            <w:tcW w:w="23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B340E85" w14:textId="77777777" w:rsidR="001E6939" w:rsidRPr="000300B4" w:rsidRDefault="001E6939" w:rsidP="001E6939">
            <w:pPr>
              <w:spacing w:after="0"/>
              <w:jc w:val="center"/>
              <w:rPr>
                <w:rFonts w:ascii="Calibri" w:eastAsia="Times New Roman" w:hAnsi="Calibri" w:cs="Calibri"/>
                <w:b/>
                <w:bCs/>
                <w:color w:val="FFFFFF"/>
                <w:sz w:val="20"/>
                <w:lang w:eastAsia="en-GB"/>
              </w:rPr>
            </w:pPr>
            <w:r w:rsidRPr="000300B4">
              <w:rPr>
                <w:rFonts w:ascii="Calibri" w:eastAsia="Times New Roman" w:hAnsi="Calibri" w:cs="Calibri"/>
                <w:b/>
                <w:bCs/>
                <w:color w:val="FFFFFF"/>
                <w:sz w:val="20"/>
                <w:lang w:eastAsia="en-GB"/>
              </w:rPr>
              <w:t>2013</w:t>
            </w:r>
          </w:p>
        </w:tc>
        <w:tc>
          <w:tcPr>
            <w:tcW w:w="2340" w:type="dxa"/>
            <w:tcBorders>
              <w:top w:val="nil"/>
              <w:left w:val="nil"/>
              <w:bottom w:val="single" w:sz="8" w:space="0" w:color="FFFFFF"/>
              <w:right w:val="single" w:sz="8" w:space="0" w:color="FFFFFF"/>
            </w:tcBorders>
            <w:shd w:val="clear" w:color="000000" w:fill="E7EEEF"/>
            <w:vAlign w:val="center"/>
            <w:hideMark/>
          </w:tcPr>
          <w:p w14:paraId="171E0DF6"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1,871</w:t>
            </w:r>
          </w:p>
        </w:tc>
        <w:tc>
          <w:tcPr>
            <w:tcW w:w="2340" w:type="dxa"/>
            <w:tcBorders>
              <w:top w:val="nil"/>
              <w:left w:val="nil"/>
              <w:bottom w:val="single" w:sz="8" w:space="0" w:color="FFFFFF"/>
              <w:right w:val="single" w:sz="8" w:space="0" w:color="FFFFFF"/>
            </w:tcBorders>
            <w:shd w:val="clear" w:color="000000" w:fill="E7EEEF"/>
            <w:vAlign w:val="center"/>
            <w:hideMark/>
          </w:tcPr>
          <w:p w14:paraId="770A63C4"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351</w:t>
            </w:r>
          </w:p>
        </w:tc>
        <w:tc>
          <w:tcPr>
            <w:tcW w:w="2340" w:type="dxa"/>
            <w:tcBorders>
              <w:top w:val="nil"/>
              <w:left w:val="nil"/>
              <w:bottom w:val="single" w:sz="8" w:space="0" w:color="FFFFFF"/>
              <w:right w:val="single" w:sz="8" w:space="0" w:color="FFFFFF"/>
            </w:tcBorders>
            <w:shd w:val="clear" w:color="000000" w:fill="E7EEEF"/>
            <w:vAlign w:val="center"/>
            <w:hideMark/>
          </w:tcPr>
          <w:p w14:paraId="64A24864"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657</w:t>
            </w:r>
          </w:p>
        </w:tc>
      </w:tr>
      <w:tr w:rsidR="001E6939" w:rsidRPr="000300B4" w14:paraId="41C19B85" w14:textId="77777777" w:rsidTr="001E6939">
        <w:trPr>
          <w:trHeight w:val="357"/>
        </w:trPr>
        <w:tc>
          <w:tcPr>
            <w:tcW w:w="23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53DD2FA" w14:textId="77777777" w:rsidR="001E6939" w:rsidRPr="000300B4" w:rsidRDefault="001E6939" w:rsidP="001E6939">
            <w:pPr>
              <w:spacing w:after="0"/>
              <w:jc w:val="center"/>
              <w:rPr>
                <w:rFonts w:ascii="Calibri" w:eastAsia="Times New Roman" w:hAnsi="Calibri" w:cs="Calibri"/>
                <w:b/>
                <w:bCs/>
                <w:color w:val="FFFFFF"/>
                <w:sz w:val="20"/>
                <w:lang w:eastAsia="en-GB"/>
              </w:rPr>
            </w:pPr>
            <w:r w:rsidRPr="000300B4">
              <w:rPr>
                <w:rFonts w:ascii="Calibri" w:eastAsia="Times New Roman" w:hAnsi="Calibri" w:cs="Calibri"/>
                <w:b/>
                <w:bCs/>
                <w:color w:val="FFFFFF"/>
                <w:sz w:val="20"/>
                <w:lang w:eastAsia="en-GB"/>
              </w:rPr>
              <w:t>2014</w:t>
            </w:r>
          </w:p>
        </w:tc>
        <w:tc>
          <w:tcPr>
            <w:tcW w:w="2340" w:type="dxa"/>
            <w:tcBorders>
              <w:top w:val="nil"/>
              <w:left w:val="nil"/>
              <w:bottom w:val="single" w:sz="8" w:space="0" w:color="FFFFFF"/>
              <w:right w:val="single" w:sz="8" w:space="0" w:color="FFFFFF"/>
            </w:tcBorders>
            <w:shd w:val="clear" w:color="000000" w:fill="D0CECE"/>
            <w:vAlign w:val="center"/>
            <w:hideMark/>
          </w:tcPr>
          <w:p w14:paraId="4FD395B7"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1,913</w:t>
            </w:r>
          </w:p>
        </w:tc>
        <w:tc>
          <w:tcPr>
            <w:tcW w:w="2340" w:type="dxa"/>
            <w:tcBorders>
              <w:top w:val="nil"/>
              <w:left w:val="nil"/>
              <w:bottom w:val="single" w:sz="8" w:space="0" w:color="FFFFFF"/>
              <w:right w:val="single" w:sz="8" w:space="0" w:color="FFFFFF"/>
            </w:tcBorders>
            <w:shd w:val="clear" w:color="000000" w:fill="D0CECE"/>
            <w:vAlign w:val="center"/>
            <w:hideMark/>
          </w:tcPr>
          <w:p w14:paraId="03235F9B"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353</w:t>
            </w:r>
          </w:p>
        </w:tc>
        <w:tc>
          <w:tcPr>
            <w:tcW w:w="2340" w:type="dxa"/>
            <w:tcBorders>
              <w:top w:val="nil"/>
              <w:left w:val="nil"/>
              <w:bottom w:val="single" w:sz="8" w:space="0" w:color="FFFFFF"/>
              <w:right w:val="single" w:sz="8" w:space="0" w:color="FFFFFF"/>
            </w:tcBorders>
            <w:shd w:val="clear" w:color="000000" w:fill="D0CECE"/>
            <w:vAlign w:val="center"/>
            <w:hideMark/>
          </w:tcPr>
          <w:p w14:paraId="7F1773C7"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676</w:t>
            </w:r>
          </w:p>
        </w:tc>
      </w:tr>
      <w:tr w:rsidR="001E6939" w:rsidRPr="000300B4" w14:paraId="19EE7FB5" w14:textId="77777777" w:rsidTr="001E6939">
        <w:trPr>
          <w:trHeight w:val="357"/>
        </w:trPr>
        <w:tc>
          <w:tcPr>
            <w:tcW w:w="23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B782265" w14:textId="77777777" w:rsidR="001E6939" w:rsidRPr="000300B4" w:rsidRDefault="001E6939" w:rsidP="001E6939">
            <w:pPr>
              <w:spacing w:after="0"/>
              <w:jc w:val="center"/>
              <w:rPr>
                <w:rFonts w:ascii="Calibri" w:eastAsia="Times New Roman" w:hAnsi="Calibri" w:cs="Calibri"/>
                <w:b/>
                <w:bCs/>
                <w:color w:val="FFFFFF"/>
                <w:sz w:val="20"/>
                <w:lang w:eastAsia="en-GB"/>
              </w:rPr>
            </w:pPr>
            <w:r w:rsidRPr="000300B4">
              <w:rPr>
                <w:rFonts w:ascii="Calibri" w:eastAsia="Times New Roman" w:hAnsi="Calibri" w:cs="Calibri"/>
                <w:b/>
                <w:bCs/>
                <w:color w:val="FFFFFF"/>
                <w:sz w:val="20"/>
                <w:lang w:eastAsia="en-GB"/>
              </w:rPr>
              <w:t>2015</w:t>
            </w:r>
          </w:p>
        </w:tc>
        <w:tc>
          <w:tcPr>
            <w:tcW w:w="2340" w:type="dxa"/>
            <w:tcBorders>
              <w:top w:val="nil"/>
              <w:left w:val="nil"/>
              <w:bottom w:val="single" w:sz="8" w:space="0" w:color="FFFFFF"/>
              <w:right w:val="single" w:sz="8" w:space="0" w:color="FFFFFF"/>
            </w:tcBorders>
            <w:shd w:val="clear" w:color="000000" w:fill="E7EEEF"/>
            <w:vAlign w:val="center"/>
            <w:hideMark/>
          </w:tcPr>
          <w:p w14:paraId="0ACC57CF"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1,896</w:t>
            </w:r>
          </w:p>
        </w:tc>
        <w:tc>
          <w:tcPr>
            <w:tcW w:w="2340" w:type="dxa"/>
            <w:tcBorders>
              <w:top w:val="nil"/>
              <w:left w:val="nil"/>
              <w:bottom w:val="single" w:sz="8" w:space="0" w:color="FFFFFF"/>
              <w:right w:val="single" w:sz="8" w:space="0" w:color="FFFFFF"/>
            </w:tcBorders>
            <w:shd w:val="clear" w:color="000000" w:fill="E7EEEF"/>
            <w:vAlign w:val="center"/>
            <w:hideMark/>
          </w:tcPr>
          <w:p w14:paraId="5C514EE1"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323</w:t>
            </w:r>
          </w:p>
        </w:tc>
        <w:tc>
          <w:tcPr>
            <w:tcW w:w="2340" w:type="dxa"/>
            <w:tcBorders>
              <w:top w:val="nil"/>
              <w:left w:val="nil"/>
              <w:bottom w:val="single" w:sz="8" w:space="0" w:color="FFFFFF"/>
              <w:right w:val="single" w:sz="8" w:space="0" w:color="FFFFFF"/>
            </w:tcBorders>
            <w:shd w:val="clear" w:color="000000" w:fill="E7EEEF"/>
            <w:vAlign w:val="center"/>
            <w:hideMark/>
          </w:tcPr>
          <w:p w14:paraId="364BEDCC"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612</w:t>
            </w:r>
          </w:p>
        </w:tc>
      </w:tr>
      <w:tr w:rsidR="001E6939" w:rsidRPr="000300B4" w14:paraId="3B499C69" w14:textId="77777777" w:rsidTr="001E6939">
        <w:trPr>
          <w:trHeight w:val="357"/>
        </w:trPr>
        <w:tc>
          <w:tcPr>
            <w:tcW w:w="23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DA5F900" w14:textId="77777777" w:rsidR="001E6939" w:rsidRPr="000300B4" w:rsidRDefault="001E6939" w:rsidP="001E6939">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 xml:space="preserve"> </w:t>
            </w:r>
            <w:r w:rsidRPr="000300B4">
              <w:rPr>
                <w:rFonts w:ascii="Calibri" w:eastAsia="Times New Roman" w:hAnsi="Calibri" w:cs="Calibri"/>
                <w:b/>
                <w:bCs/>
                <w:color w:val="FFFFFF"/>
                <w:sz w:val="20"/>
                <w:lang w:eastAsia="en-GB"/>
              </w:rPr>
              <w:t>2016</w:t>
            </w:r>
          </w:p>
        </w:tc>
        <w:tc>
          <w:tcPr>
            <w:tcW w:w="2340" w:type="dxa"/>
            <w:tcBorders>
              <w:top w:val="nil"/>
              <w:left w:val="nil"/>
              <w:bottom w:val="single" w:sz="8" w:space="0" w:color="FFFFFF"/>
              <w:right w:val="single" w:sz="8" w:space="0" w:color="FFFFFF"/>
            </w:tcBorders>
            <w:shd w:val="clear" w:color="000000" w:fill="D0CECE"/>
            <w:vAlign w:val="center"/>
            <w:hideMark/>
          </w:tcPr>
          <w:p w14:paraId="134E6253"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1,920</w:t>
            </w:r>
          </w:p>
        </w:tc>
        <w:tc>
          <w:tcPr>
            <w:tcW w:w="2340" w:type="dxa"/>
            <w:tcBorders>
              <w:top w:val="nil"/>
              <w:left w:val="nil"/>
              <w:bottom w:val="single" w:sz="8" w:space="0" w:color="FFFFFF"/>
              <w:right w:val="single" w:sz="8" w:space="0" w:color="FFFFFF"/>
            </w:tcBorders>
            <w:shd w:val="clear" w:color="000000" w:fill="D0CECE"/>
            <w:vAlign w:val="center"/>
            <w:hideMark/>
          </w:tcPr>
          <w:p w14:paraId="411EBE3A"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305</w:t>
            </w:r>
          </w:p>
        </w:tc>
        <w:tc>
          <w:tcPr>
            <w:tcW w:w="2340" w:type="dxa"/>
            <w:tcBorders>
              <w:top w:val="nil"/>
              <w:left w:val="nil"/>
              <w:bottom w:val="single" w:sz="8" w:space="0" w:color="FFFFFF"/>
              <w:right w:val="single" w:sz="8" w:space="0" w:color="FFFFFF"/>
            </w:tcBorders>
            <w:shd w:val="clear" w:color="000000" w:fill="D0CECE"/>
            <w:vAlign w:val="center"/>
            <w:hideMark/>
          </w:tcPr>
          <w:p w14:paraId="53749A20"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586</w:t>
            </w:r>
          </w:p>
        </w:tc>
      </w:tr>
      <w:tr w:rsidR="001E6939" w:rsidRPr="000300B4" w14:paraId="1FFD91BE" w14:textId="77777777" w:rsidTr="001E6939">
        <w:trPr>
          <w:trHeight w:val="357"/>
        </w:trPr>
        <w:tc>
          <w:tcPr>
            <w:tcW w:w="23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202395F" w14:textId="77777777" w:rsidR="001E6939" w:rsidRPr="000300B4" w:rsidRDefault="001E6939" w:rsidP="001E6939">
            <w:pPr>
              <w:spacing w:after="0"/>
              <w:jc w:val="center"/>
              <w:rPr>
                <w:rFonts w:ascii="Calibri" w:eastAsia="Times New Roman" w:hAnsi="Calibri" w:cs="Calibri"/>
                <w:b/>
                <w:bCs/>
                <w:color w:val="FFFFFF"/>
                <w:sz w:val="20"/>
                <w:lang w:eastAsia="en-GB"/>
              </w:rPr>
            </w:pPr>
            <w:r w:rsidRPr="000300B4">
              <w:rPr>
                <w:rFonts w:ascii="Calibri" w:eastAsia="Times New Roman" w:hAnsi="Calibri" w:cs="Calibri"/>
                <w:b/>
                <w:bCs/>
                <w:color w:val="FFFFFF"/>
                <w:sz w:val="20"/>
                <w:lang w:eastAsia="en-GB"/>
              </w:rPr>
              <w:t>2017</w:t>
            </w:r>
          </w:p>
        </w:tc>
        <w:tc>
          <w:tcPr>
            <w:tcW w:w="2340" w:type="dxa"/>
            <w:tcBorders>
              <w:top w:val="nil"/>
              <w:left w:val="nil"/>
              <w:bottom w:val="single" w:sz="8" w:space="0" w:color="FFFFFF"/>
              <w:right w:val="single" w:sz="8" w:space="0" w:color="FFFFFF"/>
            </w:tcBorders>
            <w:shd w:val="clear" w:color="000000" w:fill="E7EEEF"/>
            <w:vAlign w:val="center"/>
            <w:hideMark/>
          </w:tcPr>
          <w:p w14:paraId="7A5FA117"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1,845</w:t>
            </w:r>
          </w:p>
        </w:tc>
        <w:tc>
          <w:tcPr>
            <w:tcW w:w="2340" w:type="dxa"/>
            <w:tcBorders>
              <w:top w:val="nil"/>
              <w:left w:val="nil"/>
              <w:bottom w:val="single" w:sz="8" w:space="0" w:color="FFFFFF"/>
              <w:right w:val="single" w:sz="8" w:space="0" w:color="FFFFFF"/>
            </w:tcBorders>
            <w:shd w:val="clear" w:color="000000" w:fill="E7EEEF"/>
            <w:vAlign w:val="center"/>
            <w:hideMark/>
          </w:tcPr>
          <w:p w14:paraId="41B3D64F"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297</w:t>
            </w:r>
          </w:p>
        </w:tc>
        <w:tc>
          <w:tcPr>
            <w:tcW w:w="2340" w:type="dxa"/>
            <w:tcBorders>
              <w:top w:val="nil"/>
              <w:left w:val="nil"/>
              <w:bottom w:val="single" w:sz="8" w:space="0" w:color="FFFFFF"/>
              <w:right w:val="single" w:sz="8" w:space="0" w:color="FFFFFF"/>
            </w:tcBorders>
            <w:shd w:val="clear" w:color="000000" w:fill="E7EEEF"/>
            <w:vAlign w:val="center"/>
            <w:hideMark/>
          </w:tcPr>
          <w:p w14:paraId="2B315E5B" w14:textId="77777777" w:rsidR="001E6939" w:rsidRPr="000300B4" w:rsidRDefault="001E6939" w:rsidP="001E6939">
            <w:pPr>
              <w:spacing w:after="0"/>
              <w:jc w:val="center"/>
              <w:rPr>
                <w:rFonts w:ascii="Calibri" w:eastAsia="Times New Roman" w:hAnsi="Calibri" w:cs="Calibri"/>
                <w:color w:val="000000"/>
                <w:sz w:val="20"/>
                <w:lang w:eastAsia="en-GB"/>
              </w:rPr>
            </w:pPr>
            <w:r w:rsidRPr="000300B4">
              <w:rPr>
                <w:rFonts w:ascii="Calibri" w:eastAsia="Times New Roman" w:hAnsi="Calibri" w:cs="Calibri"/>
                <w:color w:val="000000"/>
                <w:sz w:val="20"/>
                <w:lang w:eastAsia="en-GB"/>
              </w:rPr>
              <w:t>549</w:t>
            </w:r>
          </w:p>
        </w:tc>
      </w:tr>
    </w:tbl>
    <w:p w14:paraId="5DCCE0D7" w14:textId="77777777" w:rsidR="001E6939" w:rsidRDefault="001E6939" w:rsidP="001E6939">
      <w:pPr>
        <w:jc w:val="right"/>
        <w:rPr>
          <w:i/>
          <w:sz w:val="18"/>
        </w:rPr>
      </w:pPr>
      <w:r>
        <w:rPr>
          <w:i/>
          <w:sz w:val="18"/>
        </w:rPr>
        <w:t>Source: ONS, Department for Transport, Cebr analysis</w:t>
      </w:r>
    </w:p>
    <w:p w14:paraId="17DA8880" w14:textId="77777777" w:rsidR="001E6939" w:rsidRDefault="001E6939" w:rsidP="00DE3B79">
      <w:r>
        <w:t>Worth bringing attention to is Southampton’s importance as a cruise hub for the UK. The value of this is captured under the ‘Shipping’ category however, the scale of facilitation is still worth highlighting.</w:t>
      </w:r>
    </w:p>
    <w:p w14:paraId="35B35BA9" w14:textId="6C9641BC" w:rsidR="001E6939" w:rsidRDefault="001E6939" w:rsidP="00DE3B79">
      <w:r>
        <w:fldChar w:fldCharType="begin"/>
      </w:r>
      <w:r>
        <w:instrText xml:space="preserve"> REF _Ref15308917 \h </w:instrText>
      </w:r>
      <w:r w:rsidR="00DE3B79">
        <w:instrText xml:space="preserve"> \* MERGEFORMAT </w:instrText>
      </w:r>
      <w:r>
        <w:fldChar w:fldCharType="separate"/>
      </w:r>
      <w:r w:rsidR="00D17FEA">
        <w:t xml:space="preserve">Figure </w:t>
      </w:r>
      <w:r w:rsidR="00D17FEA">
        <w:rPr>
          <w:noProof/>
        </w:rPr>
        <w:t>12</w:t>
      </w:r>
      <w:r>
        <w:fldChar w:fldCharType="end"/>
      </w:r>
      <w:r>
        <w:t xml:space="preserve"> below illustrates both the Solent share of international passenger movements relative to the total level of international passenger movements at UK ports; and the percentage share of total international cruise passengers that can be attributed to Southampton port.  As is clearly illustrated, the Solent share of international passengers at UK Ports has increased markedly over the period 2000 to 2017; from 12% to 16%.  Similarly, the Southampton share of international cruise passengers has grown from 61% to 86%. These trajectories are indicative of the importance of the Solent maritime sector as a gateway for international tourism.</w:t>
      </w:r>
    </w:p>
    <w:p w14:paraId="1F16946B" w14:textId="7B0E4FA2" w:rsidR="001E6939" w:rsidRPr="00C64788" w:rsidRDefault="001E6939" w:rsidP="00DE3B79">
      <w:pPr>
        <w:rPr>
          <w:color w:val="FF0000"/>
        </w:rPr>
      </w:pPr>
      <w:r>
        <w:t xml:space="preserve">Part of the reason that Southampton is so important for the UK cruise industry is because Carnival Cruises has their head office in the Solent. As well as this, Southampton is the only port P&amp;O Cruises and Cunard operate out of in the UK – two of the major cruise companies in the UK. Southampton through P&amp;O and </w:t>
      </w:r>
      <w:r>
        <w:lastRenderedPageBreak/>
        <w:t>Cunard serve cruises to the Mediterranean, the Caribbean, the Baltic, the Canary Islands and the Norwegian Fjords.</w:t>
      </w:r>
      <w:r>
        <w:rPr>
          <w:rStyle w:val="FootnoteReference"/>
        </w:rPr>
        <w:footnoteReference w:id="20"/>
      </w:r>
    </w:p>
    <w:p w14:paraId="4EECCEC4" w14:textId="77777777" w:rsidR="001E6939" w:rsidRDefault="001E6939" w:rsidP="001E6939">
      <w:pPr>
        <w:pStyle w:val="Caption"/>
      </w:pPr>
      <w:bookmarkStart w:id="73" w:name="_Ref15308917"/>
      <w:r>
        <w:t xml:space="preserve">Figure </w:t>
      </w:r>
      <w:r>
        <w:rPr>
          <w:noProof/>
        </w:rPr>
        <w:fldChar w:fldCharType="begin"/>
      </w:r>
      <w:r>
        <w:rPr>
          <w:noProof/>
        </w:rPr>
        <w:instrText xml:space="preserve"> SEQ Figure \* ARABIC </w:instrText>
      </w:r>
      <w:r>
        <w:rPr>
          <w:noProof/>
        </w:rPr>
        <w:fldChar w:fldCharType="separate"/>
      </w:r>
      <w:r w:rsidR="00D17FEA">
        <w:rPr>
          <w:noProof/>
        </w:rPr>
        <w:t>12</w:t>
      </w:r>
      <w:r>
        <w:rPr>
          <w:noProof/>
        </w:rPr>
        <w:fldChar w:fldCharType="end"/>
      </w:r>
      <w:bookmarkEnd w:id="73"/>
      <w:r>
        <w:t>: The Solent’s share of international passenger movements and Southampton’s share of the cruise market</w:t>
      </w:r>
    </w:p>
    <w:p w14:paraId="6DC512F0" w14:textId="77777777" w:rsidR="001E6939" w:rsidRDefault="001E6939" w:rsidP="001E6939">
      <w:pPr>
        <w:jc w:val="right"/>
        <w:rPr>
          <w:i/>
          <w:sz w:val="18"/>
        </w:rPr>
      </w:pPr>
      <w:r>
        <w:rPr>
          <w:noProof/>
          <w:lang w:eastAsia="en-GB"/>
        </w:rPr>
        <w:drawing>
          <wp:inline distT="0" distB="0" distL="0" distR="0" wp14:anchorId="2A76199C" wp14:editId="76417F9C">
            <wp:extent cx="5976620" cy="3164205"/>
            <wp:effectExtent l="0" t="0" r="508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7463F2" w14:textId="77777777" w:rsidR="001E6939" w:rsidRDefault="001E6939" w:rsidP="001E6939">
      <w:pPr>
        <w:jc w:val="right"/>
        <w:rPr>
          <w:i/>
          <w:sz w:val="18"/>
        </w:rPr>
      </w:pPr>
      <w:r>
        <w:rPr>
          <w:i/>
          <w:sz w:val="18"/>
        </w:rPr>
        <w:t>Source: Department for Transport, Cebr analysis</w:t>
      </w:r>
    </w:p>
    <w:p w14:paraId="582AFDF9" w14:textId="77777777" w:rsidR="001E6939" w:rsidRDefault="001E6939" w:rsidP="001E6939">
      <w:pPr>
        <w:pStyle w:val="Heading2"/>
      </w:pPr>
      <w:bookmarkStart w:id="74" w:name="_Toc15987488"/>
      <w:bookmarkStart w:id="75" w:name="_Toc20139737"/>
      <w:r>
        <w:t>The Solent’s facilitation of oil refinement</w:t>
      </w:r>
      <w:bookmarkEnd w:id="74"/>
      <w:bookmarkEnd w:id="75"/>
    </w:p>
    <w:p w14:paraId="045E291B" w14:textId="77777777" w:rsidR="001E6939" w:rsidRDefault="001E6939" w:rsidP="00DE3B79">
      <w:r>
        <w:t xml:space="preserve">Southampton houses a large oil refinery, owned by Exxon Mobil, which directly benefits from the ports infrastructure. It is the idea that the refinery benefits from being located within the Southampton Port as it minimises the costs associated with transporting the oil to be refined. The refinery effectively can take the product directly off oil tankers for refinement instead of relying on additional transport networks in the UK. </w:t>
      </w:r>
    </w:p>
    <w:p w14:paraId="2B5B96A6" w14:textId="77777777" w:rsidR="001E6939" w:rsidRDefault="001E6939" w:rsidP="00DE3B79">
      <w:r>
        <w:t xml:space="preserve">To calculate the Solent’s facilitation of the Standard Industrial Classification (SIC) code 19.2: ‘Manufacture of coke and refined petroleum’, we used a combination of the Office for National Statistics’ (ONS) Annual Business Survey (ABS) data and ONS’ Business Register and Employment Survey (BRES) data. The ABS provides information of GVA of the SIC code 19.2 for the whole UK by year. BRES provides data on employment numbers for the SIC code 19.2 in the UK and also by regions i.e. the Solent. </w:t>
      </w:r>
    </w:p>
    <w:p w14:paraId="73AF2DBA" w14:textId="77777777" w:rsidR="001E6939" w:rsidRDefault="001E6939" w:rsidP="00DE3B79">
      <w:r>
        <w:t xml:space="preserve">We have assumed that the number of employees is a good proxy for value creating and activities within the SIC code 19.2. As such, using the proportion of the Solent employees within oil refinement to the UK level, we can derive the GVA for each year for the Solent region. Although attributable to the whole Solent region, it is likely that the vast majority of this value creation is from the Southampton Port given the scale of Exxon Mobil’s operations. </w:t>
      </w:r>
    </w:p>
    <w:p w14:paraId="227A2717" w14:textId="0937ADFC" w:rsidR="001E6939" w:rsidRDefault="001E6939" w:rsidP="00DE3B79">
      <w:r>
        <w:fldChar w:fldCharType="begin"/>
      </w:r>
      <w:r>
        <w:instrText xml:space="preserve"> REF _Ref15371127 \h </w:instrText>
      </w:r>
      <w:r w:rsidR="00DE3B79">
        <w:instrText xml:space="preserve"> \* MERGEFORMAT </w:instrText>
      </w:r>
      <w:r>
        <w:fldChar w:fldCharType="separate"/>
      </w:r>
      <w:r w:rsidR="00D17FEA">
        <w:t xml:space="preserve">Table </w:t>
      </w:r>
      <w:r w:rsidR="00D17FEA">
        <w:rPr>
          <w:noProof/>
        </w:rPr>
        <w:t>12</w:t>
      </w:r>
      <w:r>
        <w:fldChar w:fldCharType="end"/>
      </w:r>
      <w:r>
        <w:t xml:space="preserve"> outlines both the UK and the Solent GVA for the SIC code 19.2 ‘Manufacture of coke and refined petroleum’. It is clear that the Solent is very important for the UK oil industry given that in 2017, 9% of total GVA was created there. There appears to be a significant declining trend in the Solent’s importance for oil refinement; the Solent in 2010 facilitated 17% of total GVA created for SIC code 19.2, compared to 9% in 2017.</w:t>
      </w:r>
    </w:p>
    <w:p w14:paraId="29A37BCB" w14:textId="6F1205AA" w:rsidR="001E6939" w:rsidRDefault="001E6939" w:rsidP="00DE3B79">
      <w:r>
        <w:lastRenderedPageBreak/>
        <w:t xml:space="preserve">This declining trend is driven by the ONS’ BRES data on employment. In 2010, BRES estimated 1,500 employees in the Solent working within the SIC code 19.2. By 2017, this estimate had fallen to only 800 indicating a shrinking industry within the Solent region. </w:t>
      </w:r>
    </w:p>
    <w:p w14:paraId="5B2DE90E" w14:textId="2E4AD26C" w:rsidR="003821E9" w:rsidRDefault="003821E9" w:rsidP="00DE3B79">
      <w:r>
        <w:t xml:space="preserve">It may be the case that </w:t>
      </w:r>
      <w:r>
        <w:fldChar w:fldCharType="begin"/>
      </w:r>
      <w:r>
        <w:instrText xml:space="preserve"> REF _Ref15371127 \h </w:instrText>
      </w:r>
      <w:r>
        <w:fldChar w:fldCharType="separate"/>
      </w:r>
      <w:r>
        <w:t xml:space="preserve">Table </w:t>
      </w:r>
      <w:r>
        <w:rPr>
          <w:noProof/>
        </w:rPr>
        <w:t>12</w:t>
      </w:r>
      <w:r>
        <w:fldChar w:fldCharType="end"/>
      </w:r>
      <w:r>
        <w:t xml:space="preserve"> understates the true </w:t>
      </w:r>
      <w:r w:rsidR="00180D0A">
        <w:t>proportion</w:t>
      </w:r>
      <w:r>
        <w:t xml:space="preserve"> of the oil refinement industry </w:t>
      </w:r>
      <w:r w:rsidR="00180D0A">
        <w:t>facilitated by</w:t>
      </w:r>
      <w:r>
        <w:t xml:space="preserve"> the Solent region. Data is only available on the SIC code 19.2 (Manufacture of coke and refined petroleum), whereas 19.201 (Mineral oil refining) would likely be a better metric as it relates </w:t>
      </w:r>
      <w:r w:rsidR="00130280">
        <w:t>closer</w:t>
      </w:r>
      <w:r>
        <w:t xml:space="preserve"> to activities undertaken at Solent ports. </w:t>
      </w:r>
      <w:r w:rsidR="00B5020C">
        <w:t xml:space="preserve">As such, we estimate the Solent’s contribution at a broader SIC code level, potentially understating its true </w:t>
      </w:r>
      <w:r w:rsidR="00B75A48">
        <w:t xml:space="preserve">proportion of </w:t>
      </w:r>
      <w:r w:rsidR="00B5020C">
        <w:t xml:space="preserve">contribution. </w:t>
      </w:r>
    </w:p>
    <w:p w14:paraId="625689F9" w14:textId="08A75265" w:rsidR="00B5020C" w:rsidRDefault="00B5020C" w:rsidP="00DE3B79">
      <w:r>
        <w:t>ExxonMobil estimates have put the Solent’s contribution closer to 20% of the UK oil refinement industry.</w:t>
      </w:r>
      <w:r w:rsidRPr="00B5020C">
        <w:rPr>
          <w:rStyle w:val="FootnoteReference"/>
          <w:sz w:val="14"/>
          <w:vertAlign w:val="baseline"/>
        </w:rPr>
        <w:footnoteReference w:id="21"/>
      </w:r>
    </w:p>
    <w:p w14:paraId="34889003" w14:textId="77777777" w:rsidR="001E6939" w:rsidRDefault="001E6939" w:rsidP="001E6939">
      <w:pPr>
        <w:pStyle w:val="Caption"/>
      </w:pPr>
      <w:bookmarkStart w:id="76" w:name="_Ref15371127"/>
      <w:r>
        <w:t xml:space="preserve">Table </w:t>
      </w:r>
      <w:r>
        <w:rPr>
          <w:noProof/>
        </w:rPr>
        <w:fldChar w:fldCharType="begin"/>
      </w:r>
      <w:r>
        <w:rPr>
          <w:noProof/>
        </w:rPr>
        <w:instrText xml:space="preserve"> SEQ Table \* ARABIC </w:instrText>
      </w:r>
      <w:r>
        <w:rPr>
          <w:noProof/>
        </w:rPr>
        <w:fldChar w:fldCharType="separate"/>
      </w:r>
      <w:r w:rsidR="00D17FEA">
        <w:rPr>
          <w:noProof/>
        </w:rPr>
        <w:t>12</w:t>
      </w:r>
      <w:r>
        <w:rPr>
          <w:noProof/>
        </w:rPr>
        <w:fldChar w:fldCharType="end"/>
      </w:r>
      <w:bookmarkEnd w:id="76"/>
      <w:r>
        <w:t>: The Solent’s facilitation of oil refinement (SIC code 19.2) in GVA, 2010 to 2017</w:t>
      </w:r>
    </w:p>
    <w:tbl>
      <w:tblPr>
        <w:tblW w:w="9356" w:type="dxa"/>
        <w:tblLook w:val="04A0" w:firstRow="1" w:lastRow="0" w:firstColumn="1" w:lastColumn="0" w:noHBand="0" w:noVBand="1"/>
      </w:tblPr>
      <w:tblGrid>
        <w:gridCol w:w="1840"/>
        <w:gridCol w:w="2952"/>
        <w:gridCol w:w="2722"/>
        <w:gridCol w:w="1842"/>
      </w:tblGrid>
      <w:tr w:rsidR="001E6939" w:rsidRPr="00E62E59" w14:paraId="2F2315C2" w14:textId="77777777" w:rsidTr="001E6939">
        <w:trPr>
          <w:trHeight w:val="574"/>
        </w:trPr>
        <w:tc>
          <w:tcPr>
            <w:tcW w:w="1840" w:type="dxa"/>
            <w:tcBorders>
              <w:top w:val="nil"/>
              <w:left w:val="nil"/>
              <w:bottom w:val="nil"/>
              <w:right w:val="nil"/>
            </w:tcBorders>
            <w:shd w:val="clear" w:color="auto" w:fill="auto"/>
            <w:noWrap/>
            <w:vAlign w:val="bottom"/>
            <w:hideMark/>
          </w:tcPr>
          <w:p w14:paraId="76098181" w14:textId="77777777" w:rsidR="001E6939" w:rsidRPr="00E62E59" w:rsidRDefault="001E6939" w:rsidP="001E6939">
            <w:pPr>
              <w:spacing w:after="0"/>
              <w:rPr>
                <w:rFonts w:ascii="Times New Roman" w:eastAsia="Times New Roman" w:hAnsi="Times New Roman"/>
                <w:sz w:val="20"/>
                <w:szCs w:val="24"/>
                <w:lang w:eastAsia="en-GB"/>
              </w:rPr>
            </w:pPr>
          </w:p>
        </w:tc>
        <w:tc>
          <w:tcPr>
            <w:tcW w:w="7516" w:type="dxa"/>
            <w:gridSpan w:val="3"/>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5BA1777" w14:textId="77777777" w:rsidR="001E6939" w:rsidRPr="00E62E59" w:rsidRDefault="001E6939" w:rsidP="001E6939">
            <w:pPr>
              <w:spacing w:after="0"/>
              <w:jc w:val="center"/>
              <w:rPr>
                <w:rFonts w:ascii="Calibri" w:eastAsia="Times New Roman" w:hAnsi="Calibri" w:cs="Calibri"/>
                <w:b/>
                <w:bCs/>
                <w:color w:val="FFFFFF"/>
                <w:sz w:val="20"/>
                <w:lang w:eastAsia="en-GB"/>
              </w:rPr>
            </w:pPr>
            <w:r w:rsidRPr="00E62E59">
              <w:rPr>
                <w:rFonts w:ascii="Calibri" w:eastAsia="Times New Roman" w:hAnsi="Calibri" w:cs="Calibri"/>
                <w:b/>
                <w:bCs/>
                <w:color w:val="FFFFFF"/>
                <w:sz w:val="20"/>
                <w:lang w:eastAsia="en-GB"/>
              </w:rPr>
              <w:t>19.2 Manufacture of coke and refined petroleum, GVA, £m</w:t>
            </w:r>
          </w:p>
        </w:tc>
      </w:tr>
      <w:tr w:rsidR="001E6939" w:rsidRPr="00E62E59" w14:paraId="3304AEF7" w14:textId="77777777" w:rsidTr="001E6939">
        <w:trPr>
          <w:trHeight w:val="504"/>
        </w:trPr>
        <w:tc>
          <w:tcPr>
            <w:tcW w:w="1840" w:type="dxa"/>
            <w:tcBorders>
              <w:top w:val="nil"/>
              <w:left w:val="nil"/>
              <w:bottom w:val="nil"/>
              <w:right w:val="nil"/>
            </w:tcBorders>
            <w:shd w:val="clear" w:color="auto" w:fill="auto"/>
            <w:noWrap/>
            <w:vAlign w:val="bottom"/>
            <w:hideMark/>
          </w:tcPr>
          <w:p w14:paraId="70069209" w14:textId="77777777" w:rsidR="001E6939" w:rsidRPr="00E62E59" w:rsidRDefault="001E6939" w:rsidP="001E6939">
            <w:pPr>
              <w:spacing w:after="0"/>
              <w:jc w:val="center"/>
              <w:rPr>
                <w:rFonts w:ascii="Calibri" w:eastAsia="Times New Roman" w:hAnsi="Calibri" w:cs="Calibri"/>
                <w:b/>
                <w:bCs/>
                <w:color w:val="FFFFFF"/>
                <w:sz w:val="20"/>
                <w:lang w:eastAsia="en-GB"/>
              </w:rPr>
            </w:pPr>
          </w:p>
        </w:tc>
        <w:tc>
          <w:tcPr>
            <w:tcW w:w="2952"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71D45F3" w14:textId="77777777" w:rsidR="001E6939" w:rsidRPr="00E62E59" w:rsidRDefault="001E6939" w:rsidP="001E6939">
            <w:pPr>
              <w:spacing w:after="0"/>
              <w:jc w:val="center"/>
              <w:rPr>
                <w:rFonts w:ascii="Calibri" w:eastAsia="Times New Roman" w:hAnsi="Calibri" w:cs="Calibri"/>
                <w:b/>
                <w:bCs/>
                <w:color w:val="FFFFFF"/>
                <w:sz w:val="20"/>
                <w:lang w:eastAsia="en-GB"/>
              </w:rPr>
            </w:pPr>
            <w:r w:rsidRPr="00E62E59">
              <w:rPr>
                <w:rFonts w:ascii="Calibri" w:eastAsia="Times New Roman" w:hAnsi="Calibri" w:cs="Calibri"/>
                <w:b/>
                <w:bCs/>
                <w:color w:val="FFFFFF"/>
                <w:sz w:val="20"/>
                <w:lang w:eastAsia="en-GB"/>
              </w:rPr>
              <w:t>UK</w:t>
            </w:r>
          </w:p>
        </w:tc>
        <w:tc>
          <w:tcPr>
            <w:tcW w:w="2722"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9115DA8" w14:textId="77777777" w:rsidR="001E6939" w:rsidRPr="00E62E59" w:rsidRDefault="001E6939" w:rsidP="001E6939">
            <w:pPr>
              <w:spacing w:after="0"/>
              <w:jc w:val="center"/>
              <w:rPr>
                <w:rFonts w:ascii="Calibri" w:eastAsia="Times New Roman" w:hAnsi="Calibri" w:cs="Calibri"/>
                <w:b/>
                <w:bCs/>
                <w:color w:val="FFFFFF"/>
                <w:sz w:val="20"/>
                <w:lang w:eastAsia="en-GB"/>
              </w:rPr>
            </w:pPr>
            <w:r w:rsidRPr="00E62E59">
              <w:rPr>
                <w:rFonts w:ascii="Calibri" w:eastAsia="Times New Roman" w:hAnsi="Calibri" w:cs="Calibri"/>
                <w:b/>
                <w:bCs/>
                <w:color w:val="FFFFFF"/>
                <w:sz w:val="20"/>
                <w:lang w:eastAsia="en-GB"/>
              </w:rPr>
              <w:t>Solent</w:t>
            </w:r>
          </w:p>
        </w:tc>
        <w:tc>
          <w:tcPr>
            <w:tcW w:w="1842"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A42E2D4" w14:textId="77777777" w:rsidR="001E6939" w:rsidRPr="00E62E59" w:rsidRDefault="001E6939" w:rsidP="001E6939">
            <w:pPr>
              <w:spacing w:after="0"/>
              <w:jc w:val="center"/>
              <w:rPr>
                <w:rFonts w:ascii="Calibri" w:eastAsia="Times New Roman" w:hAnsi="Calibri" w:cs="Calibri"/>
                <w:b/>
                <w:bCs/>
                <w:color w:val="FFFFFF"/>
                <w:sz w:val="20"/>
                <w:lang w:eastAsia="en-GB"/>
              </w:rPr>
            </w:pPr>
            <w:r w:rsidRPr="00E62E59">
              <w:rPr>
                <w:rFonts w:ascii="Calibri" w:eastAsia="Times New Roman" w:hAnsi="Calibri" w:cs="Calibri"/>
                <w:b/>
                <w:bCs/>
                <w:color w:val="FFFFFF"/>
                <w:sz w:val="20"/>
                <w:lang w:eastAsia="en-GB"/>
              </w:rPr>
              <w:t>Solent</w:t>
            </w:r>
            <w:r>
              <w:rPr>
                <w:rFonts w:ascii="Calibri" w:eastAsia="Times New Roman" w:hAnsi="Calibri" w:cs="Calibri"/>
                <w:b/>
                <w:bCs/>
                <w:color w:val="FFFFFF"/>
                <w:sz w:val="20"/>
                <w:lang w:eastAsia="en-GB"/>
              </w:rPr>
              <w:t xml:space="preserve"> refinement as a</w:t>
            </w:r>
            <w:r w:rsidRPr="00E62E59">
              <w:rPr>
                <w:rFonts w:ascii="Calibri" w:eastAsia="Times New Roman" w:hAnsi="Calibri" w:cs="Calibri"/>
                <w:b/>
                <w:bCs/>
                <w:color w:val="FFFFFF"/>
                <w:sz w:val="20"/>
                <w:lang w:eastAsia="en-GB"/>
              </w:rPr>
              <w:t xml:space="preserve"> % of UK</w:t>
            </w:r>
          </w:p>
        </w:tc>
      </w:tr>
      <w:tr w:rsidR="001E6939" w:rsidRPr="00E62E59" w14:paraId="7B9B6C2C" w14:textId="77777777" w:rsidTr="001E6939">
        <w:trPr>
          <w:trHeight w:val="317"/>
        </w:trPr>
        <w:tc>
          <w:tcPr>
            <w:tcW w:w="18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5B90C4D" w14:textId="77777777" w:rsidR="001E6939" w:rsidRPr="00E62E59" w:rsidRDefault="001E6939" w:rsidP="001E6939">
            <w:pPr>
              <w:spacing w:after="0"/>
              <w:jc w:val="center"/>
              <w:rPr>
                <w:rFonts w:ascii="Calibri" w:eastAsia="Times New Roman" w:hAnsi="Calibri" w:cs="Calibri"/>
                <w:b/>
                <w:bCs/>
                <w:color w:val="FFFFFF"/>
                <w:sz w:val="20"/>
                <w:lang w:eastAsia="en-GB"/>
              </w:rPr>
            </w:pPr>
            <w:r w:rsidRPr="00E62E59">
              <w:rPr>
                <w:rFonts w:ascii="Calibri" w:eastAsia="Times New Roman" w:hAnsi="Calibri" w:cs="Calibri"/>
                <w:b/>
                <w:bCs/>
                <w:color w:val="FFFFFF"/>
                <w:sz w:val="20"/>
                <w:lang w:eastAsia="en-GB"/>
              </w:rPr>
              <w:t>2010</w:t>
            </w:r>
          </w:p>
        </w:tc>
        <w:tc>
          <w:tcPr>
            <w:tcW w:w="2952" w:type="dxa"/>
            <w:tcBorders>
              <w:top w:val="nil"/>
              <w:left w:val="nil"/>
              <w:bottom w:val="single" w:sz="8" w:space="0" w:color="FFFFFF"/>
              <w:right w:val="single" w:sz="8" w:space="0" w:color="FFFFFF"/>
            </w:tcBorders>
            <w:shd w:val="clear" w:color="000000" w:fill="E7EEEF"/>
            <w:vAlign w:val="center"/>
            <w:hideMark/>
          </w:tcPr>
          <w:p w14:paraId="3719C642"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2,248</w:t>
            </w:r>
          </w:p>
        </w:tc>
        <w:tc>
          <w:tcPr>
            <w:tcW w:w="2722" w:type="dxa"/>
            <w:tcBorders>
              <w:top w:val="nil"/>
              <w:left w:val="nil"/>
              <w:bottom w:val="single" w:sz="8" w:space="0" w:color="FFFFFF"/>
              <w:right w:val="single" w:sz="8" w:space="0" w:color="FFFFFF"/>
            </w:tcBorders>
            <w:shd w:val="clear" w:color="000000" w:fill="E7EEEF"/>
            <w:vAlign w:val="center"/>
            <w:hideMark/>
          </w:tcPr>
          <w:p w14:paraId="72D7951C"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375</w:t>
            </w:r>
          </w:p>
        </w:tc>
        <w:tc>
          <w:tcPr>
            <w:tcW w:w="1842" w:type="dxa"/>
            <w:tcBorders>
              <w:top w:val="nil"/>
              <w:left w:val="nil"/>
              <w:bottom w:val="single" w:sz="8" w:space="0" w:color="FFFFFF"/>
              <w:right w:val="single" w:sz="8" w:space="0" w:color="FFFFFF"/>
            </w:tcBorders>
            <w:shd w:val="clear" w:color="000000" w:fill="E7EEEF"/>
            <w:vAlign w:val="center"/>
            <w:hideMark/>
          </w:tcPr>
          <w:p w14:paraId="538049C8"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17%</w:t>
            </w:r>
          </w:p>
        </w:tc>
      </w:tr>
      <w:tr w:rsidR="001E6939" w:rsidRPr="00E62E59" w14:paraId="2C97FC2A" w14:textId="77777777" w:rsidTr="001E6939">
        <w:trPr>
          <w:trHeight w:val="317"/>
        </w:trPr>
        <w:tc>
          <w:tcPr>
            <w:tcW w:w="18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491D11E" w14:textId="77777777" w:rsidR="001E6939" w:rsidRPr="00E62E59" w:rsidRDefault="001E6939" w:rsidP="001E6939">
            <w:pPr>
              <w:spacing w:after="0"/>
              <w:jc w:val="center"/>
              <w:rPr>
                <w:rFonts w:ascii="Calibri" w:eastAsia="Times New Roman" w:hAnsi="Calibri" w:cs="Calibri"/>
                <w:b/>
                <w:bCs/>
                <w:color w:val="FFFFFF"/>
                <w:sz w:val="20"/>
                <w:lang w:eastAsia="en-GB"/>
              </w:rPr>
            </w:pPr>
            <w:r w:rsidRPr="00E62E59">
              <w:rPr>
                <w:rFonts w:ascii="Calibri" w:eastAsia="Times New Roman" w:hAnsi="Calibri" w:cs="Calibri"/>
                <w:b/>
                <w:bCs/>
                <w:color w:val="FFFFFF"/>
                <w:sz w:val="20"/>
                <w:lang w:eastAsia="en-GB"/>
              </w:rPr>
              <w:t>2011</w:t>
            </w:r>
          </w:p>
        </w:tc>
        <w:tc>
          <w:tcPr>
            <w:tcW w:w="2952" w:type="dxa"/>
            <w:tcBorders>
              <w:top w:val="nil"/>
              <w:left w:val="nil"/>
              <w:bottom w:val="single" w:sz="8" w:space="0" w:color="FFFFFF"/>
              <w:right w:val="single" w:sz="8" w:space="0" w:color="FFFFFF"/>
            </w:tcBorders>
            <w:shd w:val="clear" w:color="000000" w:fill="D0CECE"/>
            <w:vAlign w:val="center"/>
            <w:hideMark/>
          </w:tcPr>
          <w:p w14:paraId="39102C90"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2,232</w:t>
            </w:r>
          </w:p>
        </w:tc>
        <w:tc>
          <w:tcPr>
            <w:tcW w:w="2722" w:type="dxa"/>
            <w:tcBorders>
              <w:top w:val="nil"/>
              <w:left w:val="nil"/>
              <w:bottom w:val="single" w:sz="8" w:space="0" w:color="FFFFFF"/>
              <w:right w:val="single" w:sz="8" w:space="0" w:color="FFFFFF"/>
            </w:tcBorders>
            <w:shd w:val="clear" w:color="000000" w:fill="D0CECE"/>
            <w:vAlign w:val="center"/>
            <w:hideMark/>
          </w:tcPr>
          <w:p w14:paraId="3C8A60C9"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372</w:t>
            </w:r>
          </w:p>
        </w:tc>
        <w:tc>
          <w:tcPr>
            <w:tcW w:w="1842" w:type="dxa"/>
            <w:tcBorders>
              <w:top w:val="nil"/>
              <w:left w:val="nil"/>
              <w:bottom w:val="single" w:sz="8" w:space="0" w:color="FFFFFF"/>
              <w:right w:val="single" w:sz="8" w:space="0" w:color="FFFFFF"/>
            </w:tcBorders>
            <w:shd w:val="clear" w:color="000000" w:fill="D0CECE"/>
            <w:vAlign w:val="center"/>
            <w:hideMark/>
          </w:tcPr>
          <w:p w14:paraId="23AFDC02"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17%</w:t>
            </w:r>
          </w:p>
        </w:tc>
      </w:tr>
      <w:tr w:rsidR="001E6939" w:rsidRPr="00E62E59" w14:paraId="33E59339" w14:textId="77777777" w:rsidTr="001E6939">
        <w:trPr>
          <w:trHeight w:val="317"/>
        </w:trPr>
        <w:tc>
          <w:tcPr>
            <w:tcW w:w="18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DB19D04" w14:textId="77777777" w:rsidR="001E6939" w:rsidRPr="00E62E59" w:rsidRDefault="001E6939" w:rsidP="001E6939">
            <w:pPr>
              <w:spacing w:after="0"/>
              <w:jc w:val="center"/>
              <w:rPr>
                <w:rFonts w:ascii="Calibri" w:eastAsia="Times New Roman" w:hAnsi="Calibri" w:cs="Calibri"/>
                <w:b/>
                <w:bCs/>
                <w:color w:val="FFFFFF"/>
                <w:sz w:val="20"/>
                <w:lang w:eastAsia="en-GB"/>
              </w:rPr>
            </w:pPr>
            <w:r w:rsidRPr="00E62E59">
              <w:rPr>
                <w:rFonts w:ascii="Calibri" w:eastAsia="Times New Roman" w:hAnsi="Calibri" w:cs="Calibri"/>
                <w:b/>
                <w:bCs/>
                <w:color w:val="FFFFFF"/>
                <w:sz w:val="20"/>
                <w:lang w:eastAsia="en-GB"/>
              </w:rPr>
              <w:t>2012</w:t>
            </w:r>
          </w:p>
        </w:tc>
        <w:tc>
          <w:tcPr>
            <w:tcW w:w="2952" w:type="dxa"/>
            <w:tcBorders>
              <w:top w:val="nil"/>
              <w:left w:val="nil"/>
              <w:bottom w:val="single" w:sz="8" w:space="0" w:color="FFFFFF"/>
              <w:right w:val="single" w:sz="8" w:space="0" w:color="FFFFFF"/>
            </w:tcBorders>
            <w:shd w:val="clear" w:color="000000" w:fill="E7EEEF"/>
            <w:vAlign w:val="center"/>
            <w:hideMark/>
          </w:tcPr>
          <w:p w14:paraId="01E1806B"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2,226</w:t>
            </w:r>
          </w:p>
        </w:tc>
        <w:tc>
          <w:tcPr>
            <w:tcW w:w="2722" w:type="dxa"/>
            <w:tcBorders>
              <w:top w:val="nil"/>
              <w:left w:val="nil"/>
              <w:bottom w:val="single" w:sz="8" w:space="0" w:color="FFFFFF"/>
              <w:right w:val="single" w:sz="8" w:space="0" w:color="FFFFFF"/>
            </w:tcBorders>
            <w:shd w:val="clear" w:color="000000" w:fill="E7EEEF"/>
            <w:vAlign w:val="center"/>
            <w:hideMark/>
          </w:tcPr>
          <w:p w14:paraId="430833CE"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371</w:t>
            </w:r>
          </w:p>
        </w:tc>
        <w:tc>
          <w:tcPr>
            <w:tcW w:w="1842" w:type="dxa"/>
            <w:tcBorders>
              <w:top w:val="nil"/>
              <w:left w:val="nil"/>
              <w:bottom w:val="single" w:sz="8" w:space="0" w:color="FFFFFF"/>
              <w:right w:val="single" w:sz="8" w:space="0" w:color="FFFFFF"/>
            </w:tcBorders>
            <w:shd w:val="clear" w:color="000000" w:fill="E7EEEF"/>
            <w:vAlign w:val="center"/>
            <w:hideMark/>
          </w:tcPr>
          <w:p w14:paraId="2CB842C0"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17%</w:t>
            </w:r>
          </w:p>
        </w:tc>
      </w:tr>
      <w:tr w:rsidR="001E6939" w:rsidRPr="00E62E59" w14:paraId="3763D2C0" w14:textId="77777777" w:rsidTr="001E6939">
        <w:trPr>
          <w:trHeight w:val="317"/>
        </w:trPr>
        <w:tc>
          <w:tcPr>
            <w:tcW w:w="18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94DB286" w14:textId="77777777" w:rsidR="001E6939" w:rsidRPr="00E62E59" w:rsidRDefault="001E6939" w:rsidP="001E6939">
            <w:pPr>
              <w:spacing w:after="0"/>
              <w:jc w:val="center"/>
              <w:rPr>
                <w:rFonts w:ascii="Calibri" w:eastAsia="Times New Roman" w:hAnsi="Calibri" w:cs="Calibri"/>
                <w:b/>
                <w:bCs/>
                <w:color w:val="FFFFFF"/>
                <w:sz w:val="20"/>
                <w:lang w:eastAsia="en-GB"/>
              </w:rPr>
            </w:pPr>
            <w:r w:rsidRPr="00E62E59">
              <w:rPr>
                <w:rFonts w:ascii="Calibri" w:eastAsia="Times New Roman" w:hAnsi="Calibri" w:cs="Calibri"/>
                <w:b/>
                <w:bCs/>
                <w:color w:val="FFFFFF"/>
                <w:sz w:val="20"/>
                <w:lang w:eastAsia="en-GB"/>
              </w:rPr>
              <w:t>2013</w:t>
            </w:r>
          </w:p>
        </w:tc>
        <w:tc>
          <w:tcPr>
            <w:tcW w:w="2952" w:type="dxa"/>
            <w:tcBorders>
              <w:top w:val="nil"/>
              <w:left w:val="nil"/>
              <w:bottom w:val="single" w:sz="8" w:space="0" w:color="FFFFFF"/>
              <w:right w:val="single" w:sz="8" w:space="0" w:color="FFFFFF"/>
            </w:tcBorders>
            <w:shd w:val="clear" w:color="000000" w:fill="D0CECE"/>
            <w:vAlign w:val="center"/>
            <w:hideMark/>
          </w:tcPr>
          <w:p w14:paraId="04C676BB"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1,321</w:t>
            </w:r>
          </w:p>
        </w:tc>
        <w:tc>
          <w:tcPr>
            <w:tcW w:w="2722" w:type="dxa"/>
            <w:tcBorders>
              <w:top w:val="nil"/>
              <w:left w:val="nil"/>
              <w:bottom w:val="single" w:sz="8" w:space="0" w:color="FFFFFF"/>
              <w:right w:val="single" w:sz="8" w:space="0" w:color="FFFFFF"/>
            </w:tcBorders>
            <w:shd w:val="clear" w:color="000000" w:fill="D0CECE"/>
            <w:vAlign w:val="center"/>
            <w:hideMark/>
          </w:tcPr>
          <w:p w14:paraId="4CC59250"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165</w:t>
            </w:r>
          </w:p>
        </w:tc>
        <w:tc>
          <w:tcPr>
            <w:tcW w:w="1842" w:type="dxa"/>
            <w:tcBorders>
              <w:top w:val="nil"/>
              <w:left w:val="nil"/>
              <w:bottom w:val="single" w:sz="8" w:space="0" w:color="FFFFFF"/>
              <w:right w:val="single" w:sz="8" w:space="0" w:color="FFFFFF"/>
            </w:tcBorders>
            <w:shd w:val="clear" w:color="000000" w:fill="D0CECE"/>
            <w:vAlign w:val="center"/>
            <w:hideMark/>
          </w:tcPr>
          <w:p w14:paraId="528AF19C"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13%</w:t>
            </w:r>
          </w:p>
        </w:tc>
      </w:tr>
      <w:tr w:rsidR="001E6939" w:rsidRPr="00E62E59" w14:paraId="35351140" w14:textId="77777777" w:rsidTr="001E6939">
        <w:trPr>
          <w:trHeight w:val="317"/>
        </w:trPr>
        <w:tc>
          <w:tcPr>
            <w:tcW w:w="18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B98EADE" w14:textId="77777777" w:rsidR="001E6939" w:rsidRPr="00E62E59" w:rsidRDefault="001E6939" w:rsidP="001E6939">
            <w:pPr>
              <w:spacing w:after="0"/>
              <w:jc w:val="center"/>
              <w:rPr>
                <w:rFonts w:ascii="Calibri" w:eastAsia="Times New Roman" w:hAnsi="Calibri" w:cs="Calibri"/>
                <w:b/>
                <w:bCs/>
                <w:color w:val="FFFFFF"/>
                <w:sz w:val="20"/>
                <w:lang w:eastAsia="en-GB"/>
              </w:rPr>
            </w:pPr>
            <w:r w:rsidRPr="00E62E59">
              <w:rPr>
                <w:rFonts w:ascii="Calibri" w:eastAsia="Times New Roman" w:hAnsi="Calibri" w:cs="Calibri"/>
                <w:b/>
                <w:bCs/>
                <w:color w:val="FFFFFF"/>
                <w:sz w:val="20"/>
                <w:lang w:eastAsia="en-GB"/>
              </w:rPr>
              <w:t>2014</w:t>
            </w:r>
          </w:p>
        </w:tc>
        <w:tc>
          <w:tcPr>
            <w:tcW w:w="2952" w:type="dxa"/>
            <w:tcBorders>
              <w:top w:val="nil"/>
              <w:left w:val="nil"/>
              <w:bottom w:val="single" w:sz="8" w:space="0" w:color="FFFFFF"/>
              <w:right w:val="single" w:sz="8" w:space="0" w:color="FFFFFF"/>
            </w:tcBorders>
            <w:shd w:val="clear" w:color="000000" w:fill="E7EEEF"/>
            <w:vAlign w:val="center"/>
            <w:hideMark/>
          </w:tcPr>
          <w:p w14:paraId="0476F555"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901</w:t>
            </w:r>
          </w:p>
        </w:tc>
        <w:tc>
          <w:tcPr>
            <w:tcW w:w="2722" w:type="dxa"/>
            <w:tcBorders>
              <w:top w:val="nil"/>
              <w:left w:val="nil"/>
              <w:bottom w:val="single" w:sz="8" w:space="0" w:color="FFFFFF"/>
              <w:right w:val="single" w:sz="8" w:space="0" w:color="FFFFFF"/>
            </w:tcBorders>
            <w:shd w:val="clear" w:color="000000" w:fill="E7EEEF"/>
            <w:vAlign w:val="center"/>
            <w:hideMark/>
          </w:tcPr>
          <w:p w14:paraId="62AE7792"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113</w:t>
            </w:r>
          </w:p>
        </w:tc>
        <w:tc>
          <w:tcPr>
            <w:tcW w:w="1842" w:type="dxa"/>
            <w:tcBorders>
              <w:top w:val="nil"/>
              <w:left w:val="nil"/>
              <w:bottom w:val="single" w:sz="8" w:space="0" w:color="FFFFFF"/>
              <w:right w:val="single" w:sz="8" w:space="0" w:color="FFFFFF"/>
            </w:tcBorders>
            <w:shd w:val="clear" w:color="000000" w:fill="E7EEEF"/>
            <w:vAlign w:val="center"/>
            <w:hideMark/>
          </w:tcPr>
          <w:p w14:paraId="5A2E16FF"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13%</w:t>
            </w:r>
          </w:p>
        </w:tc>
      </w:tr>
      <w:tr w:rsidR="001E6939" w:rsidRPr="00E62E59" w14:paraId="5DCF9F7D" w14:textId="77777777" w:rsidTr="001E6939">
        <w:trPr>
          <w:trHeight w:val="317"/>
        </w:trPr>
        <w:tc>
          <w:tcPr>
            <w:tcW w:w="18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FE38B35" w14:textId="77777777" w:rsidR="001E6939" w:rsidRPr="00E62E59" w:rsidRDefault="001E6939" w:rsidP="001E6939">
            <w:pPr>
              <w:spacing w:after="0"/>
              <w:jc w:val="center"/>
              <w:rPr>
                <w:rFonts w:ascii="Calibri" w:eastAsia="Times New Roman" w:hAnsi="Calibri" w:cs="Calibri"/>
                <w:b/>
                <w:bCs/>
                <w:color w:val="FFFFFF"/>
                <w:sz w:val="20"/>
                <w:lang w:eastAsia="en-GB"/>
              </w:rPr>
            </w:pPr>
            <w:r w:rsidRPr="00E62E59">
              <w:rPr>
                <w:rFonts w:ascii="Calibri" w:eastAsia="Times New Roman" w:hAnsi="Calibri" w:cs="Calibri"/>
                <w:b/>
                <w:bCs/>
                <w:color w:val="FFFFFF"/>
                <w:sz w:val="20"/>
                <w:lang w:eastAsia="en-GB"/>
              </w:rPr>
              <w:t>2015</w:t>
            </w:r>
          </w:p>
        </w:tc>
        <w:tc>
          <w:tcPr>
            <w:tcW w:w="2952" w:type="dxa"/>
            <w:tcBorders>
              <w:top w:val="nil"/>
              <w:left w:val="nil"/>
              <w:bottom w:val="single" w:sz="8" w:space="0" w:color="FFFFFF"/>
              <w:right w:val="single" w:sz="8" w:space="0" w:color="FFFFFF"/>
            </w:tcBorders>
            <w:shd w:val="clear" w:color="000000" w:fill="D0CECE"/>
            <w:vAlign w:val="center"/>
            <w:hideMark/>
          </w:tcPr>
          <w:p w14:paraId="67604A9E"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2,955</w:t>
            </w:r>
          </w:p>
        </w:tc>
        <w:tc>
          <w:tcPr>
            <w:tcW w:w="2722" w:type="dxa"/>
            <w:tcBorders>
              <w:top w:val="nil"/>
              <w:left w:val="nil"/>
              <w:bottom w:val="single" w:sz="8" w:space="0" w:color="FFFFFF"/>
              <w:right w:val="single" w:sz="8" w:space="0" w:color="FFFFFF"/>
            </w:tcBorders>
            <w:shd w:val="clear" w:color="000000" w:fill="D0CECE"/>
            <w:vAlign w:val="center"/>
            <w:hideMark/>
          </w:tcPr>
          <w:p w14:paraId="741B6B7C"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369</w:t>
            </w:r>
          </w:p>
        </w:tc>
        <w:tc>
          <w:tcPr>
            <w:tcW w:w="1842" w:type="dxa"/>
            <w:tcBorders>
              <w:top w:val="nil"/>
              <w:left w:val="nil"/>
              <w:bottom w:val="single" w:sz="8" w:space="0" w:color="FFFFFF"/>
              <w:right w:val="single" w:sz="8" w:space="0" w:color="FFFFFF"/>
            </w:tcBorders>
            <w:shd w:val="clear" w:color="000000" w:fill="D0CECE"/>
            <w:vAlign w:val="center"/>
            <w:hideMark/>
          </w:tcPr>
          <w:p w14:paraId="5AF756F3"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13%</w:t>
            </w:r>
          </w:p>
        </w:tc>
      </w:tr>
      <w:tr w:rsidR="001E6939" w:rsidRPr="00E62E59" w14:paraId="06B7B252" w14:textId="77777777" w:rsidTr="001E6939">
        <w:trPr>
          <w:trHeight w:val="317"/>
        </w:trPr>
        <w:tc>
          <w:tcPr>
            <w:tcW w:w="18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12657E1" w14:textId="77777777" w:rsidR="001E6939" w:rsidRPr="00E62E59" w:rsidRDefault="001E6939" w:rsidP="001E6939">
            <w:pPr>
              <w:spacing w:after="0"/>
              <w:jc w:val="center"/>
              <w:rPr>
                <w:rFonts w:ascii="Calibri" w:eastAsia="Times New Roman" w:hAnsi="Calibri" w:cs="Calibri"/>
                <w:b/>
                <w:bCs/>
                <w:color w:val="FFFFFF"/>
                <w:sz w:val="20"/>
                <w:lang w:eastAsia="en-GB"/>
              </w:rPr>
            </w:pPr>
            <w:r w:rsidRPr="00E62E59">
              <w:rPr>
                <w:rFonts w:ascii="Calibri" w:eastAsia="Times New Roman" w:hAnsi="Calibri" w:cs="Calibri"/>
                <w:b/>
                <w:bCs/>
                <w:color w:val="FFFFFF"/>
                <w:sz w:val="20"/>
                <w:lang w:eastAsia="en-GB"/>
              </w:rPr>
              <w:t>2016</w:t>
            </w:r>
          </w:p>
        </w:tc>
        <w:tc>
          <w:tcPr>
            <w:tcW w:w="2952" w:type="dxa"/>
            <w:tcBorders>
              <w:top w:val="nil"/>
              <w:left w:val="nil"/>
              <w:bottom w:val="single" w:sz="8" w:space="0" w:color="FFFFFF"/>
              <w:right w:val="single" w:sz="8" w:space="0" w:color="FFFFFF"/>
            </w:tcBorders>
            <w:shd w:val="clear" w:color="000000" w:fill="E7EEEF"/>
            <w:vAlign w:val="center"/>
            <w:hideMark/>
          </w:tcPr>
          <w:p w14:paraId="37060192"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2,555</w:t>
            </w:r>
          </w:p>
        </w:tc>
        <w:tc>
          <w:tcPr>
            <w:tcW w:w="2722" w:type="dxa"/>
            <w:tcBorders>
              <w:top w:val="nil"/>
              <w:left w:val="nil"/>
              <w:bottom w:val="single" w:sz="8" w:space="0" w:color="FFFFFF"/>
              <w:right w:val="single" w:sz="8" w:space="0" w:color="FFFFFF"/>
            </w:tcBorders>
            <w:shd w:val="clear" w:color="000000" w:fill="E7EEEF"/>
            <w:vAlign w:val="center"/>
            <w:hideMark/>
          </w:tcPr>
          <w:p w14:paraId="7C7705AB"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319</w:t>
            </w:r>
          </w:p>
        </w:tc>
        <w:tc>
          <w:tcPr>
            <w:tcW w:w="1842" w:type="dxa"/>
            <w:tcBorders>
              <w:top w:val="nil"/>
              <w:left w:val="nil"/>
              <w:bottom w:val="single" w:sz="8" w:space="0" w:color="FFFFFF"/>
              <w:right w:val="single" w:sz="8" w:space="0" w:color="FFFFFF"/>
            </w:tcBorders>
            <w:shd w:val="clear" w:color="000000" w:fill="E7EEEF"/>
            <w:vAlign w:val="center"/>
            <w:hideMark/>
          </w:tcPr>
          <w:p w14:paraId="7D216F4C"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13%</w:t>
            </w:r>
          </w:p>
        </w:tc>
      </w:tr>
      <w:tr w:rsidR="001E6939" w:rsidRPr="00E62E59" w14:paraId="1FBA1C8D" w14:textId="77777777" w:rsidTr="001E6939">
        <w:trPr>
          <w:trHeight w:val="317"/>
        </w:trPr>
        <w:tc>
          <w:tcPr>
            <w:tcW w:w="18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040A311" w14:textId="77777777" w:rsidR="001E6939" w:rsidRPr="00E62E59" w:rsidRDefault="001E6939" w:rsidP="001E6939">
            <w:pPr>
              <w:spacing w:after="0"/>
              <w:jc w:val="center"/>
              <w:rPr>
                <w:rFonts w:ascii="Calibri" w:eastAsia="Times New Roman" w:hAnsi="Calibri" w:cs="Calibri"/>
                <w:b/>
                <w:bCs/>
                <w:color w:val="FFFFFF"/>
                <w:sz w:val="20"/>
                <w:lang w:eastAsia="en-GB"/>
              </w:rPr>
            </w:pPr>
            <w:r w:rsidRPr="00E62E59">
              <w:rPr>
                <w:rFonts w:ascii="Calibri" w:eastAsia="Times New Roman" w:hAnsi="Calibri" w:cs="Calibri"/>
                <w:b/>
                <w:bCs/>
                <w:color w:val="FFFFFF"/>
                <w:sz w:val="20"/>
                <w:lang w:eastAsia="en-GB"/>
              </w:rPr>
              <w:t>2017</w:t>
            </w:r>
          </w:p>
        </w:tc>
        <w:tc>
          <w:tcPr>
            <w:tcW w:w="2952" w:type="dxa"/>
            <w:tcBorders>
              <w:top w:val="nil"/>
              <w:left w:val="nil"/>
              <w:bottom w:val="single" w:sz="8" w:space="0" w:color="FFFFFF"/>
              <w:right w:val="single" w:sz="8" w:space="0" w:color="FFFFFF"/>
            </w:tcBorders>
            <w:shd w:val="clear" w:color="000000" w:fill="D0CECE"/>
            <w:vAlign w:val="center"/>
            <w:hideMark/>
          </w:tcPr>
          <w:p w14:paraId="5ABCB49E"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2,575</w:t>
            </w:r>
          </w:p>
        </w:tc>
        <w:tc>
          <w:tcPr>
            <w:tcW w:w="2722" w:type="dxa"/>
            <w:tcBorders>
              <w:top w:val="nil"/>
              <w:left w:val="nil"/>
              <w:bottom w:val="single" w:sz="8" w:space="0" w:color="FFFFFF"/>
              <w:right w:val="single" w:sz="8" w:space="0" w:color="FFFFFF"/>
            </w:tcBorders>
            <w:shd w:val="clear" w:color="000000" w:fill="D0CECE"/>
            <w:vAlign w:val="center"/>
            <w:hideMark/>
          </w:tcPr>
          <w:p w14:paraId="1469EB64"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229</w:t>
            </w:r>
          </w:p>
        </w:tc>
        <w:tc>
          <w:tcPr>
            <w:tcW w:w="1842" w:type="dxa"/>
            <w:tcBorders>
              <w:top w:val="nil"/>
              <w:left w:val="nil"/>
              <w:bottom w:val="single" w:sz="8" w:space="0" w:color="FFFFFF"/>
              <w:right w:val="single" w:sz="8" w:space="0" w:color="FFFFFF"/>
            </w:tcBorders>
            <w:shd w:val="clear" w:color="000000" w:fill="D0CECE"/>
            <w:vAlign w:val="center"/>
            <w:hideMark/>
          </w:tcPr>
          <w:p w14:paraId="3E781493" w14:textId="77777777" w:rsidR="001E6939" w:rsidRPr="00E62E59" w:rsidRDefault="001E6939" w:rsidP="001E6939">
            <w:pPr>
              <w:spacing w:after="0"/>
              <w:jc w:val="center"/>
              <w:rPr>
                <w:rFonts w:ascii="Calibri" w:eastAsia="Times New Roman" w:hAnsi="Calibri" w:cs="Calibri"/>
                <w:color w:val="000000"/>
                <w:sz w:val="20"/>
                <w:lang w:eastAsia="en-GB"/>
              </w:rPr>
            </w:pPr>
            <w:r w:rsidRPr="00E62E59">
              <w:rPr>
                <w:rFonts w:ascii="Calibri" w:eastAsia="Times New Roman" w:hAnsi="Calibri" w:cs="Calibri"/>
                <w:color w:val="000000"/>
                <w:sz w:val="20"/>
                <w:lang w:eastAsia="en-GB"/>
              </w:rPr>
              <w:t>9%</w:t>
            </w:r>
          </w:p>
        </w:tc>
      </w:tr>
    </w:tbl>
    <w:p w14:paraId="41E61C33" w14:textId="77777777" w:rsidR="001E6939" w:rsidRDefault="001E6939" w:rsidP="001E6939">
      <w:pPr>
        <w:jc w:val="right"/>
        <w:rPr>
          <w:i/>
          <w:sz w:val="18"/>
        </w:rPr>
      </w:pPr>
      <w:r>
        <w:rPr>
          <w:i/>
          <w:sz w:val="18"/>
        </w:rPr>
        <w:t>Source: ONS Business Register and Employment Survey, Cebr analysis</w:t>
      </w:r>
    </w:p>
    <w:p w14:paraId="33D4953D" w14:textId="77777777" w:rsidR="001E6939" w:rsidRDefault="001E6939" w:rsidP="001E6939">
      <w:pPr>
        <w:pStyle w:val="Heading2"/>
      </w:pPr>
      <w:bookmarkStart w:id="77" w:name="_Toc15987489"/>
      <w:bookmarkStart w:id="78" w:name="_Toc20139738"/>
      <w:r>
        <w:t>The Solent’s facilitation of the UK automotive industry</w:t>
      </w:r>
      <w:bookmarkEnd w:id="77"/>
      <w:bookmarkEnd w:id="78"/>
    </w:p>
    <w:p w14:paraId="7D6E0E49" w14:textId="77777777" w:rsidR="001E6939" w:rsidRDefault="001E6939" w:rsidP="00DE3B79">
      <w:r>
        <w:t xml:space="preserve">As detailed in Section </w:t>
      </w:r>
      <w:r>
        <w:fldChar w:fldCharType="begin"/>
      </w:r>
      <w:r>
        <w:instrText xml:space="preserve"> REF _Ref499890819 \n \h </w:instrText>
      </w:r>
      <w:r>
        <w:fldChar w:fldCharType="separate"/>
      </w:r>
      <w:r w:rsidR="00D17FEA">
        <w:t>3.4</w:t>
      </w:r>
      <w:r>
        <w:fldChar w:fldCharType="end"/>
      </w:r>
      <w:r>
        <w:t xml:space="preserve"> and Section </w:t>
      </w:r>
      <w:r>
        <w:fldChar w:fldCharType="begin"/>
      </w:r>
      <w:r>
        <w:instrText xml:space="preserve"> REF _Ref15303431 \n \h </w:instrText>
      </w:r>
      <w:r>
        <w:fldChar w:fldCharType="separate"/>
      </w:r>
      <w:r w:rsidR="00D17FEA">
        <w:t>3.5</w:t>
      </w:r>
      <w:r>
        <w:fldChar w:fldCharType="end"/>
      </w:r>
      <w:r>
        <w:t xml:space="preserve">, the Solent facilitates a very significant proportion of the Non-EU automotive trade. The Solent facilitates 61.4% of car exports and 61.6% of automotive vehicles for the transport of goods imports to the UK from Non-EU countries. However, although we cannot disaggregate the SITC codes of EU trade through Solent, it is likely the case that the Solent provides significant trade facilitation for the automotive industry with Europe. </w:t>
      </w:r>
    </w:p>
    <w:p w14:paraId="02271184" w14:textId="77777777" w:rsidR="001E6939" w:rsidRDefault="001E6939" w:rsidP="00DE3B79">
      <w:r>
        <w:t xml:space="preserve">The primary difference between Non-EU trade and European trade with respect to the automotive industry is that European trade is likely highly intertwined with supply chains as there is no Customs barrier between EU countries. That is, products may begin their manufacturing process in the EU and be finalised in the UK for resale back to the EU. This supply chain element is very significant for EU trade and the UK automotive industry as it, through economies of scale, minimises the costs of production. </w:t>
      </w:r>
    </w:p>
    <w:p w14:paraId="2FD7A655" w14:textId="62AB1CCD" w:rsidR="001E6939" w:rsidRDefault="001E6939" w:rsidP="00DE3B79">
      <w:r>
        <w:t xml:space="preserve">To estimate the Solent’s facilitation of the automotive industry, we can attribute a share of the UK automotive industry’s turnover to the trade facilitation that makes the production and final-stage selling possible. As such, we have used the trade facilitation found in HMRC Overseas Trade Statistics augmented </w:t>
      </w:r>
      <w:r>
        <w:lastRenderedPageBreak/>
        <w:t xml:space="preserve">with Eurostat data (as detailed in Sections </w:t>
      </w:r>
      <w:r>
        <w:fldChar w:fldCharType="begin"/>
      </w:r>
      <w:r>
        <w:instrText xml:space="preserve"> REF _Ref499890819 \n \h </w:instrText>
      </w:r>
      <w:r w:rsidR="00DE3B79">
        <w:instrText xml:space="preserve"> \* MERGEFORMAT </w:instrText>
      </w:r>
      <w:r>
        <w:fldChar w:fldCharType="separate"/>
      </w:r>
      <w:r w:rsidR="00D17FEA">
        <w:t>3.4</w:t>
      </w:r>
      <w:r>
        <w:fldChar w:fldCharType="end"/>
      </w:r>
      <w:r>
        <w:t xml:space="preserve"> and </w:t>
      </w:r>
      <w:r>
        <w:fldChar w:fldCharType="begin"/>
      </w:r>
      <w:r>
        <w:instrText xml:space="preserve"> REF _Ref15303431 \n \h </w:instrText>
      </w:r>
      <w:r w:rsidR="00DE3B79">
        <w:instrText xml:space="preserve"> \* MERGEFORMAT </w:instrText>
      </w:r>
      <w:r>
        <w:fldChar w:fldCharType="separate"/>
      </w:r>
      <w:r w:rsidR="00D17FEA">
        <w:t>3.5</w:t>
      </w:r>
      <w:r>
        <w:fldChar w:fldCharType="end"/>
      </w:r>
      <w:r>
        <w:t>), the ONS’ ABS and a previous study by the European Automobile Manufacturers Association</w:t>
      </w:r>
      <w:r>
        <w:rPr>
          <w:rStyle w:val="FootnoteReference"/>
        </w:rPr>
        <w:footnoteReference w:id="22"/>
      </w:r>
      <w:r>
        <w:t xml:space="preserve"> to derive the Solent’s facilitation.</w:t>
      </w:r>
    </w:p>
    <w:p w14:paraId="7F14D941" w14:textId="77777777" w:rsidR="001E6939" w:rsidRPr="002118C9" w:rsidRDefault="001E6939" w:rsidP="00DE3B79">
      <w:r>
        <w:t>The UK automotive manufacturing industry in 2017 had a turnover of £61 billion.</w:t>
      </w:r>
      <w:r>
        <w:rPr>
          <w:rStyle w:val="FootnoteReference"/>
        </w:rPr>
        <w:footnoteReference w:id="23"/>
      </w:r>
      <w:r>
        <w:t xml:space="preserve"> From our calculations, we estimate that the Solent facilitates 52% of the UK automotive industry through it facilitating trade with the EU and Non-EU destinations on such a large scale. As such, the Solent region is estimated to facilitate £32 billion of UK automotive manufacturing turnover in 2017. </w:t>
      </w:r>
    </w:p>
    <w:p w14:paraId="27A04607" w14:textId="571B8A60" w:rsidR="00D47FEA" w:rsidRDefault="00D47FEA" w:rsidP="00180E40">
      <w:pPr>
        <w:pStyle w:val="Heading1"/>
      </w:pPr>
      <w:bookmarkStart w:id="79" w:name="_Ref16580621"/>
      <w:bookmarkStart w:id="80" w:name="_Toc20139739"/>
      <w:r w:rsidRPr="00F05D6E">
        <w:lastRenderedPageBreak/>
        <w:t>Case Study: Carnival and P&amp;O Cruises in Southampton</w:t>
      </w:r>
      <w:bookmarkEnd w:id="79"/>
      <w:bookmarkEnd w:id="80"/>
      <w:r>
        <w:t xml:space="preserve"> </w:t>
      </w:r>
    </w:p>
    <w:p w14:paraId="1DA41D04" w14:textId="4AAB3463" w:rsidR="00D47FEA" w:rsidRDefault="00D47FEA" w:rsidP="00D47FEA">
      <w:pPr>
        <w:rPr>
          <w:rFonts w:ascii="Calibri" w:eastAsia="Microsoft JhengHei" w:hAnsi="Calibri"/>
        </w:rPr>
      </w:pPr>
      <w:r w:rsidRPr="00F05D6E">
        <w:rPr>
          <w:rFonts w:ascii="Calibri" w:eastAsia="Microsoft JhengHei" w:hAnsi="Calibri"/>
        </w:rPr>
        <w:t>Carnival Cruise is a large multinational company with its UK headquarters based in Southampton. It is the largest leisure travel company in the world comprising of operations in the UK, USA, Mainland Europe, China and Australia among others. Made up of notable brands such as Carnival Cruise, P&amp;O Cruise (UK and Australia), Princess Cruises, Cunard, Costa Cruises and Holland America Line, their portfolio contains 102 ships that visit more than 700 ports worldwide.</w:t>
      </w:r>
      <w:r w:rsidRPr="00F05D6E">
        <w:rPr>
          <w:rFonts w:ascii="Calibri" w:eastAsia="Microsoft JhengHei" w:hAnsi="Calibri"/>
          <w:vertAlign w:val="superscript"/>
        </w:rPr>
        <w:footnoteReference w:id="24"/>
      </w:r>
      <w:r w:rsidRPr="00F05D6E">
        <w:rPr>
          <w:rFonts w:ascii="Calibri" w:eastAsia="Microsoft JhengHei" w:hAnsi="Calibri"/>
        </w:rPr>
        <w:t xml:space="preserve"> </w:t>
      </w:r>
    </w:p>
    <w:p w14:paraId="3BF9E66A" w14:textId="77777777" w:rsidR="00D47FEA" w:rsidRDefault="00D47FEA" w:rsidP="00D47FEA">
      <w:pPr>
        <w:rPr>
          <w:rFonts w:ascii="Calibri" w:eastAsia="Microsoft JhengHei" w:hAnsi="Calibri"/>
        </w:rPr>
      </w:pPr>
      <w:r w:rsidRPr="00F05D6E">
        <w:rPr>
          <w:rFonts w:ascii="Calibri" w:eastAsia="Microsoft JhengHei" w:hAnsi="Calibri"/>
        </w:rPr>
        <w:t>Carnival Cruise accounts for approximately 50% of the global market, providing service to 12.1 million guests in 2017.</w:t>
      </w:r>
      <w:r w:rsidRPr="00F05D6E">
        <w:rPr>
          <w:rFonts w:ascii="Calibri" w:eastAsia="Microsoft JhengHei" w:hAnsi="Calibri"/>
          <w:vertAlign w:val="superscript"/>
        </w:rPr>
        <w:footnoteReference w:id="25"/>
      </w:r>
      <w:r w:rsidRPr="00F05D6E">
        <w:rPr>
          <w:rFonts w:ascii="Calibri" w:eastAsia="Microsoft JhengHei" w:hAnsi="Calibri"/>
        </w:rPr>
        <w:t xml:space="preserve"> This amounted to a revenue of $12.9 billion where 74% came through the sale of tickets </w:t>
      </w:r>
      <w:r>
        <w:rPr>
          <w:rFonts w:ascii="Calibri" w:eastAsia="Microsoft JhengHei" w:hAnsi="Calibri"/>
        </w:rPr>
        <w:t>alone</w:t>
      </w:r>
      <w:r w:rsidRPr="00F05D6E">
        <w:rPr>
          <w:rFonts w:ascii="Calibri" w:eastAsia="Microsoft JhengHei" w:hAnsi="Calibri"/>
        </w:rPr>
        <w:t>.</w:t>
      </w:r>
      <w:r>
        <w:rPr>
          <w:rFonts w:ascii="Calibri" w:eastAsia="Microsoft JhengHei" w:hAnsi="Calibri"/>
        </w:rPr>
        <w:t xml:space="preserve"> The remaining 26% came through on-board purchases which include things like day excursions, souvenirs, select dining and spa treatments.</w:t>
      </w:r>
      <w:r>
        <w:rPr>
          <w:rStyle w:val="FootnoteReference"/>
          <w:rFonts w:ascii="Calibri" w:eastAsia="Microsoft JhengHei" w:hAnsi="Calibri"/>
        </w:rPr>
        <w:footnoteReference w:id="26"/>
      </w:r>
    </w:p>
    <w:p w14:paraId="7D0940AD" w14:textId="77777777" w:rsidR="00D47FEA" w:rsidRPr="00F05D6E" w:rsidRDefault="00D47FEA" w:rsidP="00D47FEA">
      <w:pPr>
        <w:rPr>
          <w:rFonts w:ascii="Calibri" w:eastAsia="Microsoft JhengHei" w:hAnsi="Calibri"/>
        </w:rPr>
      </w:pPr>
      <w:r w:rsidRPr="00F05D6E">
        <w:rPr>
          <w:rFonts w:ascii="Calibri" w:eastAsia="Microsoft JhengHei" w:hAnsi="Calibri"/>
        </w:rPr>
        <w:t>Carnival’s UK operations in the form of P&amp;O Cruises are significant for the Solent region as t</w:t>
      </w:r>
      <w:r>
        <w:rPr>
          <w:rFonts w:ascii="Calibri" w:eastAsia="Microsoft JhengHei" w:hAnsi="Calibri"/>
        </w:rPr>
        <w:t>hey primarily operate out of Southampton:</w:t>
      </w:r>
      <w:r w:rsidRPr="00F05D6E">
        <w:rPr>
          <w:rFonts w:ascii="Calibri" w:eastAsia="Microsoft JhengHei" w:hAnsi="Calibri"/>
        </w:rPr>
        <w:t xml:space="preserve"> 2017 alone saw 800,000 individuals travel on </w:t>
      </w:r>
      <w:r>
        <w:rPr>
          <w:rFonts w:ascii="Calibri" w:eastAsia="Microsoft JhengHei" w:hAnsi="Calibri"/>
        </w:rPr>
        <w:t xml:space="preserve">UK </w:t>
      </w:r>
      <w:r w:rsidRPr="00F05D6E">
        <w:rPr>
          <w:rFonts w:ascii="Calibri" w:eastAsia="Microsoft JhengHei" w:hAnsi="Calibri"/>
        </w:rPr>
        <w:t>P&amp;O Cruises. This significant activity is supported by approximately 39,000 employees where 87% reside on-board the cruises themselves.</w:t>
      </w:r>
      <w:r w:rsidRPr="00F05D6E">
        <w:rPr>
          <w:rFonts w:ascii="Calibri" w:eastAsia="Microsoft JhengHei" w:hAnsi="Calibri"/>
          <w:vertAlign w:val="superscript"/>
        </w:rPr>
        <w:footnoteReference w:id="27"/>
      </w:r>
      <w:r w:rsidRPr="00F05D6E">
        <w:rPr>
          <w:rFonts w:ascii="Calibri" w:eastAsia="Microsoft JhengHei" w:hAnsi="Calibri"/>
        </w:rPr>
        <w:t xml:space="preserve"> </w:t>
      </w:r>
    </w:p>
    <w:p w14:paraId="67033AAF" w14:textId="77777777" w:rsidR="00D47FEA" w:rsidRDefault="00D47FEA" w:rsidP="00D47FEA">
      <w:pPr>
        <w:rPr>
          <w:rFonts w:ascii="Calibri" w:eastAsia="Microsoft JhengHei" w:hAnsi="Calibri"/>
        </w:rPr>
      </w:pPr>
      <w:r w:rsidRPr="00F05D6E">
        <w:rPr>
          <w:rFonts w:ascii="Calibri" w:eastAsia="Microsoft JhengHei" w:hAnsi="Calibri"/>
        </w:rPr>
        <w:t>Southampton has a rich history with P&amp;O Cruises, dating back to 1837 where cruises began with tours to Egypt, expanding to India in 1842.</w:t>
      </w:r>
      <w:r w:rsidRPr="00F05D6E">
        <w:rPr>
          <w:rFonts w:ascii="Calibri" w:eastAsia="Microsoft JhengHei" w:hAnsi="Calibri"/>
          <w:vertAlign w:val="superscript"/>
        </w:rPr>
        <w:footnoteReference w:id="28"/>
      </w:r>
      <w:r w:rsidRPr="00F05D6E">
        <w:rPr>
          <w:rFonts w:ascii="Calibri" w:eastAsia="Microsoft JhengHei" w:hAnsi="Calibri"/>
        </w:rPr>
        <w:t xml:space="preserve"> The 175</w:t>
      </w:r>
      <w:r w:rsidRPr="00F05D6E">
        <w:rPr>
          <w:rFonts w:ascii="Calibri" w:eastAsia="Microsoft JhengHei" w:hAnsi="Calibri"/>
          <w:vertAlign w:val="superscript"/>
        </w:rPr>
        <w:t>th</w:t>
      </w:r>
      <w:r w:rsidRPr="00F05D6E">
        <w:rPr>
          <w:rFonts w:ascii="Calibri" w:eastAsia="Microsoft JhengHei" w:hAnsi="Calibri"/>
        </w:rPr>
        <w:t xml:space="preserve"> anniversary was celebrated in 2012 which was marked by all seven cruise liners</w:t>
      </w:r>
      <w:r>
        <w:rPr>
          <w:rFonts w:ascii="Calibri" w:eastAsia="Microsoft JhengHei" w:hAnsi="Calibri"/>
        </w:rPr>
        <w:t xml:space="preserve"> docking</w:t>
      </w:r>
      <w:r w:rsidRPr="00F05D6E">
        <w:rPr>
          <w:rFonts w:ascii="Calibri" w:eastAsia="Microsoft JhengHei" w:hAnsi="Calibri"/>
        </w:rPr>
        <w:t xml:space="preserve"> in Southampton for the first time.</w:t>
      </w:r>
      <w:r w:rsidRPr="00F05D6E">
        <w:rPr>
          <w:rFonts w:ascii="Calibri" w:eastAsia="Microsoft JhengHei" w:hAnsi="Calibri"/>
          <w:vertAlign w:val="superscript"/>
        </w:rPr>
        <w:footnoteReference w:id="29"/>
      </w:r>
      <w:r w:rsidRPr="00F05D6E">
        <w:rPr>
          <w:rFonts w:ascii="Calibri" w:eastAsia="Microsoft JhengHei" w:hAnsi="Calibri"/>
        </w:rPr>
        <w:t xml:space="preserve"> </w:t>
      </w:r>
    </w:p>
    <w:p w14:paraId="01EF45F0" w14:textId="178EBFDF" w:rsidR="00D47FEA" w:rsidRDefault="00D47FEA" w:rsidP="00D47FEA">
      <w:pPr>
        <w:rPr>
          <w:rFonts w:ascii="Calibri" w:eastAsia="Microsoft JhengHei" w:hAnsi="Calibri"/>
        </w:rPr>
      </w:pPr>
      <w:r>
        <w:rPr>
          <w:rFonts w:ascii="Calibri" w:eastAsia="Microsoft JhengHei" w:hAnsi="Calibri"/>
        </w:rPr>
        <w:t>Since then, Carnival Cruise has established its 2020 Sustainability Goals stimulating significant investment in Marine Technology to the point where they are market leaders in some maritime environmental technologies.</w:t>
      </w:r>
      <w:r>
        <w:rPr>
          <w:rStyle w:val="FootnoteReference"/>
          <w:rFonts w:ascii="Calibri" w:eastAsia="Microsoft JhengHei" w:hAnsi="Calibri"/>
        </w:rPr>
        <w:footnoteReference w:id="30"/>
      </w:r>
      <w:r>
        <w:rPr>
          <w:rFonts w:ascii="Calibri" w:eastAsia="Microsoft JhengHei" w:hAnsi="Calibri"/>
        </w:rPr>
        <w:t xml:space="preserve"> The Sustainability Goals revolve around carbon emissions, general efficiency and environmental impact. Carnival Cruise’s $400 million investment into Exhaust Gas Cleaning Systems has led to 59% of their 102 ship fleet being covered, making them a market leader in this technology. They have also invested in reducing waste from ships, producing a 5% reduction relative to the 2010 baseline and increased their water efficiency by 5% through investments in technologies like reverse osmosis. They have also pledged the removal of single use plastics, to be replaced by recyclable or biodegradable alternatives.</w:t>
      </w:r>
      <w:r>
        <w:rPr>
          <w:rStyle w:val="FootnoteReference"/>
          <w:rFonts w:ascii="Calibri" w:eastAsia="Microsoft JhengHei" w:hAnsi="Calibri"/>
        </w:rPr>
        <w:footnoteReference w:id="31"/>
      </w:r>
    </w:p>
    <w:p w14:paraId="535AAD0D" w14:textId="77777777" w:rsidR="00D47FEA" w:rsidRDefault="00D47FEA" w:rsidP="00D47FEA">
      <w:pPr>
        <w:rPr>
          <w:rFonts w:ascii="Calibri" w:eastAsia="Microsoft JhengHei" w:hAnsi="Calibri"/>
        </w:rPr>
      </w:pPr>
      <w:r>
        <w:rPr>
          <w:rFonts w:ascii="Calibri" w:eastAsia="Microsoft JhengHei" w:hAnsi="Calibri"/>
        </w:rPr>
        <w:t>These technologies have been particularly effective at reducing the company’s carbon footprint. One of the Sustainability Goals was to reduce their CO</w:t>
      </w:r>
      <w:r>
        <w:rPr>
          <w:rFonts w:ascii="Calibri" w:eastAsia="Microsoft JhengHei" w:hAnsi="Calibri"/>
          <w:vertAlign w:val="subscript"/>
        </w:rPr>
        <w:t xml:space="preserve">2 </w:t>
      </w:r>
      <w:r>
        <w:rPr>
          <w:rFonts w:ascii="Calibri" w:eastAsia="Microsoft JhengHei" w:hAnsi="Calibri"/>
        </w:rPr>
        <w:t>footprint by 25% relative to 2005 levels by 2020. By 2018, Carnival Cruise had achieved a reduction of 24.8% implying that reductions will exceed target. This is particularly relevant as a key target of the UK Maritime 2050 report is reducing carbon emissions by 50%.</w:t>
      </w:r>
      <w:r>
        <w:rPr>
          <w:rStyle w:val="FootnoteReference"/>
          <w:rFonts w:ascii="Calibri" w:eastAsia="Microsoft JhengHei" w:hAnsi="Calibri"/>
        </w:rPr>
        <w:footnoteReference w:id="32"/>
      </w:r>
      <w:r>
        <w:rPr>
          <w:rFonts w:ascii="Calibri" w:eastAsia="Microsoft JhengHei" w:hAnsi="Calibri"/>
        </w:rPr>
        <w:t xml:space="preserve"> Cruise Shipping accounts for just over a third of direct revenue of the broader UK shipping industry emphasising the scale of effect investments into greener technologies could produce.</w:t>
      </w:r>
    </w:p>
    <w:p w14:paraId="58ADB3A6" w14:textId="77777777" w:rsidR="00D47FEA" w:rsidRDefault="00D47FEA" w:rsidP="00D47FEA">
      <w:r>
        <w:lastRenderedPageBreak/>
        <w:t>Cunard, another subsidiary of the Carnival Cruise PLC, has recently announced the introduction of a fourth ship to its fleet. This ship will have a capacity of 3,000 passengers and will be the first time since 1998 that the company has four ships operating simultaneously.</w:t>
      </w:r>
      <w:r>
        <w:rPr>
          <w:rStyle w:val="FootnoteReference"/>
        </w:rPr>
        <w:footnoteReference w:id="33"/>
      </w:r>
      <w:r>
        <w:t xml:space="preserve"> </w:t>
      </w:r>
    </w:p>
    <w:p w14:paraId="31127113" w14:textId="1AC87720" w:rsidR="00D47FEA" w:rsidRDefault="00D47FEA" w:rsidP="00D47FEA">
      <w:r>
        <w:t xml:space="preserve">Southampton is the only UK port from which Cunard and P&amp;O Cruises operate out of. This highlights the </w:t>
      </w:r>
      <w:r w:rsidRPr="00180E40">
        <w:t>region’s importance to the UK cruise tourism industry. This is magnified in the downstream impacts in</w:t>
      </w:r>
      <w:r w:rsidR="00180E40" w:rsidRPr="00180E40">
        <w:t xml:space="preserve"> Section</w:t>
      </w:r>
      <w:r w:rsidRPr="00180E40">
        <w:t xml:space="preserve"> </w:t>
      </w:r>
      <w:r w:rsidR="00180E40" w:rsidRPr="00180E40">
        <w:fldChar w:fldCharType="begin"/>
      </w:r>
      <w:r w:rsidR="00180E40" w:rsidRPr="00180E40">
        <w:instrText xml:space="preserve"> REF _Ref499880040 \r \h </w:instrText>
      </w:r>
      <w:r w:rsidR="00180E40" w:rsidRPr="00180E40">
        <w:fldChar w:fldCharType="separate"/>
      </w:r>
      <w:r w:rsidR="00D17FEA">
        <w:t>3</w:t>
      </w:r>
      <w:r w:rsidR="00180E40" w:rsidRPr="00180E40">
        <w:fldChar w:fldCharType="end"/>
      </w:r>
      <w:r w:rsidR="00180E40" w:rsidRPr="00180E40">
        <w:t>.</w:t>
      </w:r>
    </w:p>
    <w:p w14:paraId="03FD23C3" w14:textId="2B88BBD9" w:rsidR="00EF20E4" w:rsidRDefault="00D8042C" w:rsidP="00D47FEA">
      <w:pPr>
        <w:pStyle w:val="Heading1"/>
      </w:pPr>
      <w:bookmarkStart w:id="81" w:name="_Ref16580603"/>
      <w:bookmarkStart w:id="82" w:name="_Toc20139740"/>
      <w:r>
        <w:lastRenderedPageBreak/>
        <w:t>T</w:t>
      </w:r>
      <w:r w:rsidR="00EF20E4">
        <w:t xml:space="preserve">he </w:t>
      </w:r>
      <w:r>
        <w:t xml:space="preserve">Solent-based </w:t>
      </w:r>
      <w:r w:rsidR="00856BBD">
        <w:t>Maritime sector</w:t>
      </w:r>
      <w:r>
        <w:t xml:space="preserve"> and Portsmouth Naval Base</w:t>
      </w:r>
      <w:bookmarkEnd w:id="27"/>
      <w:bookmarkEnd w:id="28"/>
      <w:bookmarkEnd w:id="81"/>
      <w:bookmarkEnd w:id="82"/>
    </w:p>
    <w:p w14:paraId="2151B12E" w14:textId="7C9FA642" w:rsidR="0068331A" w:rsidRDefault="00E931EB" w:rsidP="00D8042C">
      <w:pPr>
        <w:spacing w:after="120"/>
      </w:pPr>
      <w:r>
        <w:t xml:space="preserve">Here we set out how the </w:t>
      </w:r>
      <w:r w:rsidR="00A133D8">
        <w:t>M</w:t>
      </w:r>
      <w:r>
        <w:t xml:space="preserve">aritime </w:t>
      </w:r>
      <w:r w:rsidR="00A03D03">
        <w:t>S</w:t>
      </w:r>
      <w:r w:rsidR="00A133D8">
        <w:t xml:space="preserve">ector </w:t>
      </w:r>
      <w:r>
        <w:t xml:space="preserve">has been defined for the purposes of the study. On a holistic level, the wider </w:t>
      </w:r>
      <w:r w:rsidR="00556AB6">
        <w:t xml:space="preserve">sector </w:t>
      </w:r>
      <w:r>
        <w:t xml:space="preserve">can be disaggregated into the </w:t>
      </w:r>
      <w:r w:rsidR="00140F6A">
        <w:t>s</w:t>
      </w:r>
      <w:r>
        <w:t xml:space="preserve">hipping, </w:t>
      </w:r>
      <w:r w:rsidR="00140F6A">
        <w:t>p</w:t>
      </w:r>
      <w:r w:rsidR="00556AB6">
        <w:t>orts</w:t>
      </w:r>
      <w:r>
        <w:t>,</w:t>
      </w:r>
      <w:r w:rsidR="00140F6A">
        <w:t xml:space="preserve"> leisure m</w:t>
      </w:r>
      <w:r w:rsidR="00A03D03">
        <w:t>arine,</w:t>
      </w:r>
      <w:r>
        <w:t xml:space="preserve"> </w:t>
      </w:r>
      <w:r w:rsidR="00140F6A">
        <w:t>m</w:t>
      </w:r>
      <w:r>
        <w:t>arine</w:t>
      </w:r>
      <w:r w:rsidR="00140F6A">
        <w:t xml:space="preserve"> e</w:t>
      </w:r>
      <w:r w:rsidR="00A03D03">
        <w:t>ngineering,</w:t>
      </w:r>
      <w:r>
        <w:t xml:space="preserve"> and </w:t>
      </w:r>
      <w:r w:rsidR="00140F6A">
        <w:t>m</w:t>
      </w:r>
      <w:r>
        <w:t xml:space="preserve">aritime </w:t>
      </w:r>
      <w:r w:rsidR="00140F6A">
        <w:t>b</w:t>
      </w:r>
      <w:r>
        <w:t xml:space="preserve">usiness </w:t>
      </w:r>
      <w:r w:rsidR="00140F6A">
        <w:t>s</w:t>
      </w:r>
      <w:r w:rsidR="008D7CA8">
        <w:t>ervices industries</w:t>
      </w:r>
      <w:r w:rsidR="00A03D03">
        <w:t>. To these five</w:t>
      </w:r>
      <w:r w:rsidR="00621054">
        <w:t xml:space="preserve"> industries we also consider the activities of Portsmouth Naval Base. </w:t>
      </w:r>
    </w:p>
    <w:p w14:paraId="5606F42C" w14:textId="77777777" w:rsidR="00020EA0" w:rsidRDefault="00621054" w:rsidP="00020EA0">
      <w:pPr>
        <w:pStyle w:val="Heading2"/>
      </w:pPr>
      <w:bookmarkStart w:id="83" w:name="_Toc20139741"/>
      <w:r>
        <w:t>The d</w:t>
      </w:r>
      <w:r w:rsidR="00020EA0">
        <w:t xml:space="preserve">efinition of the Maritime sector and </w:t>
      </w:r>
      <w:r>
        <w:t xml:space="preserve">its </w:t>
      </w:r>
      <w:r w:rsidR="00020EA0">
        <w:t>constituent industries</w:t>
      </w:r>
      <w:bookmarkEnd w:id="83"/>
    </w:p>
    <w:p w14:paraId="63D21A3E" w14:textId="549B30B8" w:rsidR="008D7CA8" w:rsidRDefault="0068331A" w:rsidP="008D7CA8">
      <w:r>
        <w:t xml:space="preserve">Maritime UK have provided a list of activities which fall under the </w:t>
      </w:r>
      <w:r w:rsidR="0003037A">
        <w:t>M</w:t>
      </w:r>
      <w:r>
        <w:t>ariti</w:t>
      </w:r>
      <w:r w:rsidR="00A03D03">
        <w:t>me S</w:t>
      </w:r>
      <w:r w:rsidR="0003037A">
        <w:t>ector</w:t>
      </w:r>
      <w:r>
        <w:t xml:space="preserve">; Cebr has subsequently undertaken a mapping exercise using this list </w:t>
      </w:r>
      <w:r w:rsidR="00140F6A">
        <w:t>to identify how each of these five</w:t>
      </w:r>
      <w:r>
        <w:t xml:space="preserve"> industries aligns with the national accounts. For most </w:t>
      </w:r>
      <w:r w:rsidR="00140F6A">
        <w:t>Maritime S</w:t>
      </w:r>
      <w:r w:rsidR="0003037A">
        <w:t xml:space="preserve">ector </w:t>
      </w:r>
      <w:r>
        <w:t>activities, a corresponding Standard Industrial Classification (SIC)</w:t>
      </w:r>
      <w:r w:rsidR="0003037A">
        <w:t xml:space="preserve"> </w:t>
      </w:r>
      <w:r>
        <w:t xml:space="preserve">code </w:t>
      </w:r>
      <w:r w:rsidR="0003037A">
        <w:t xml:space="preserve">exists </w:t>
      </w:r>
      <w:r>
        <w:t xml:space="preserve">which enables the </w:t>
      </w:r>
      <w:r w:rsidR="0003037A">
        <w:t xml:space="preserve">identification and </w:t>
      </w:r>
      <w:r>
        <w:t xml:space="preserve">quantification of the direct economic impacts using publicly-available data sources. A minority of activities do not map neatly against the SIC framework, necessitating the use of industry or local-level data for quantification purposes. </w:t>
      </w:r>
    </w:p>
    <w:p w14:paraId="0E45A9B3" w14:textId="4FC7B270" w:rsidR="00BC137A" w:rsidRDefault="0068331A" w:rsidP="008D7CA8">
      <w:pPr>
        <w:spacing w:after="120"/>
      </w:pPr>
      <w:r>
        <w:t xml:space="preserve">The Maritime </w:t>
      </w:r>
      <w:r w:rsidR="00A03D03">
        <w:t>S</w:t>
      </w:r>
      <w:r w:rsidR="00807B19">
        <w:t xml:space="preserve">ector </w:t>
      </w:r>
      <w:r>
        <w:t xml:space="preserve">in the Solent LEP region has therefore </w:t>
      </w:r>
      <w:r w:rsidR="002C4491">
        <w:t xml:space="preserve">be identified as consisting </w:t>
      </w:r>
      <w:r w:rsidR="00BC137A">
        <w:t>of the following activities. Each of the sub-sectors have been mapped to their sector by Cebr, in order to attribute Standard Industrial Classification (SIC) codes to the activity to allow their direct impacts to be measured.</w:t>
      </w:r>
      <w:r w:rsidR="00EA3F02">
        <w:t xml:space="preserve"> </w:t>
      </w:r>
    </w:p>
    <w:p w14:paraId="218BDE18" w14:textId="77777777" w:rsidR="00D62411" w:rsidRPr="00B857A5" w:rsidRDefault="00B6563F" w:rsidP="00136693">
      <w:pPr>
        <w:pStyle w:val="ListBullet"/>
        <w:numPr>
          <w:ilvl w:val="0"/>
          <w:numId w:val="25"/>
        </w:numPr>
        <w:spacing w:after="60"/>
        <w:ind w:left="360"/>
        <w:rPr>
          <w:b/>
          <w:szCs w:val="22"/>
        </w:rPr>
      </w:pPr>
      <w:r w:rsidRPr="00EA3F02">
        <w:rPr>
          <w:rFonts w:ascii="Calibri" w:eastAsia="Microsoft JhengHei" w:hAnsi="Calibri"/>
          <w:b/>
          <w:szCs w:val="22"/>
        </w:rPr>
        <w:t>Shipping</w:t>
      </w:r>
      <w:r w:rsidR="00D62411" w:rsidRPr="00F80268">
        <w:rPr>
          <w:rFonts w:ascii="Calibri" w:eastAsia="Microsoft JhengHei" w:hAnsi="Calibri"/>
          <w:b/>
          <w:szCs w:val="22"/>
        </w:rPr>
        <w:t xml:space="preserve"> industry</w:t>
      </w:r>
    </w:p>
    <w:p w14:paraId="0DD3FCB0" w14:textId="77777777" w:rsidR="00D62411" w:rsidRPr="00B857A5" w:rsidRDefault="00B6563F" w:rsidP="00D62411">
      <w:pPr>
        <w:pStyle w:val="ListBullet"/>
        <w:numPr>
          <w:ilvl w:val="1"/>
          <w:numId w:val="25"/>
        </w:numPr>
        <w:spacing w:after="0"/>
        <w:rPr>
          <w:b/>
          <w:szCs w:val="22"/>
        </w:rPr>
      </w:pPr>
      <w:r w:rsidRPr="00B857A5">
        <w:rPr>
          <w:szCs w:val="22"/>
        </w:rPr>
        <w:t>International transport of passengers;</w:t>
      </w:r>
    </w:p>
    <w:p w14:paraId="1891A7BC" w14:textId="77777777" w:rsidR="00D62411" w:rsidRPr="008D399F" w:rsidRDefault="00B6563F" w:rsidP="00D62411">
      <w:pPr>
        <w:pStyle w:val="ListBullet"/>
        <w:numPr>
          <w:ilvl w:val="1"/>
          <w:numId w:val="25"/>
        </w:numPr>
        <w:spacing w:after="0"/>
        <w:rPr>
          <w:b/>
          <w:szCs w:val="22"/>
        </w:rPr>
      </w:pPr>
      <w:r w:rsidRPr="008D399F">
        <w:rPr>
          <w:szCs w:val="22"/>
        </w:rPr>
        <w:t>Transport of passengers on inland waterways;</w:t>
      </w:r>
    </w:p>
    <w:p w14:paraId="26DC88D4" w14:textId="77777777" w:rsidR="00D62411" w:rsidRPr="00D417FD" w:rsidRDefault="00B6563F" w:rsidP="00D62411">
      <w:pPr>
        <w:pStyle w:val="ListBullet"/>
        <w:numPr>
          <w:ilvl w:val="1"/>
          <w:numId w:val="25"/>
        </w:numPr>
        <w:spacing w:after="0"/>
        <w:rPr>
          <w:b/>
          <w:szCs w:val="22"/>
        </w:rPr>
      </w:pPr>
      <w:r w:rsidRPr="008D399F">
        <w:rPr>
          <w:szCs w:val="22"/>
        </w:rPr>
        <w:t>International transport of freight;</w:t>
      </w:r>
    </w:p>
    <w:p w14:paraId="7579E2F6" w14:textId="77777777" w:rsidR="00B6563F" w:rsidRPr="00A97917" w:rsidRDefault="00D62411" w:rsidP="00EF20E4">
      <w:pPr>
        <w:pStyle w:val="ListBullet"/>
        <w:numPr>
          <w:ilvl w:val="1"/>
          <w:numId w:val="25"/>
        </w:numPr>
        <w:spacing w:after="120"/>
        <w:rPr>
          <w:b/>
          <w:szCs w:val="22"/>
        </w:rPr>
      </w:pPr>
      <w:r w:rsidRPr="00A97917">
        <w:rPr>
          <w:szCs w:val="22"/>
        </w:rPr>
        <w:t>T</w:t>
      </w:r>
      <w:r w:rsidR="00B6563F" w:rsidRPr="00A97917">
        <w:rPr>
          <w:szCs w:val="22"/>
        </w:rPr>
        <w:t>ransport of freight on inland waterways</w:t>
      </w:r>
      <w:r w:rsidR="00BC04EB" w:rsidRPr="00A97917">
        <w:rPr>
          <w:szCs w:val="22"/>
        </w:rPr>
        <w:t>.</w:t>
      </w:r>
    </w:p>
    <w:p w14:paraId="6004EF2D" w14:textId="77777777" w:rsidR="00D62411" w:rsidRPr="0004066A" w:rsidRDefault="00B6563F" w:rsidP="00136693">
      <w:pPr>
        <w:pStyle w:val="ListBullet"/>
        <w:numPr>
          <w:ilvl w:val="0"/>
          <w:numId w:val="25"/>
        </w:numPr>
        <w:spacing w:after="60"/>
        <w:ind w:left="360"/>
        <w:rPr>
          <w:rFonts w:ascii="Calibri" w:eastAsia="Microsoft JhengHei" w:hAnsi="Calibri"/>
          <w:b/>
          <w:szCs w:val="22"/>
        </w:rPr>
      </w:pPr>
      <w:r w:rsidRPr="00A97917">
        <w:rPr>
          <w:rFonts w:ascii="Calibri" w:eastAsia="Microsoft JhengHei" w:hAnsi="Calibri"/>
          <w:b/>
          <w:szCs w:val="22"/>
        </w:rPr>
        <w:t>Ports</w:t>
      </w:r>
      <w:r w:rsidR="00D62411" w:rsidRPr="00A97917">
        <w:rPr>
          <w:rFonts w:ascii="Calibri" w:eastAsia="Microsoft JhengHei" w:hAnsi="Calibri"/>
          <w:b/>
          <w:szCs w:val="22"/>
        </w:rPr>
        <w:t xml:space="preserve"> industry</w:t>
      </w:r>
    </w:p>
    <w:p w14:paraId="38587C45" w14:textId="77777777" w:rsidR="00D62411" w:rsidRPr="00D65BA4" w:rsidRDefault="00B6563F" w:rsidP="00D62411">
      <w:pPr>
        <w:pStyle w:val="ListBullet"/>
        <w:numPr>
          <w:ilvl w:val="1"/>
          <w:numId w:val="25"/>
        </w:numPr>
        <w:spacing w:after="0"/>
        <w:rPr>
          <w:rFonts w:ascii="Calibri" w:eastAsia="Microsoft JhengHei" w:hAnsi="Calibri"/>
          <w:szCs w:val="22"/>
        </w:rPr>
      </w:pPr>
      <w:r w:rsidRPr="00D65BA4">
        <w:rPr>
          <w:rFonts w:ascii="Calibri" w:eastAsia="Microsoft JhengHei" w:hAnsi="Calibri"/>
          <w:szCs w:val="22"/>
        </w:rPr>
        <w:t>Warehousing and storage;</w:t>
      </w:r>
    </w:p>
    <w:p w14:paraId="35A444A0" w14:textId="77777777" w:rsidR="00D62411" w:rsidRPr="00B857A5" w:rsidRDefault="00B6563F" w:rsidP="00D62411">
      <w:pPr>
        <w:pStyle w:val="ListBullet"/>
        <w:numPr>
          <w:ilvl w:val="1"/>
          <w:numId w:val="25"/>
        </w:numPr>
        <w:spacing w:after="0"/>
        <w:rPr>
          <w:rFonts w:ascii="Calibri" w:eastAsia="Microsoft JhengHei" w:hAnsi="Calibri"/>
          <w:b/>
          <w:szCs w:val="22"/>
        </w:rPr>
      </w:pPr>
      <w:r w:rsidRPr="00B857A5">
        <w:rPr>
          <w:szCs w:val="22"/>
        </w:rPr>
        <w:t>Port activities and management;</w:t>
      </w:r>
    </w:p>
    <w:p w14:paraId="79E974A1" w14:textId="77777777" w:rsidR="00D62411" w:rsidRPr="008D399F" w:rsidRDefault="00B6563F" w:rsidP="00D62411">
      <w:pPr>
        <w:pStyle w:val="ListBullet"/>
        <w:numPr>
          <w:ilvl w:val="1"/>
          <w:numId w:val="25"/>
        </w:numPr>
        <w:spacing w:after="0"/>
        <w:rPr>
          <w:rFonts w:ascii="Calibri" w:eastAsia="Microsoft JhengHei" w:hAnsi="Calibri"/>
          <w:b/>
          <w:szCs w:val="22"/>
        </w:rPr>
      </w:pPr>
      <w:r w:rsidRPr="008D399F">
        <w:rPr>
          <w:szCs w:val="22"/>
        </w:rPr>
        <w:t>Stevedores, cargo and passenger handling;</w:t>
      </w:r>
    </w:p>
    <w:p w14:paraId="0C2C41C6" w14:textId="77777777" w:rsidR="00B6563F" w:rsidRPr="00A97917" w:rsidRDefault="00F37012" w:rsidP="00EF20E4">
      <w:pPr>
        <w:pStyle w:val="ListBullet"/>
        <w:numPr>
          <w:ilvl w:val="1"/>
          <w:numId w:val="25"/>
        </w:numPr>
        <w:spacing w:after="120"/>
        <w:rPr>
          <w:rFonts w:ascii="Calibri" w:eastAsia="Microsoft JhengHei" w:hAnsi="Calibri"/>
          <w:b/>
          <w:szCs w:val="22"/>
        </w:rPr>
      </w:pPr>
      <w:r w:rsidRPr="008D399F">
        <w:rPr>
          <w:szCs w:val="22"/>
        </w:rPr>
        <w:t xml:space="preserve">Border </w:t>
      </w:r>
      <w:r w:rsidRPr="00D417FD">
        <w:rPr>
          <w:szCs w:val="22"/>
        </w:rPr>
        <w:t>agency</w:t>
      </w:r>
      <w:r w:rsidRPr="00F74763">
        <w:rPr>
          <w:szCs w:val="22"/>
        </w:rPr>
        <w:t>, HMRC</w:t>
      </w:r>
      <w:r w:rsidR="00B6563F" w:rsidRPr="00F74763">
        <w:rPr>
          <w:szCs w:val="22"/>
        </w:rPr>
        <w:t xml:space="preserve"> and public sector </w:t>
      </w:r>
      <w:r w:rsidRPr="00F74763">
        <w:rPr>
          <w:szCs w:val="22"/>
        </w:rPr>
        <w:t>employees</w:t>
      </w:r>
      <w:r w:rsidR="00B6563F" w:rsidRPr="007253DA">
        <w:rPr>
          <w:szCs w:val="22"/>
        </w:rPr>
        <w:t xml:space="preserve"> operating in ports</w:t>
      </w:r>
      <w:r w:rsidR="00BC04EB" w:rsidRPr="00711FC9">
        <w:rPr>
          <w:szCs w:val="22"/>
        </w:rPr>
        <w:t>.</w:t>
      </w:r>
    </w:p>
    <w:p w14:paraId="18E3F105" w14:textId="3C73E1A3" w:rsidR="00D62411" w:rsidRPr="00A97917" w:rsidRDefault="00A03D03" w:rsidP="00136693">
      <w:pPr>
        <w:pStyle w:val="ListBullet"/>
        <w:numPr>
          <w:ilvl w:val="0"/>
          <w:numId w:val="25"/>
        </w:numPr>
        <w:spacing w:after="60"/>
        <w:ind w:left="360"/>
        <w:rPr>
          <w:rFonts w:ascii="Calibri" w:eastAsia="Microsoft JhengHei" w:hAnsi="Calibri"/>
          <w:b/>
          <w:szCs w:val="22"/>
        </w:rPr>
      </w:pPr>
      <w:r>
        <w:rPr>
          <w:rFonts w:ascii="Calibri" w:eastAsia="Microsoft JhengHei" w:hAnsi="Calibri"/>
          <w:b/>
          <w:szCs w:val="22"/>
        </w:rPr>
        <w:t>Leisure Marine</w:t>
      </w:r>
    </w:p>
    <w:p w14:paraId="7BA2071B" w14:textId="77777777" w:rsidR="00B6563F" w:rsidRDefault="00EF69A8" w:rsidP="00000947">
      <w:pPr>
        <w:pStyle w:val="ListBullet"/>
        <w:numPr>
          <w:ilvl w:val="1"/>
          <w:numId w:val="25"/>
        </w:numPr>
        <w:spacing w:after="0"/>
        <w:rPr>
          <w:rFonts w:ascii="Calibri" w:eastAsia="Microsoft JhengHei" w:hAnsi="Calibri"/>
          <w:szCs w:val="22"/>
        </w:rPr>
      </w:pPr>
      <w:r>
        <w:rPr>
          <w:rFonts w:ascii="Calibri" w:eastAsia="Microsoft JhengHei" w:hAnsi="Calibri"/>
          <w:szCs w:val="22"/>
        </w:rPr>
        <w:t>Boat</w:t>
      </w:r>
      <w:r w:rsidR="00B6563F" w:rsidRPr="00A97917">
        <w:rPr>
          <w:rFonts w:ascii="Calibri" w:eastAsia="Microsoft JhengHei" w:hAnsi="Calibri"/>
          <w:szCs w:val="22"/>
        </w:rPr>
        <w:t>building</w:t>
      </w:r>
      <w:r w:rsidR="00D62411" w:rsidRPr="00A97917">
        <w:rPr>
          <w:rFonts w:ascii="Calibri" w:eastAsia="Microsoft JhengHei" w:hAnsi="Calibri"/>
          <w:szCs w:val="22"/>
        </w:rPr>
        <w:t xml:space="preserve"> </w:t>
      </w:r>
      <w:r w:rsidR="001E3470">
        <w:rPr>
          <w:rFonts w:ascii="Calibri" w:eastAsia="Microsoft JhengHei" w:hAnsi="Calibri"/>
          <w:szCs w:val="22"/>
        </w:rPr>
        <w:t>(</w:t>
      </w:r>
      <w:r w:rsidR="00B55FDD" w:rsidRPr="002E4A44">
        <w:rPr>
          <w:rFonts w:ascii="Calibri" w:eastAsia="Microsoft JhengHei" w:hAnsi="Calibri"/>
          <w:szCs w:val="22"/>
        </w:rPr>
        <w:t xml:space="preserve">marine </w:t>
      </w:r>
      <w:r w:rsidR="00B6563F" w:rsidRPr="002E55FC">
        <w:rPr>
          <w:rFonts w:ascii="Calibri" w:eastAsia="Microsoft JhengHei" w:hAnsi="Calibri"/>
          <w:szCs w:val="22"/>
        </w:rPr>
        <w:t>leisure vessels</w:t>
      </w:r>
      <w:r w:rsidR="001E3470">
        <w:rPr>
          <w:rFonts w:ascii="Calibri" w:eastAsia="Microsoft JhengHei" w:hAnsi="Calibri"/>
          <w:szCs w:val="22"/>
        </w:rPr>
        <w:t>)</w:t>
      </w:r>
      <w:r w:rsidR="00B6563F" w:rsidRPr="002E55FC">
        <w:rPr>
          <w:rFonts w:ascii="Calibri" w:eastAsia="Microsoft JhengHei" w:hAnsi="Calibri"/>
          <w:szCs w:val="22"/>
        </w:rPr>
        <w:t>;</w:t>
      </w:r>
    </w:p>
    <w:p w14:paraId="519C5675" w14:textId="3210E4F6" w:rsidR="002A5FF1" w:rsidRPr="002A5FF1" w:rsidRDefault="002A5FF1" w:rsidP="002A5FF1">
      <w:pPr>
        <w:pStyle w:val="ListBullet"/>
        <w:numPr>
          <w:ilvl w:val="1"/>
          <w:numId w:val="25"/>
        </w:numPr>
        <w:spacing w:after="0"/>
        <w:rPr>
          <w:rFonts w:ascii="Calibri" w:eastAsia="Microsoft JhengHei" w:hAnsi="Calibri"/>
          <w:szCs w:val="22"/>
        </w:rPr>
      </w:pPr>
      <w:r w:rsidRPr="00D65BA4">
        <w:rPr>
          <w:rFonts w:ascii="Calibri" w:eastAsia="Microsoft JhengHei" w:hAnsi="Calibri"/>
          <w:szCs w:val="22"/>
        </w:rPr>
        <w:t>Recreational marine activities, marine finance and legal activities and general marine services;</w:t>
      </w:r>
    </w:p>
    <w:p w14:paraId="44A40DCB" w14:textId="77777777" w:rsidR="00A03D03" w:rsidRDefault="00A03D03" w:rsidP="00A03D03">
      <w:pPr>
        <w:pStyle w:val="ListBullet"/>
        <w:spacing w:after="0"/>
        <w:rPr>
          <w:rFonts w:ascii="Calibri" w:eastAsia="Microsoft JhengHei" w:hAnsi="Calibri"/>
          <w:szCs w:val="22"/>
        </w:rPr>
      </w:pPr>
    </w:p>
    <w:p w14:paraId="64B20DF2" w14:textId="3BA9B098" w:rsidR="00A03D03" w:rsidRPr="00A03D03" w:rsidRDefault="00A03D03" w:rsidP="00A03D03">
      <w:pPr>
        <w:pStyle w:val="ListBullet"/>
        <w:numPr>
          <w:ilvl w:val="0"/>
          <w:numId w:val="25"/>
        </w:numPr>
        <w:spacing w:after="60"/>
        <w:ind w:left="360"/>
        <w:rPr>
          <w:rFonts w:ascii="Calibri" w:eastAsia="Microsoft JhengHei" w:hAnsi="Calibri"/>
          <w:b/>
          <w:szCs w:val="22"/>
        </w:rPr>
      </w:pPr>
      <w:r w:rsidRPr="00A03D03">
        <w:rPr>
          <w:rFonts w:ascii="Calibri" w:eastAsia="Microsoft JhengHei" w:hAnsi="Calibri"/>
          <w:b/>
          <w:szCs w:val="22"/>
        </w:rPr>
        <w:t xml:space="preserve">Marine Engineering </w:t>
      </w:r>
    </w:p>
    <w:p w14:paraId="4D2C8C7B" w14:textId="41161FBA" w:rsidR="002A5FF1" w:rsidRDefault="002A5FF1" w:rsidP="00A03D03">
      <w:pPr>
        <w:pStyle w:val="ListBullet"/>
        <w:numPr>
          <w:ilvl w:val="1"/>
          <w:numId w:val="25"/>
        </w:numPr>
        <w:spacing w:after="0"/>
        <w:rPr>
          <w:rFonts w:ascii="Calibri" w:eastAsia="Microsoft JhengHei" w:hAnsi="Calibri"/>
          <w:szCs w:val="22"/>
        </w:rPr>
      </w:pPr>
      <w:r>
        <w:rPr>
          <w:rFonts w:ascii="Calibri" w:eastAsia="Microsoft JhengHei" w:hAnsi="Calibri"/>
          <w:szCs w:val="22"/>
        </w:rPr>
        <w:t>Shipbuilding</w:t>
      </w:r>
    </w:p>
    <w:p w14:paraId="0CD7AA68" w14:textId="4033AC11" w:rsidR="00A03D03" w:rsidRPr="00A03D03" w:rsidRDefault="00A03D03" w:rsidP="00A03D03">
      <w:pPr>
        <w:pStyle w:val="ListBullet"/>
        <w:numPr>
          <w:ilvl w:val="1"/>
          <w:numId w:val="25"/>
        </w:numPr>
        <w:spacing w:after="0"/>
        <w:rPr>
          <w:rFonts w:ascii="Calibri" w:eastAsia="Microsoft JhengHei" w:hAnsi="Calibri"/>
          <w:szCs w:val="22"/>
        </w:rPr>
      </w:pPr>
      <w:r w:rsidRPr="00D65BA4">
        <w:rPr>
          <w:rFonts w:ascii="Calibri" w:eastAsia="Microsoft JhengHei" w:hAnsi="Calibri"/>
          <w:szCs w:val="22"/>
        </w:rPr>
        <w:t>Marine renewable energy;</w:t>
      </w:r>
    </w:p>
    <w:p w14:paraId="643ACAE2" w14:textId="77777777" w:rsidR="00B6563F" w:rsidRPr="00D65BA4" w:rsidRDefault="0016171C" w:rsidP="00000947">
      <w:pPr>
        <w:pStyle w:val="ListBullet"/>
        <w:numPr>
          <w:ilvl w:val="1"/>
          <w:numId w:val="25"/>
        </w:numPr>
        <w:spacing w:after="0"/>
        <w:rPr>
          <w:rFonts w:ascii="Calibri" w:eastAsia="Microsoft JhengHei" w:hAnsi="Calibri"/>
          <w:szCs w:val="22"/>
        </w:rPr>
      </w:pPr>
      <w:r>
        <w:rPr>
          <w:rFonts w:ascii="Calibri" w:eastAsia="Microsoft JhengHei" w:hAnsi="Calibri"/>
          <w:szCs w:val="22"/>
        </w:rPr>
        <w:t>Marine s</w:t>
      </w:r>
      <w:r w:rsidR="00B6563F" w:rsidRPr="00D65BA4">
        <w:rPr>
          <w:rFonts w:ascii="Calibri" w:eastAsia="Microsoft JhengHei" w:hAnsi="Calibri"/>
          <w:szCs w:val="22"/>
        </w:rPr>
        <w:t>upport activities for offshore oil and gas, engineering and mining;</w:t>
      </w:r>
    </w:p>
    <w:p w14:paraId="3E07B166" w14:textId="77777777" w:rsidR="00B6563F" w:rsidRPr="00D65BA4" w:rsidRDefault="00B6563F" w:rsidP="00BE6EE6">
      <w:pPr>
        <w:pStyle w:val="ListBullet"/>
        <w:numPr>
          <w:ilvl w:val="1"/>
          <w:numId w:val="25"/>
        </w:numPr>
        <w:spacing w:after="120"/>
        <w:rPr>
          <w:rFonts w:ascii="Calibri" w:eastAsia="Microsoft JhengHei" w:hAnsi="Calibri"/>
          <w:szCs w:val="22"/>
        </w:rPr>
      </w:pPr>
      <w:r w:rsidRPr="00D65BA4">
        <w:rPr>
          <w:rFonts w:ascii="Calibri" w:eastAsia="Microsoft JhengHei" w:hAnsi="Calibri"/>
          <w:szCs w:val="22"/>
        </w:rPr>
        <w:t>Marine science and academic activities, including government v</w:t>
      </w:r>
      <w:r w:rsidR="008D7CA8">
        <w:rPr>
          <w:rFonts w:ascii="Calibri" w:eastAsia="Microsoft JhengHei" w:hAnsi="Calibri"/>
          <w:szCs w:val="22"/>
        </w:rPr>
        <w:t>essels and technical consulting.</w:t>
      </w:r>
    </w:p>
    <w:p w14:paraId="482D6720" w14:textId="77777777" w:rsidR="00B6563F" w:rsidRPr="00D65BA4" w:rsidRDefault="00B6563F" w:rsidP="00136693">
      <w:pPr>
        <w:pStyle w:val="ListBullet"/>
        <w:numPr>
          <w:ilvl w:val="0"/>
          <w:numId w:val="25"/>
        </w:numPr>
        <w:spacing w:after="60"/>
        <w:ind w:left="360"/>
        <w:rPr>
          <w:b/>
          <w:szCs w:val="22"/>
        </w:rPr>
      </w:pPr>
      <w:r w:rsidRPr="00D65BA4">
        <w:rPr>
          <w:rFonts w:ascii="Calibri" w:eastAsia="Microsoft JhengHei" w:hAnsi="Calibri"/>
          <w:b/>
          <w:szCs w:val="22"/>
        </w:rPr>
        <w:t>Maritime</w:t>
      </w:r>
      <w:r w:rsidRPr="00D65BA4">
        <w:rPr>
          <w:b/>
          <w:szCs w:val="22"/>
        </w:rPr>
        <w:t xml:space="preserve"> Business Services</w:t>
      </w:r>
      <w:r w:rsidR="00000947" w:rsidRPr="00D65BA4">
        <w:rPr>
          <w:b/>
          <w:szCs w:val="22"/>
        </w:rPr>
        <w:t xml:space="preserve"> industry</w:t>
      </w:r>
    </w:p>
    <w:p w14:paraId="10DA24FF" w14:textId="270500A1" w:rsidR="00B6563F" w:rsidRPr="00D65BA4" w:rsidRDefault="00B6563F" w:rsidP="00000947">
      <w:pPr>
        <w:pStyle w:val="ListBullet"/>
        <w:numPr>
          <w:ilvl w:val="1"/>
          <w:numId w:val="25"/>
        </w:numPr>
        <w:spacing w:after="0"/>
        <w:rPr>
          <w:rFonts w:ascii="Calibri" w:eastAsia="Microsoft JhengHei" w:hAnsi="Calibri"/>
          <w:szCs w:val="22"/>
        </w:rPr>
      </w:pPr>
      <w:r w:rsidRPr="00D65BA4">
        <w:rPr>
          <w:rFonts w:ascii="Calibri" w:eastAsia="Microsoft JhengHei" w:hAnsi="Calibri"/>
          <w:szCs w:val="22"/>
        </w:rPr>
        <w:t>Shipbroking</w:t>
      </w:r>
      <w:r w:rsidR="00140F6A">
        <w:rPr>
          <w:rFonts w:ascii="Calibri" w:eastAsia="Microsoft JhengHei" w:hAnsi="Calibri"/>
          <w:szCs w:val="22"/>
        </w:rPr>
        <w:t xml:space="preserve"> services</w:t>
      </w:r>
      <w:r w:rsidRPr="00D65BA4">
        <w:rPr>
          <w:rFonts w:ascii="Calibri" w:eastAsia="Microsoft JhengHei" w:hAnsi="Calibri"/>
          <w:szCs w:val="22"/>
        </w:rPr>
        <w:t>;</w:t>
      </w:r>
    </w:p>
    <w:p w14:paraId="1BCA1378" w14:textId="1FDE3E9F" w:rsidR="00B6563F" w:rsidRPr="00D65BA4" w:rsidRDefault="00647E25" w:rsidP="00000947">
      <w:pPr>
        <w:pStyle w:val="ListBullet"/>
        <w:numPr>
          <w:ilvl w:val="1"/>
          <w:numId w:val="25"/>
        </w:numPr>
        <w:spacing w:after="0"/>
        <w:rPr>
          <w:rFonts w:ascii="Calibri" w:eastAsia="Microsoft JhengHei" w:hAnsi="Calibri"/>
          <w:szCs w:val="22"/>
        </w:rPr>
      </w:pPr>
      <w:r>
        <w:rPr>
          <w:rFonts w:ascii="Calibri" w:eastAsia="Microsoft JhengHei" w:hAnsi="Calibri"/>
          <w:szCs w:val="22"/>
        </w:rPr>
        <w:t>Maritime I</w:t>
      </w:r>
      <w:r w:rsidR="00000947" w:rsidRPr="00D65BA4">
        <w:rPr>
          <w:rFonts w:ascii="Calibri" w:eastAsia="Microsoft JhengHei" w:hAnsi="Calibri"/>
          <w:szCs w:val="22"/>
        </w:rPr>
        <w:t>nsurance</w:t>
      </w:r>
      <w:r w:rsidR="00B6563F" w:rsidRPr="00D65BA4">
        <w:rPr>
          <w:rFonts w:ascii="Calibri" w:eastAsia="Microsoft JhengHei" w:hAnsi="Calibri"/>
          <w:szCs w:val="22"/>
        </w:rPr>
        <w:t xml:space="preserve"> services;</w:t>
      </w:r>
      <w:r w:rsidR="00E62F9C" w:rsidRPr="00D65BA4">
        <w:rPr>
          <w:rFonts w:ascii="Calibri" w:eastAsia="Microsoft JhengHei" w:hAnsi="Calibri"/>
          <w:szCs w:val="22"/>
          <w:vertAlign w:val="superscript"/>
        </w:rPr>
        <w:t xml:space="preserve"> </w:t>
      </w:r>
    </w:p>
    <w:p w14:paraId="3259AB5A" w14:textId="43B6E3D7" w:rsidR="00B6563F" w:rsidRDefault="00140F6A" w:rsidP="00000947">
      <w:pPr>
        <w:pStyle w:val="ListBullet"/>
        <w:numPr>
          <w:ilvl w:val="1"/>
          <w:numId w:val="25"/>
        </w:numPr>
        <w:spacing w:after="0"/>
        <w:rPr>
          <w:rFonts w:ascii="Calibri" w:eastAsia="Microsoft JhengHei" w:hAnsi="Calibri"/>
          <w:szCs w:val="22"/>
        </w:rPr>
      </w:pPr>
      <w:r>
        <w:rPr>
          <w:rFonts w:ascii="Calibri" w:eastAsia="Microsoft JhengHei" w:hAnsi="Calibri"/>
          <w:szCs w:val="22"/>
        </w:rPr>
        <w:t>Maritime Financial services</w:t>
      </w:r>
      <w:r w:rsidR="00B6563F" w:rsidRPr="00D65BA4">
        <w:rPr>
          <w:rFonts w:ascii="Calibri" w:eastAsia="Microsoft JhengHei" w:hAnsi="Calibri"/>
          <w:szCs w:val="22"/>
        </w:rPr>
        <w:t>;</w:t>
      </w:r>
    </w:p>
    <w:p w14:paraId="5A4F771C" w14:textId="57794AE7" w:rsidR="00140F6A" w:rsidRDefault="00140F6A" w:rsidP="00000947">
      <w:pPr>
        <w:pStyle w:val="ListBullet"/>
        <w:numPr>
          <w:ilvl w:val="1"/>
          <w:numId w:val="25"/>
        </w:numPr>
        <w:spacing w:after="0"/>
        <w:rPr>
          <w:rFonts w:ascii="Calibri" w:eastAsia="Microsoft JhengHei" w:hAnsi="Calibri"/>
          <w:szCs w:val="22"/>
        </w:rPr>
      </w:pPr>
      <w:r>
        <w:rPr>
          <w:rFonts w:ascii="Calibri" w:eastAsia="Microsoft JhengHei" w:hAnsi="Calibri"/>
          <w:szCs w:val="22"/>
        </w:rPr>
        <w:t xml:space="preserve">Maritime Legal Services; </w:t>
      </w:r>
    </w:p>
    <w:p w14:paraId="35995C5E" w14:textId="633B6811" w:rsidR="00140F6A" w:rsidRDefault="00140F6A" w:rsidP="00000947">
      <w:pPr>
        <w:pStyle w:val="ListBullet"/>
        <w:numPr>
          <w:ilvl w:val="1"/>
          <w:numId w:val="25"/>
        </w:numPr>
        <w:spacing w:after="0"/>
        <w:rPr>
          <w:rFonts w:ascii="Calibri" w:eastAsia="Microsoft JhengHei" w:hAnsi="Calibri"/>
          <w:szCs w:val="22"/>
        </w:rPr>
      </w:pPr>
      <w:r>
        <w:rPr>
          <w:rFonts w:ascii="Calibri" w:eastAsia="Microsoft JhengHei" w:hAnsi="Calibri"/>
          <w:szCs w:val="22"/>
        </w:rPr>
        <w:t xml:space="preserve">Ship Surveying and Classification activities; </w:t>
      </w:r>
    </w:p>
    <w:p w14:paraId="350F5D7C" w14:textId="074F7DFE" w:rsidR="00A07C5B" w:rsidRDefault="00140F6A" w:rsidP="00000947">
      <w:pPr>
        <w:pStyle w:val="ListBullet"/>
        <w:numPr>
          <w:ilvl w:val="1"/>
          <w:numId w:val="25"/>
        </w:numPr>
        <w:spacing w:after="0"/>
        <w:rPr>
          <w:rFonts w:ascii="Calibri" w:eastAsia="Microsoft JhengHei" w:hAnsi="Calibri"/>
          <w:szCs w:val="22"/>
        </w:rPr>
      </w:pPr>
      <w:r>
        <w:rPr>
          <w:rFonts w:ascii="Calibri" w:eastAsia="Microsoft JhengHei" w:hAnsi="Calibri"/>
          <w:szCs w:val="22"/>
        </w:rPr>
        <w:t>Maritime E</w:t>
      </w:r>
      <w:r w:rsidR="00A07C5B">
        <w:rPr>
          <w:rFonts w:ascii="Calibri" w:eastAsia="Microsoft JhengHei" w:hAnsi="Calibri"/>
          <w:szCs w:val="22"/>
        </w:rPr>
        <w:t xml:space="preserve">ducation (including </w:t>
      </w:r>
      <w:r>
        <w:rPr>
          <w:rFonts w:ascii="Calibri" w:eastAsia="Microsoft JhengHei" w:hAnsi="Calibri"/>
          <w:szCs w:val="22"/>
        </w:rPr>
        <w:t>Maritime university courses and cadetships</w:t>
      </w:r>
      <w:r w:rsidR="00A07C5B">
        <w:rPr>
          <w:rFonts w:ascii="Calibri" w:eastAsia="Microsoft JhengHei" w:hAnsi="Calibri"/>
          <w:szCs w:val="22"/>
        </w:rPr>
        <w:t>)</w:t>
      </w:r>
    </w:p>
    <w:p w14:paraId="0C2CC570" w14:textId="7E1F8966" w:rsidR="00140F6A" w:rsidRDefault="00140F6A" w:rsidP="00000947">
      <w:pPr>
        <w:pStyle w:val="ListBullet"/>
        <w:numPr>
          <w:ilvl w:val="1"/>
          <w:numId w:val="25"/>
        </w:numPr>
        <w:spacing w:after="0"/>
        <w:rPr>
          <w:rFonts w:ascii="Calibri" w:eastAsia="Microsoft JhengHei" w:hAnsi="Calibri"/>
          <w:szCs w:val="22"/>
        </w:rPr>
      </w:pPr>
      <w:r>
        <w:rPr>
          <w:rFonts w:ascii="Calibri" w:eastAsia="Microsoft JhengHei" w:hAnsi="Calibri"/>
          <w:szCs w:val="22"/>
        </w:rPr>
        <w:t xml:space="preserve">Maritime Consultancy; </w:t>
      </w:r>
    </w:p>
    <w:p w14:paraId="2C9EFFD4" w14:textId="42CE4450" w:rsidR="00140F6A" w:rsidRDefault="00140F6A" w:rsidP="00000947">
      <w:pPr>
        <w:pStyle w:val="ListBullet"/>
        <w:numPr>
          <w:ilvl w:val="1"/>
          <w:numId w:val="25"/>
        </w:numPr>
        <w:spacing w:after="0"/>
        <w:rPr>
          <w:rFonts w:ascii="Calibri" w:eastAsia="Microsoft JhengHei" w:hAnsi="Calibri"/>
          <w:szCs w:val="22"/>
        </w:rPr>
      </w:pPr>
      <w:r>
        <w:rPr>
          <w:rFonts w:ascii="Calibri" w:eastAsia="Microsoft JhengHei" w:hAnsi="Calibri"/>
          <w:szCs w:val="22"/>
        </w:rPr>
        <w:t>Maritime Accountancy.</w:t>
      </w:r>
    </w:p>
    <w:p w14:paraId="02BD489A" w14:textId="77777777" w:rsidR="00140F6A" w:rsidRPr="00D65BA4" w:rsidRDefault="00140F6A" w:rsidP="00140F6A">
      <w:pPr>
        <w:pStyle w:val="ListBullet"/>
        <w:spacing w:after="0"/>
        <w:ind w:left="644"/>
        <w:rPr>
          <w:rFonts w:ascii="Calibri" w:eastAsia="Microsoft JhengHei" w:hAnsi="Calibri"/>
          <w:szCs w:val="22"/>
        </w:rPr>
      </w:pPr>
    </w:p>
    <w:p w14:paraId="00AA338B" w14:textId="56998093" w:rsidR="009F1195" w:rsidRPr="00A97917" w:rsidRDefault="009F1195" w:rsidP="009F1195">
      <w:pPr>
        <w:pStyle w:val="ListBullet"/>
        <w:numPr>
          <w:ilvl w:val="0"/>
          <w:numId w:val="25"/>
        </w:numPr>
        <w:spacing w:after="60"/>
        <w:ind w:left="360"/>
        <w:rPr>
          <w:rFonts w:ascii="Calibri" w:eastAsia="Microsoft JhengHei" w:hAnsi="Calibri"/>
          <w:b/>
          <w:szCs w:val="22"/>
        </w:rPr>
      </w:pPr>
      <w:r>
        <w:rPr>
          <w:rFonts w:ascii="Calibri" w:eastAsia="Microsoft JhengHei" w:hAnsi="Calibri"/>
          <w:b/>
          <w:szCs w:val="22"/>
        </w:rPr>
        <w:t>Portsmouth Naval Base</w:t>
      </w:r>
      <w:r w:rsidR="00EC032C">
        <w:rPr>
          <w:rStyle w:val="FootnoteReference"/>
          <w:rFonts w:ascii="Calibri" w:eastAsia="Microsoft JhengHei" w:hAnsi="Calibri"/>
          <w:b/>
          <w:szCs w:val="22"/>
        </w:rPr>
        <w:footnoteReference w:id="34"/>
      </w:r>
    </w:p>
    <w:p w14:paraId="1C87FE31" w14:textId="77777777" w:rsidR="009F1195" w:rsidRDefault="009F1195" w:rsidP="009F1195">
      <w:pPr>
        <w:pStyle w:val="ListParagraph"/>
        <w:numPr>
          <w:ilvl w:val="1"/>
          <w:numId w:val="25"/>
        </w:numPr>
        <w:spacing w:after="0"/>
        <w:rPr>
          <w:szCs w:val="22"/>
        </w:rPr>
      </w:pPr>
      <w:r w:rsidRPr="00D65BA4">
        <w:rPr>
          <w:szCs w:val="22"/>
        </w:rPr>
        <w:t>Shipbuilding</w:t>
      </w:r>
      <w:r>
        <w:rPr>
          <w:szCs w:val="22"/>
        </w:rPr>
        <w:t>, Marine Engineering and the Naval Defence industry</w:t>
      </w:r>
      <w:r w:rsidRPr="00EA3F02">
        <w:rPr>
          <w:szCs w:val="22"/>
        </w:rPr>
        <w:t>;</w:t>
      </w:r>
    </w:p>
    <w:p w14:paraId="282F551A" w14:textId="77777777" w:rsidR="009F1195" w:rsidRDefault="009F1195" w:rsidP="009F1195">
      <w:pPr>
        <w:pStyle w:val="ListParagraph"/>
        <w:numPr>
          <w:ilvl w:val="1"/>
          <w:numId w:val="25"/>
        </w:numPr>
        <w:spacing w:after="0"/>
        <w:rPr>
          <w:szCs w:val="22"/>
        </w:rPr>
      </w:pPr>
      <w:r>
        <w:rPr>
          <w:szCs w:val="22"/>
        </w:rPr>
        <w:t>Naval defence activities (MOD and Civilian)</w:t>
      </w:r>
      <w:r w:rsidR="00A45BAA">
        <w:rPr>
          <w:szCs w:val="22"/>
        </w:rPr>
        <w:t>;</w:t>
      </w:r>
    </w:p>
    <w:p w14:paraId="132F9E7A" w14:textId="6F9CB964" w:rsidR="00145550" w:rsidRDefault="009F1195" w:rsidP="00145550">
      <w:pPr>
        <w:pStyle w:val="ListParagraph"/>
        <w:numPr>
          <w:ilvl w:val="1"/>
          <w:numId w:val="25"/>
        </w:numPr>
        <w:spacing w:after="0"/>
        <w:rPr>
          <w:szCs w:val="22"/>
        </w:rPr>
      </w:pPr>
      <w:r>
        <w:rPr>
          <w:szCs w:val="22"/>
        </w:rPr>
        <w:t>Other activities</w:t>
      </w:r>
      <w:r w:rsidR="00866ABE">
        <w:rPr>
          <w:szCs w:val="22"/>
        </w:rPr>
        <w:t xml:space="preserve"> (including heritage and cultural services)</w:t>
      </w:r>
      <w:r>
        <w:rPr>
          <w:szCs w:val="22"/>
        </w:rPr>
        <w:t xml:space="preserve"> and ship services</w:t>
      </w:r>
      <w:r w:rsidR="000E4B3D">
        <w:rPr>
          <w:szCs w:val="22"/>
        </w:rPr>
        <w:t>.</w:t>
      </w:r>
    </w:p>
    <w:p w14:paraId="6A811F8C" w14:textId="77777777" w:rsidR="00145550" w:rsidRDefault="00145550" w:rsidP="00145550">
      <w:pPr>
        <w:spacing w:after="0"/>
        <w:rPr>
          <w:szCs w:val="22"/>
        </w:rPr>
      </w:pPr>
    </w:p>
    <w:p w14:paraId="11E21CC6" w14:textId="77777777" w:rsidR="00145550" w:rsidRPr="00145550" w:rsidRDefault="00145550" w:rsidP="00145550">
      <w:pPr>
        <w:spacing w:after="0"/>
        <w:rPr>
          <w:szCs w:val="22"/>
        </w:rPr>
      </w:pPr>
    </w:p>
    <w:p w14:paraId="52B61D31" w14:textId="483C6877" w:rsidR="0055300C" w:rsidRDefault="0055300C" w:rsidP="0055300C">
      <w:pPr>
        <w:pStyle w:val="Heading2"/>
      </w:pPr>
      <w:bookmarkStart w:id="84" w:name="_Toc20139742"/>
      <w:r>
        <w:t>M</w:t>
      </w:r>
      <w:r w:rsidR="00145550">
        <w:t>apping Maritime S</w:t>
      </w:r>
      <w:r>
        <w:t>ector activities against the national accounts framework</w:t>
      </w:r>
      <w:bookmarkEnd w:id="84"/>
    </w:p>
    <w:p w14:paraId="2F8AC282" w14:textId="77777777" w:rsidR="00826B4B" w:rsidRDefault="00B3617B" w:rsidP="009F1195">
      <w:pPr>
        <w:pStyle w:val="ListBullet"/>
        <w:rPr>
          <w:rFonts w:ascii="Calibri" w:eastAsia="Microsoft JhengHei" w:hAnsi="Calibri"/>
          <w:szCs w:val="22"/>
        </w:rPr>
      </w:pPr>
      <w:r>
        <w:rPr>
          <w:rFonts w:ascii="Calibri" w:eastAsia="Microsoft JhengHei" w:hAnsi="Calibri"/>
          <w:szCs w:val="22"/>
        </w:rPr>
        <w:t>Here we set out how the direct economic contribution of the industries and activities listed in the previous subsection have been mapped against t</w:t>
      </w:r>
      <w:r w:rsidR="00DA0D0B">
        <w:rPr>
          <w:rFonts w:ascii="Calibri" w:eastAsia="Microsoft JhengHei" w:hAnsi="Calibri"/>
          <w:szCs w:val="22"/>
        </w:rPr>
        <w:t xml:space="preserve">he national accounts framework. For activities which do not map neatly against this framework – in other words, when SIC codes cannot be used to accurately reflect or capture a particular </w:t>
      </w:r>
      <w:r w:rsidR="009F1195">
        <w:rPr>
          <w:rFonts w:ascii="Calibri" w:eastAsia="Microsoft JhengHei" w:hAnsi="Calibri"/>
          <w:szCs w:val="22"/>
        </w:rPr>
        <w:t>m</w:t>
      </w:r>
      <w:r w:rsidR="00DA0D0B">
        <w:rPr>
          <w:rFonts w:ascii="Calibri" w:eastAsia="Microsoft JhengHei" w:hAnsi="Calibri"/>
          <w:szCs w:val="22"/>
        </w:rPr>
        <w:t xml:space="preserve">aritime-related activity – we </w:t>
      </w:r>
      <w:r w:rsidR="00986710">
        <w:rPr>
          <w:rFonts w:ascii="Calibri" w:eastAsia="Microsoft JhengHei" w:hAnsi="Calibri"/>
          <w:szCs w:val="22"/>
        </w:rPr>
        <w:t xml:space="preserve">outline </w:t>
      </w:r>
      <w:r w:rsidR="00DA0D0B">
        <w:rPr>
          <w:rFonts w:ascii="Calibri" w:eastAsia="Microsoft JhengHei" w:hAnsi="Calibri"/>
          <w:szCs w:val="22"/>
        </w:rPr>
        <w:t xml:space="preserve">the </w:t>
      </w:r>
      <w:r w:rsidR="00986710">
        <w:rPr>
          <w:rFonts w:ascii="Calibri" w:eastAsia="Microsoft JhengHei" w:hAnsi="Calibri"/>
          <w:szCs w:val="22"/>
        </w:rPr>
        <w:t xml:space="preserve">industry-level </w:t>
      </w:r>
      <w:r w:rsidR="00DA0D0B">
        <w:rPr>
          <w:rFonts w:ascii="Calibri" w:eastAsia="Microsoft JhengHei" w:hAnsi="Calibri"/>
          <w:szCs w:val="22"/>
        </w:rPr>
        <w:t xml:space="preserve">sources </w:t>
      </w:r>
      <w:r w:rsidR="00986710">
        <w:rPr>
          <w:rFonts w:ascii="Calibri" w:eastAsia="Microsoft JhengHei" w:hAnsi="Calibri"/>
          <w:szCs w:val="22"/>
        </w:rPr>
        <w:t>to separately quantify the economic contribution</w:t>
      </w:r>
      <w:r w:rsidR="00DA0D0B">
        <w:rPr>
          <w:rFonts w:ascii="Calibri" w:eastAsia="Microsoft JhengHei" w:hAnsi="Calibri"/>
          <w:szCs w:val="22"/>
        </w:rPr>
        <w:t>.</w:t>
      </w:r>
      <w:r w:rsidR="004839C8">
        <w:rPr>
          <w:rFonts w:ascii="Calibri" w:eastAsia="Microsoft JhengHei" w:hAnsi="Calibri"/>
          <w:szCs w:val="22"/>
        </w:rPr>
        <w:t xml:space="preserve"> </w:t>
      </w:r>
    </w:p>
    <w:p w14:paraId="7954C9AB" w14:textId="2F022DA1" w:rsidR="004D4579" w:rsidRDefault="009162C0" w:rsidP="00FC72D6">
      <w:pPr>
        <w:pStyle w:val="ListBullet"/>
        <w:spacing w:after="120"/>
        <w:rPr>
          <w:rFonts w:ascii="Calibri" w:eastAsia="Microsoft JhengHei" w:hAnsi="Calibri"/>
          <w:szCs w:val="22"/>
        </w:rPr>
      </w:pPr>
      <w:r>
        <w:rPr>
          <w:rFonts w:ascii="Calibri" w:eastAsia="Microsoft JhengHei" w:hAnsi="Calibri"/>
          <w:szCs w:val="22"/>
        </w:rPr>
        <w:t>It should be stressed that the Maritime industries as defined here are unlikely to be exhaustive, and that further work may be necessary to fully capture the fullest extent of activitie</w:t>
      </w:r>
      <w:r w:rsidR="00145550">
        <w:rPr>
          <w:rFonts w:ascii="Calibri" w:eastAsia="Microsoft JhengHei" w:hAnsi="Calibri"/>
          <w:szCs w:val="22"/>
        </w:rPr>
        <w:t>s taking place in the Maritime S</w:t>
      </w:r>
      <w:r>
        <w:rPr>
          <w:rFonts w:ascii="Calibri" w:eastAsia="Microsoft JhengHei" w:hAnsi="Calibri"/>
          <w:szCs w:val="22"/>
        </w:rPr>
        <w:t>ector</w:t>
      </w:r>
      <w:r w:rsidR="00775D9A">
        <w:rPr>
          <w:rFonts w:ascii="Calibri" w:eastAsia="Microsoft JhengHei" w:hAnsi="Calibri"/>
          <w:szCs w:val="22"/>
        </w:rPr>
        <w:t>, several of which are often difficult to define within the existing national accounts framework</w:t>
      </w:r>
      <w:r>
        <w:rPr>
          <w:rFonts w:ascii="Calibri" w:eastAsia="Microsoft JhengHei" w:hAnsi="Calibri"/>
          <w:szCs w:val="22"/>
        </w:rPr>
        <w:t xml:space="preserve">. </w:t>
      </w:r>
      <w:r w:rsidR="00775D9A">
        <w:rPr>
          <w:rFonts w:ascii="Calibri" w:eastAsia="Microsoft JhengHei" w:hAnsi="Calibri"/>
          <w:szCs w:val="22"/>
        </w:rPr>
        <w:t>There may therefore be a greater role for the UK Government to expand the exist</w:t>
      </w:r>
      <w:r w:rsidR="00145550">
        <w:rPr>
          <w:rFonts w:ascii="Calibri" w:eastAsia="Microsoft JhengHei" w:hAnsi="Calibri"/>
          <w:szCs w:val="22"/>
        </w:rPr>
        <w:t>ing definition of the Maritime S</w:t>
      </w:r>
      <w:r w:rsidR="00775D9A">
        <w:rPr>
          <w:rFonts w:ascii="Calibri" w:eastAsia="Microsoft JhengHei" w:hAnsi="Calibri"/>
          <w:szCs w:val="22"/>
        </w:rPr>
        <w:t>ector</w:t>
      </w:r>
      <w:r w:rsidR="00F32E64">
        <w:rPr>
          <w:rFonts w:ascii="Calibri" w:eastAsia="Microsoft JhengHei" w:hAnsi="Calibri"/>
          <w:szCs w:val="22"/>
        </w:rPr>
        <w:t xml:space="preserve">, in order that the true value of economic activity supported is </w:t>
      </w:r>
      <w:r w:rsidR="00B66826">
        <w:rPr>
          <w:rFonts w:ascii="Calibri" w:eastAsia="Microsoft JhengHei" w:hAnsi="Calibri"/>
          <w:szCs w:val="22"/>
        </w:rPr>
        <w:t>then measured</w:t>
      </w:r>
      <w:r w:rsidR="00775D9A">
        <w:rPr>
          <w:rFonts w:ascii="Calibri" w:eastAsia="Microsoft JhengHei" w:hAnsi="Calibri"/>
          <w:szCs w:val="22"/>
        </w:rPr>
        <w:t>.</w:t>
      </w:r>
    </w:p>
    <w:p w14:paraId="44C99A29" w14:textId="27420538" w:rsidR="00CE5C73" w:rsidRPr="00CE5C73" w:rsidRDefault="00145550" w:rsidP="009B2B3D">
      <w:pPr>
        <w:pStyle w:val="Heading3"/>
      </w:pPr>
      <w:r>
        <w:t>The s</w:t>
      </w:r>
      <w:r w:rsidR="00CE5C73" w:rsidRPr="00CE5C73">
        <w:t>h</w:t>
      </w:r>
      <w:r>
        <w:t>ipping and p</w:t>
      </w:r>
      <w:r w:rsidR="00CE5C73" w:rsidRPr="00CE5C73">
        <w:t>orts industries</w:t>
      </w:r>
    </w:p>
    <w:p w14:paraId="052BE63F" w14:textId="1A684FC2" w:rsidR="008873E9" w:rsidRPr="00494369" w:rsidRDefault="00494369" w:rsidP="00494369">
      <w:pPr>
        <w:pStyle w:val="ListBullet"/>
        <w:spacing w:after="120"/>
        <w:rPr>
          <w:rFonts w:ascii="Calibri" w:eastAsia="Microsoft JhengHei" w:hAnsi="Calibri"/>
          <w:szCs w:val="22"/>
        </w:rPr>
      </w:pPr>
      <w:r>
        <w:rPr>
          <w:rFonts w:ascii="Calibri" w:eastAsia="Microsoft JhengHei" w:hAnsi="Calibri"/>
          <w:szCs w:val="22"/>
        </w:rPr>
        <w:fldChar w:fldCharType="begin"/>
      </w:r>
      <w:r>
        <w:rPr>
          <w:rFonts w:ascii="Calibri" w:eastAsia="Microsoft JhengHei" w:hAnsi="Calibri"/>
          <w:szCs w:val="22"/>
        </w:rPr>
        <w:instrText xml:space="preserve"> REF _Ref499907338 \h </w:instrText>
      </w:r>
      <w:r>
        <w:rPr>
          <w:rFonts w:ascii="Calibri" w:eastAsia="Microsoft JhengHei" w:hAnsi="Calibri"/>
          <w:szCs w:val="22"/>
        </w:rPr>
      </w:r>
      <w:r>
        <w:rPr>
          <w:rFonts w:ascii="Calibri" w:eastAsia="Microsoft JhengHei" w:hAnsi="Calibri"/>
          <w:szCs w:val="22"/>
        </w:rPr>
        <w:fldChar w:fldCharType="separate"/>
      </w:r>
      <w:r w:rsidR="00D17FEA">
        <w:t xml:space="preserve">Table </w:t>
      </w:r>
      <w:r w:rsidR="00D17FEA">
        <w:rPr>
          <w:noProof/>
        </w:rPr>
        <w:t>13</w:t>
      </w:r>
      <w:r>
        <w:rPr>
          <w:rFonts w:ascii="Calibri" w:eastAsia="Microsoft JhengHei" w:hAnsi="Calibri"/>
          <w:szCs w:val="22"/>
        </w:rPr>
        <w:fldChar w:fldCharType="end"/>
      </w:r>
      <w:r>
        <w:rPr>
          <w:rFonts w:ascii="Calibri" w:eastAsia="Microsoft JhengHei" w:hAnsi="Calibri"/>
          <w:szCs w:val="22"/>
        </w:rPr>
        <w:t xml:space="preserve"> </w:t>
      </w:r>
      <w:r w:rsidR="004839C8">
        <w:rPr>
          <w:rFonts w:ascii="Calibri" w:eastAsia="Microsoft JhengHei" w:hAnsi="Calibri"/>
          <w:szCs w:val="22"/>
        </w:rPr>
        <w:t>below shows how activit</w:t>
      </w:r>
      <w:r w:rsidR="00145550">
        <w:rPr>
          <w:rFonts w:ascii="Calibri" w:eastAsia="Microsoft JhengHei" w:hAnsi="Calibri"/>
          <w:szCs w:val="22"/>
        </w:rPr>
        <w:t>ies for the shipping and p</w:t>
      </w:r>
      <w:r w:rsidR="00826B4B">
        <w:rPr>
          <w:rFonts w:ascii="Calibri" w:eastAsia="Microsoft JhengHei" w:hAnsi="Calibri"/>
          <w:szCs w:val="22"/>
        </w:rPr>
        <w:t>orts industries have been identified, and the data sources used to capture</w:t>
      </w:r>
      <w:r w:rsidR="004839C8">
        <w:rPr>
          <w:rFonts w:ascii="Calibri" w:eastAsia="Microsoft JhengHei" w:hAnsi="Calibri"/>
          <w:szCs w:val="22"/>
        </w:rPr>
        <w:t xml:space="preserve"> and</w:t>
      </w:r>
      <w:r w:rsidR="00826B4B">
        <w:rPr>
          <w:rFonts w:ascii="Calibri" w:eastAsia="Microsoft JhengHei" w:hAnsi="Calibri"/>
          <w:szCs w:val="22"/>
        </w:rPr>
        <w:t xml:space="preserve"> quantify the associated economic activity</w:t>
      </w:r>
      <w:r>
        <w:rPr>
          <w:rFonts w:ascii="Calibri" w:eastAsia="Microsoft JhengHei" w:hAnsi="Calibri"/>
          <w:szCs w:val="22"/>
        </w:rPr>
        <w:t xml:space="preserve">. </w:t>
      </w:r>
    </w:p>
    <w:p w14:paraId="002CC014" w14:textId="77777777" w:rsidR="00494369" w:rsidRDefault="00494369" w:rsidP="00494369">
      <w:pPr>
        <w:pStyle w:val="Caption"/>
        <w:keepNext/>
      </w:pPr>
      <w:bookmarkStart w:id="85" w:name="_Ref499907338"/>
      <w:r>
        <w:t xml:space="preserve">Table </w:t>
      </w:r>
      <w:r w:rsidR="00F604FD">
        <w:rPr>
          <w:noProof/>
        </w:rPr>
        <w:fldChar w:fldCharType="begin"/>
      </w:r>
      <w:r w:rsidR="00F604FD">
        <w:rPr>
          <w:noProof/>
        </w:rPr>
        <w:instrText xml:space="preserve"> SEQ Table \* ARABIC </w:instrText>
      </w:r>
      <w:r w:rsidR="00F604FD">
        <w:rPr>
          <w:noProof/>
        </w:rPr>
        <w:fldChar w:fldCharType="separate"/>
      </w:r>
      <w:r w:rsidR="00D17FEA">
        <w:rPr>
          <w:noProof/>
        </w:rPr>
        <w:t>13</w:t>
      </w:r>
      <w:r w:rsidR="00F604FD">
        <w:rPr>
          <w:noProof/>
        </w:rPr>
        <w:fldChar w:fldCharType="end"/>
      </w:r>
      <w:bookmarkEnd w:id="85"/>
      <w:r>
        <w:t xml:space="preserve">: </w:t>
      </w:r>
      <w:r w:rsidRPr="00D419BC">
        <w:t>Mapping of Maritime sector activities: Shipping and Ports industries</w:t>
      </w:r>
    </w:p>
    <w:tbl>
      <w:tblPr>
        <w:tblW w:w="9639" w:type="dxa"/>
        <w:tblInd w:w="-10" w:type="dxa"/>
        <w:tblLook w:val="04A0" w:firstRow="1" w:lastRow="0" w:firstColumn="1" w:lastColumn="0" w:noHBand="0" w:noVBand="1"/>
      </w:tblPr>
      <w:tblGrid>
        <w:gridCol w:w="1418"/>
        <w:gridCol w:w="2551"/>
        <w:gridCol w:w="3686"/>
        <w:gridCol w:w="1984"/>
      </w:tblGrid>
      <w:tr w:rsidR="00140F6A" w:rsidRPr="00140F6A" w14:paraId="163E8F82" w14:textId="77777777" w:rsidTr="00EF2BC5">
        <w:trPr>
          <w:trHeight w:val="525"/>
        </w:trPr>
        <w:tc>
          <w:tcPr>
            <w:tcW w:w="1418"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22C4EEA" w14:textId="77777777" w:rsidR="00140F6A" w:rsidRPr="00140F6A" w:rsidRDefault="00140F6A" w:rsidP="00140F6A">
            <w:pPr>
              <w:spacing w:after="0"/>
              <w:rPr>
                <w:rFonts w:ascii="Calibri" w:eastAsia="Times New Roman" w:hAnsi="Calibri"/>
                <w:b/>
                <w:bCs/>
                <w:color w:val="FFFFFF"/>
                <w:sz w:val="20"/>
                <w:lang w:eastAsia="en-GB"/>
              </w:rPr>
            </w:pPr>
            <w:r w:rsidRPr="00140F6A">
              <w:rPr>
                <w:rFonts w:ascii="Calibri" w:eastAsia="Times New Roman" w:hAnsi="Calibri"/>
                <w:b/>
                <w:bCs/>
                <w:color w:val="FFFFFF"/>
                <w:sz w:val="20"/>
                <w:lang w:eastAsia="en-GB"/>
              </w:rPr>
              <w:t>INDUSTRY</w:t>
            </w:r>
          </w:p>
        </w:tc>
        <w:tc>
          <w:tcPr>
            <w:tcW w:w="2551" w:type="dxa"/>
            <w:tcBorders>
              <w:top w:val="single" w:sz="8" w:space="0" w:color="FFFFFF"/>
              <w:left w:val="nil"/>
              <w:bottom w:val="single" w:sz="12" w:space="0" w:color="FFFFFF"/>
              <w:right w:val="single" w:sz="12" w:space="0" w:color="FFFFFF"/>
            </w:tcBorders>
            <w:shd w:val="clear" w:color="000000" w:fill="008C9B"/>
            <w:vAlign w:val="center"/>
            <w:hideMark/>
          </w:tcPr>
          <w:p w14:paraId="58DC462B" w14:textId="77777777" w:rsidR="00140F6A" w:rsidRPr="00140F6A" w:rsidRDefault="00140F6A" w:rsidP="00140F6A">
            <w:pPr>
              <w:spacing w:after="0"/>
              <w:rPr>
                <w:rFonts w:ascii="Calibri" w:eastAsia="Times New Roman" w:hAnsi="Calibri"/>
                <w:b/>
                <w:bCs/>
                <w:color w:val="FFFFFF"/>
                <w:sz w:val="20"/>
                <w:lang w:eastAsia="en-GB"/>
              </w:rPr>
            </w:pPr>
            <w:r w:rsidRPr="00140F6A">
              <w:rPr>
                <w:rFonts w:ascii="Calibri" w:eastAsia="Times New Roman" w:hAnsi="Calibri"/>
                <w:b/>
                <w:bCs/>
                <w:color w:val="FFFFFF"/>
                <w:sz w:val="20"/>
                <w:lang w:eastAsia="en-GB"/>
              </w:rPr>
              <w:t>ACTIVITY</w:t>
            </w:r>
          </w:p>
        </w:tc>
        <w:tc>
          <w:tcPr>
            <w:tcW w:w="3686" w:type="dxa"/>
            <w:tcBorders>
              <w:top w:val="single" w:sz="8" w:space="0" w:color="FFFFFF"/>
              <w:left w:val="nil"/>
              <w:bottom w:val="single" w:sz="12" w:space="0" w:color="FFFFFF"/>
              <w:right w:val="single" w:sz="12" w:space="0" w:color="FFFFFF"/>
            </w:tcBorders>
            <w:shd w:val="clear" w:color="000000" w:fill="008C9B"/>
            <w:vAlign w:val="center"/>
            <w:hideMark/>
          </w:tcPr>
          <w:p w14:paraId="157CB8CA" w14:textId="77777777" w:rsidR="00140F6A" w:rsidRPr="00140F6A" w:rsidRDefault="00140F6A" w:rsidP="00140F6A">
            <w:pPr>
              <w:spacing w:after="0"/>
              <w:rPr>
                <w:rFonts w:ascii="Calibri" w:eastAsia="Times New Roman" w:hAnsi="Calibri"/>
                <w:b/>
                <w:bCs/>
                <w:color w:val="FFFFFF"/>
                <w:sz w:val="20"/>
                <w:lang w:eastAsia="en-GB"/>
              </w:rPr>
            </w:pPr>
            <w:r w:rsidRPr="00140F6A">
              <w:rPr>
                <w:rFonts w:ascii="Calibri" w:eastAsia="Times New Roman" w:hAnsi="Calibri"/>
                <w:b/>
                <w:bCs/>
                <w:color w:val="FFFFFF"/>
                <w:sz w:val="20"/>
                <w:lang w:eastAsia="en-GB"/>
              </w:rPr>
              <w:t>MAPPING</w:t>
            </w:r>
          </w:p>
        </w:tc>
        <w:tc>
          <w:tcPr>
            <w:tcW w:w="1984" w:type="dxa"/>
            <w:tcBorders>
              <w:top w:val="single" w:sz="8" w:space="0" w:color="FFFFFF"/>
              <w:left w:val="nil"/>
              <w:bottom w:val="single" w:sz="12" w:space="0" w:color="FFFFFF"/>
              <w:right w:val="single" w:sz="12" w:space="0" w:color="FFFFFF"/>
            </w:tcBorders>
            <w:shd w:val="clear" w:color="000000" w:fill="008C9B"/>
            <w:vAlign w:val="center"/>
            <w:hideMark/>
          </w:tcPr>
          <w:p w14:paraId="6CC9D6B3" w14:textId="77777777" w:rsidR="00140F6A" w:rsidRPr="00140F6A" w:rsidRDefault="00140F6A" w:rsidP="00140F6A">
            <w:pPr>
              <w:spacing w:after="0"/>
              <w:rPr>
                <w:rFonts w:ascii="Calibri" w:eastAsia="Times New Roman" w:hAnsi="Calibri"/>
                <w:b/>
                <w:bCs/>
                <w:color w:val="FFFFFF"/>
                <w:sz w:val="20"/>
                <w:lang w:eastAsia="en-GB"/>
              </w:rPr>
            </w:pPr>
            <w:r w:rsidRPr="00140F6A">
              <w:rPr>
                <w:rFonts w:ascii="Calibri" w:eastAsia="Times New Roman" w:hAnsi="Calibri"/>
                <w:b/>
                <w:bCs/>
                <w:color w:val="FFFFFF"/>
                <w:sz w:val="20"/>
                <w:lang w:eastAsia="en-GB"/>
              </w:rPr>
              <w:t>SOURCE(S) USED</w:t>
            </w:r>
          </w:p>
        </w:tc>
      </w:tr>
      <w:tr w:rsidR="00140F6A" w:rsidRPr="00140F6A" w14:paraId="74668D8E" w14:textId="77777777" w:rsidTr="00EF2BC5">
        <w:trPr>
          <w:trHeight w:val="826"/>
        </w:trPr>
        <w:tc>
          <w:tcPr>
            <w:tcW w:w="1418" w:type="dxa"/>
            <w:vMerge w:val="restart"/>
            <w:tcBorders>
              <w:top w:val="nil"/>
              <w:left w:val="single" w:sz="8" w:space="0" w:color="FFFFFF"/>
              <w:bottom w:val="single" w:sz="12" w:space="0" w:color="FFFFFF"/>
              <w:right w:val="single" w:sz="12" w:space="0" w:color="FFFFFF"/>
            </w:tcBorders>
            <w:shd w:val="clear" w:color="000000" w:fill="008C9B"/>
            <w:vAlign w:val="center"/>
            <w:hideMark/>
          </w:tcPr>
          <w:p w14:paraId="79143914" w14:textId="2E491841" w:rsidR="00140F6A" w:rsidRPr="00140F6A" w:rsidRDefault="00A43F06" w:rsidP="00A43F06">
            <w:pPr>
              <w:spacing w:after="0"/>
              <w:jc w:val="center"/>
              <w:rPr>
                <w:rFonts w:ascii="Calibri" w:eastAsia="Times New Roman" w:hAnsi="Calibri"/>
                <w:b/>
                <w:bCs/>
                <w:color w:val="FFFFFF"/>
                <w:sz w:val="20"/>
                <w:lang w:eastAsia="en-GB"/>
              </w:rPr>
            </w:pPr>
            <w:r>
              <w:rPr>
                <w:rFonts w:ascii="Calibri" w:eastAsia="Times New Roman" w:hAnsi="Calibri"/>
                <w:b/>
                <w:bCs/>
                <w:color w:val="FFFFFF"/>
                <w:sz w:val="20"/>
                <w:lang w:eastAsia="en-GB"/>
              </w:rPr>
              <w:t>Shipping</w:t>
            </w:r>
          </w:p>
        </w:tc>
        <w:tc>
          <w:tcPr>
            <w:tcW w:w="2551" w:type="dxa"/>
            <w:tcBorders>
              <w:top w:val="nil"/>
              <w:left w:val="nil"/>
              <w:bottom w:val="single" w:sz="8" w:space="0" w:color="FFFFFF"/>
              <w:right w:val="single" w:sz="8" w:space="0" w:color="FFFFFF"/>
            </w:tcBorders>
            <w:shd w:val="clear" w:color="000000" w:fill="E7EEEF"/>
            <w:vAlign w:val="center"/>
            <w:hideMark/>
          </w:tcPr>
          <w:p w14:paraId="17DE9FB7" w14:textId="77777777" w:rsidR="00140F6A" w:rsidRPr="00140F6A" w:rsidRDefault="00140F6A" w:rsidP="00140F6A">
            <w:pPr>
              <w:spacing w:after="0"/>
              <w:rPr>
                <w:rFonts w:ascii="Calibri" w:eastAsia="Times New Roman" w:hAnsi="Calibri"/>
                <w:color w:val="000000"/>
                <w:sz w:val="18"/>
                <w:lang w:eastAsia="en-GB"/>
              </w:rPr>
            </w:pPr>
            <w:r w:rsidRPr="00140F6A">
              <w:rPr>
                <w:rFonts w:ascii="Calibri" w:eastAsia="Times New Roman" w:hAnsi="Calibri"/>
                <w:color w:val="000000"/>
                <w:sz w:val="18"/>
                <w:lang w:eastAsia="en-GB"/>
              </w:rPr>
              <w:t>Transport of Passengers International / Sea Faring</w:t>
            </w:r>
          </w:p>
        </w:tc>
        <w:tc>
          <w:tcPr>
            <w:tcW w:w="3686" w:type="dxa"/>
            <w:tcBorders>
              <w:top w:val="nil"/>
              <w:left w:val="nil"/>
              <w:bottom w:val="single" w:sz="8" w:space="0" w:color="FFFFFF"/>
              <w:right w:val="single" w:sz="8" w:space="0" w:color="FFFFFF"/>
            </w:tcBorders>
            <w:shd w:val="clear" w:color="000000" w:fill="E7EEEF"/>
            <w:vAlign w:val="center"/>
            <w:hideMark/>
          </w:tcPr>
          <w:p w14:paraId="52A1F53D"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Identified through SIC code 50100, "Sea and Coastal Passenger Water Transport".</w:t>
            </w:r>
          </w:p>
        </w:tc>
        <w:tc>
          <w:tcPr>
            <w:tcW w:w="1984" w:type="dxa"/>
            <w:tcBorders>
              <w:top w:val="nil"/>
              <w:left w:val="nil"/>
              <w:bottom w:val="single" w:sz="8" w:space="0" w:color="FFFFFF"/>
              <w:right w:val="single" w:sz="8" w:space="0" w:color="FFFFFF"/>
            </w:tcBorders>
            <w:shd w:val="clear" w:color="000000" w:fill="E7EEEF"/>
            <w:vAlign w:val="center"/>
            <w:hideMark/>
          </w:tcPr>
          <w:p w14:paraId="2A4A031F"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FAME, BRES</w:t>
            </w:r>
          </w:p>
        </w:tc>
      </w:tr>
      <w:tr w:rsidR="00140F6A" w:rsidRPr="00140F6A" w14:paraId="58B237BD" w14:textId="77777777" w:rsidTr="00EF2BC5">
        <w:trPr>
          <w:trHeight w:val="595"/>
        </w:trPr>
        <w:tc>
          <w:tcPr>
            <w:tcW w:w="1418" w:type="dxa"/>
            <w:vMerge/>
            <w:tcBorders>
              <w:top w:val="nil"/>
              <w:left w:val="single" w:sz="8" w:space="0" w:color="FFFFFF"/>
              <w:bottom w:val="single" w:sz="12" w:space="0" w:color="FFFFFF"/>
              <w:right w:val="single" w:sz="12" w:space="0" w:color="FFFFFF"/>
            </w:tcBorders>
            <w:vAlign w:val="center"/>
            <w:hideMark/>
          </w:tcPr>
          <w:p w14:paraId="1D5183DD" w14:textId="77777777" w:rsidR="00140F6A" w:rsidRPr="00140F6A" w:rsidRDefault="00140F6A" w:rsidP="00A43F06">
            <w:pPr>
              <w:spacing w:after="0"/>
              <w:jc w:val="center"/>
              <w:rPr>
                <w:rFonts w:ascii="Calibri" w:eastAsia="Times New Roman" w:hAnsi="Calibri"/>
                <w:b/>
                <w:bCs/>
                <w:color w:val="FFFFFF"/>
                <w:sz w:val="20"/>
                <w:lang w:eastAsia="en-GB"/>
              </w:rPr>
            </w:pPr>
          </w:p>
        </w:tc>
        <w:tc>
          <w:tcPr>
            <w:tcW w:w="2551" w:type="dxa"/>
            <w:tcBorders>
              <w:top w:val="nil"/>
              <w:left w:val="nil"/>
              <w:bottom w:val="single" w:sz="8" w:space="0" w:color="FFFFFF"/>
              <w:right w:val="single" w:sz="8" w:space="0" w:color="FFFFFF"/>
            </w:tcBorders>
            <w:shd w:val="clear" w:color="000000" w:fill="D0CECE"/>
            <w:vAlign w:val="center"/>
            <w:hideMark/>
          </w:tcPr>
          <w:p w14:paraId="5B3C71C0" w14:textId="77777777" w:rsidR="00140F6A" w:rsidRPr="00140F6A" w:rsidRDefault="00140F6A" w:rsidP="00140F6A">
            <w:pPr>
              <w:spacing w:after="0"/>
              <w:rPr>
                <w:rFonts w:ascii="Calibri" w:eastAsia="Times New Roman" w:hAnsi="Calibri"/>
                <w:color w:val="000000"/>
                <w:sz w:val="18"/>
                <w:lang w:eastAsia="en-GB"/>
              </w:rPr>
            </w:pPr>
            <w:r w:rsidRPr="00140F6A">
              <w:rPr>
                <w:rFonts w:ascii="Calibri" w:eastAsia="Times New Roman" w:hAnsi="Calibri"/>
                <w:color w:val="000000"/>
                <w:sz w:val="18"/>
                <w:lang w:eastAsia="en-GB"/>
              </w:rPr>
              <w:t>Transport of Passengers on Inland Waterways</w:t>
            </w:r>
          </w:p>
        </w:tc>
        <w:tc>
          <w:tcPr>
            <w:tcW w:w="3686" w:type="dxa"/>
            <w:tcBorders>
              <w:top w:val="nil"/>
              <w:left w:val="nil"/>
              <w:bottom w:val="single" w:sz="8" w:space="0" w:color="FFFFFF"/>
              <w:right w:val="single" w:sz="8" w:space="0" w:color="FFFFFF"/>
            </w:tcBorders>
            <w:shd w:val="clear" w:color="000000" w:fill="D0CECE"/>
            <w:vAlign w:val="center"/>
            <w:hideMark/>
          </w:tcPr>
          <w:p w14:paraId="38E4C2FE"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Identified through SIC code 50300, "Inland Passenger Water Transport".</w:t>
            </w:r>
          </w:p>
        </w:tc>
        <w:tc>
          <w:tcPr>
            <w:tcW w:w="1984" w:type="dxa"/>
            <w:tcBorders>
              <w:top w:val="nil"/>
              <w:left w:val="nil"/>
              <w:bottom w:val="single" w:sz="8" w:space="0" w:color="FFFFFF"/>
              <w:right w:val="single" w:sz="8" w:space="0" w:color="FFFFFF"/>
            </w:tcBorders>
            <w:shd w:val="clear" w:color="000000" w:fill="D0CECE"/>
            <w:vAlign w:val="center"/>
            <w:hideMark/>
          </w:tcPr>
          <w:p w14:paraId="3B1967DC"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FAME, BRES</w:t>
            </w:r>
          </w:p>
        </w:tc>
      </w:tr>
      <w:tr w:rsidR="00140F6A" w:rsidRPr="00140F6A" w14:paraId="3BC3E6CD" w14:textId="77777777" w:rsidTr="00EF2BC5">
        <w:trPr>
          <w:trHeight w:val="903"/>
        </w:trPr>
        <w:tc>
          <w:tcPr>
            <w:tcW w:w="1418" w:type="dxa"/>
            <w:vMerge/>
            <w:tcBorders>
              <w:top w:val="nil"/>
              <w:left w:val="single" w:sz="8" w:space="0" w:color="FFFFFF"/>
              <w:bottom w:val="single" w:sz="12" w:space="0" w:color="FFFFFF"/>
              <w:right w:val="single" w:sz="12" w:space="0" w:color="FFFFFF"/>
            </w:tcBorders>
            <w:vAlign w:val="center"/>
            <w:hideMark/>
          </w:tcPr>
          <w:p w14:paraId="48113F2D" w14:textId="77777777" w:rsidR="00140F6A" w:rsidRPr="00140F6A" w:rsidRDefault="00140F6A" w:rsidP="00A43F06">
            <w:pPr>
              <w:spacing w:after="0"/>
              <w:jc w:val="center"/>
              <w:rPr>
                <w:rFonts w:ascii="Calibri" w:eastAsia="Times New Roman" w:hAnsi="Calibri"/>
                <w:b/>
                <w:bCs/>
                <w:color w:val="FFFFFF"/>
                <w:sz w:val="20"/>
                <w:lang w:eastAsia="en-GB"/>
              </w:rPr>
            </w:pPr>
          </w:p>
        </w:tc>
        <w:tc>
          <w:tcPr>
            <w:tcW w:w="2551" w:type="dxa"/>
            <w:tcBorders>
              <w:top w:val="nil"/>
              <w:left w:val="nil"/>
              <w:bottom w:val="single" w:sz="8" w:space="0" w:color="FFFFFF"/>
              <w:right w:val="single" w:sz="8" w:space="0" w:color="FFFFFF"/>
            </w:tcBorders>
            <w:shd w:val="clear" w:color="000000" w:fill="E7EEEF"/>
            <w:vAlign w:val="center"/>
            <w:hideMark/>
          </w:tcPr>
          <w:p w14:paraId="58B1824E" w14:textId="77777777" w:rsidR="00140F6A" w:rsidRPr="00140F6A" w:rsidRDefault="00140F6A" w:rsidP="00140F6A">
            <w:pPr>
              <w:spacing w:after="0"/>
              <w:rPr>
                <w:rFonts w:ascii="Calibri" w:eastAsia="Times New Roman" w:hAnsi="Calibri"/>
                <w:color w:val="000000"/>
                <w:sz w:val="18"/>
                <w:lang w:eastAsia="en-GB"/>
              </w:rPr>
            </w:pPr>
            <w:r w:rsidRPr="00140F6A">
              <w:rPr>
                <w:rFonts w:ascii="Calibri" w:eastAsia="Times New Roman" w:hAnsi="Calibri"/>
                <w:color w:val="000000"/>
                <w:sz w:val="18"/>
                <w:lang w:eastAsia="en-GB"/>
              </w:rPr>
              <w:t xml:space="preserve">Transport of Freight International/ Sea Faring </w:t>
            </w:r>
          </w:p>
        </w:tc>
        <w:tc>
          <w:tcPr>
            <w:tcW w:w="3686" w:type="dxa"/>
            <w:tcBorders>
              <w:top w:val="nil"/>
              <w:left w:val="nil"/>
              <w:bottom w:val="single" w:sz="8" w:space="0" w:color="FFFFFF"/>
              <w:right w:val="single" w:sz="8" w:space="0" w:color="FFFFFF"/>
            </w:tcBorders>
            <w:shd w:val="clear" w:color="000000" w:fill="E7EEEF"/>
            <w:vAlign w:val="center"/>
            <w:hideMark/>
          </w:tcPr>
          <w:p w14:paraId="2CE0C5D3"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Identified through SIC codes 50200 and 77342, "Sea and coastal freight water transport", and "Renting and Leasing of Freight Water Transport Equipment".</w:t>
            </w:r>
          </w:p>
        </w:tc>
        <w:tc>
          <w:tcPr>
            <w:tcW w:w="1984" w:type="dxa"/>
            <w:tcBorders>
              <w:top w:val="nil"/>
              <w:left w:val="nil"/>
              <w:bottom w:val="single" w:sz="8" w:space="0" w:color="FFFFFF"/>
              <w:right w:val="single" w:sz="8" w:space="0" w:color="FFFFFF"/>
            </w:tcBorders>
            <w:shd w:val="clear" w:color="000000" w:fill="E7EEEF"/>
            <w:vAlign w:val="center"/>
            <w:hideMark/>
          </w:tcPr>
          <w:p w14:paraId="4612012D"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FAME, BRES</w:t>
            </w:r>
          </w:p>
        </w:tc>
      </w:tr>
      <w:tr w:rsidR="00140F6A" w:rsidRPr="00140F6A" w14:paraId="23C3047C" w14:textId="77777777" w:rsidTr="00EF2BC5">
        <w:trPr>
          <w:trHeight w:val="690"/>
        </w:trPr>
        <w:tc>
          <w:tcPr>
            <w:tcW w:w="1418" w:type="dxa"/>
            <w:vMerge/>
            <w:tcBorders>
              <w:top w:val="nil"/>
              <w:left w:val="single" w:sz="8" w:space="0" w:color="FFFFFF"/>
              <w:bottom w:val="single" w:sz="12" w:space="0" w:color="FFFFFF"/>
              <w:right w:val="single" w:sz="12" w:space="0" w:color="FFFFFF"/>
            </w:tcBorders>
            <w:vAlign w:val="center"/>
            <w:hideMark/>
          </w:tcPr>
          <w:p w14:paraId="657A1CF0" w14:textId="77777777" w:rsidR="00140F6A" w:rsidRPr="00140F6A" w:rsidRDefault="00140F6A" w:rsidP="00A43F06">
            <w:pPr>
              <w:spacing w:after="0"/>
              <w:jc w:val="center"/>
              <w:rPr>
                <w:rFonts w:ascii="Calibri" w:eastAsia="Times New Roman" w:hAnsi="Calibri"/>
                <w:b/>
                <w:bCs/>
                <w:color w:val="FFFFFF"/>
                <w:sz w:val="20"/>
                <w:lang w:eastAsia="en-GB"/>
              </w:rPr>
            </w:pPr>
          </w:p>
        </w:tc>
        <w:tc>
          <w:tcPr>
            <w:tcW w:w="2551" w:type="dxa"/>
            <w:tcBorders>
              <w:top w:val="nil"/>
              <w:left w:val="nil"/>
              <w:bottom w:val="single" w:sz="8" w:space="0" w:color="FFFFFF"/>
              <w:right w:val="single" w:sz="8" w:space="0" w:color="FFFFFF"/>
            </w:tcBorders>
            <w:shd w:val="clear" w:color="000000" w:fill="D0CECE"/>
            <w:vAlign w:val="center"/>
            <w:hideMark/>
          </w:tcPr>
          <w:p w14:paraId="18B5148F" w14:textId="77777777" w:rsidR="00140F6A" w:rsidRPr="00140F6A" w:rsidRDefault="00140F6A" w:rsidP="00140F6A">
            <w:pPr>
              <w:spacing w:after="0"/>
              <w:rPr>
                <w:rFonts w:ascii="Calibri" w:eastAsia="Times New Roman" w:hAnsi="Calibri"/>
                <w:color w:val="000000"/>
                <w:sz w:val="18"/>
                <w:lang w:eastAsia="en-GB"/>
              </w:rPr>
            </w:pPr>
            <w:r w:rsidRPr="00140F6A">
              <w:rPr>
                <w:rFonts w:ascii="Calibri" w:eastAsia="Times New Roman" w:hAnsi="Calibri"/>
                <w:color w:val="000000"/>
                <w:sz w:val="18"/>
                <w:lang w:eastAsia="en-GB"/>
              </w:rPr>
              <w:t>Transport of Freight on Inland Waterways</w:t>
            </w:r>
          </w:p>
        </w:tc>
        <w:tc>
          <w:tcPr>
            <w:tcW w:w="3686" w:type="dxa"/>
            <w:tcBorders>
              <w:top w:val="nil"/>
              <w:left w:val="nil"/>
              <w:bottom w:val="single" w:sz="8" w:space="0" w:color="FFFFFF"/>
              <w:right w:val="single" w:sz="8" w:space="0" w:color="FFFFFF"/>
            </w:tcBorders>
            <w:shd w:val="clear" w:color="000000" w:fill="D0CECE"/>
            <w:vAlign w:val="center"/>
            <w:hideMark/>
          </w:tcPr>
          <w:p w14:paraId="75E25E9B"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Identified through SIC code 50400, "Inland Freight Water Transport".</w:t>
            </w:r>
          </w:p>
        </w:tc>
        <w:tc>
          <w:tcPr>
            <w:tcW w:w="1984" w:type="dxa"/>
            <w:tcBorders>
              <w:top w:val="nil"/>
              <w:left w:val="nil"/>
              <w:bottom w:val="single" w:sz="8" w:space="0" w:color="FFFFFF"/>
              <w:right w:val="single" w:sz="8" w:space="0" w:color="FFFFFF"/>
            </w:tcBorders>
            <w:shd w:val="clear" w:color="000000" w:fill="D0CECE"/>
            <w:vAlign w:val="center"/>
            <w:hideMark/>
          </w:tcPr>
          <w:p w14:paraId="0854440B"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FAME, BRES</w:t>
            </w:r>
          </w:p>
        </w:tc>
      </w:tr>
      <w:tr w:rsidR="00140F6A" w:rsidRPr="00140F6A" w14:paraId="2822ED41" w14:textId="77777777" w:rsidTr="00EF2BC5">
        <w:trPr>
          <w:trHeight w:val="813"/>
        </w:trPr>
        <w:tc>
          <w:tcPr>
            <w:tcW w:w="1418" w:type="dxa"/>
            <w:vMerge/>
            <w:tcBorders>
              <w:top w:val="nil"/>
              <w:left w:val="single" w:sz="8" w:space="0" w:color="FFFFFF"/>
              <w:bottom w:val="single" w:sz="12" w:space="0" w:color="FFFFFF"/>
              <w:right w:val="single" w:sz="12" w:space="0" w:color="FFFFFF"/>
            </w:tcBorders>
            <w:vAlign w:val="center"/>
            <w:hideMark/>
          </w:tcPr>
          <w:p w14:paraId="0B8FBC27" w14:textId="77777777" w:rsidR="00140F6A" w:rsidRPr="00140F6A" w:rsidRDefault="00140F6A" w:rsidP="00A43F06">
            <w:pPr>
              <w:spacing w:after="0"/>
              <w:jc w:val="center"/>
              <w:rPr>
                <w:rFonts w:ascii="Calibri" w:eastAsia="Times New Roman" w:hAnsi="Calibri"/>
                <w:b/>
                <w:bCs/>
                <w:color w:val="FFFFFF"/>
                <w:sz w:val="20"/>
                <w:lang w:eastAsia="en-GB"/>
              </w:rPr>
            </w:pPr>
          </w:p>
        </w:tc>
        <w:tc>
          <w:tcPr>
            <w:tcW w:w="2551" w:type="dxa"/>
            <w:tcBorders>
              <w:top w:val="nil"/>
              <w:left w:val="nil"/>
              <w:bottom w:val="single" w:sz="8" w:space="0" w:color="FFFFFF"/>
              <w:right w:val="single" w:sz="8" w:space="0" w:color="FFFFFF"/>
            </w:tcBorders>
            <w:shd w:val="clear" w:color="000000" w:fill="E7EEEF"/>
            <w:vAlign w:val="center"/>
            <w:hideMark/>
          </w:tcPr>
          <w:p w14:paraId="2431D300" w14:textId="77777777" w:rsidR="00140F6A" w:rsidRPr="00140F6A" w:rsidRDefault="00140F6A" w:rsidP="00140F6A">
            <w:pPr>
              <w:spacing w:after="0"/>
              <w:rPr>
                <w:rFonts w:ascii="Calibri" w:eastAsia="Times New Roman" w:hAnsi="Calibri"/>
                <w:color w:val="000000"/>
                <w:sz w:val="18"/>
                <w:lang w:eastAsia="en-GB"/>
              </w:rPr>
            </w:pPr>
            <w:r w:rsidRPr="00140F6A">
              <w:rPr>
                <w:rFonts w:ascii="Calibri" w:eastAsia="Times New Roman" w:hAnsi="Calibri"/>
                <w:color w:val="000000"/>
                <w:sz w:val="18"/>
                <w:lang w:eastAsia="en-GB"/>
              </w:rPr>
              <w:t>Other Shipping activity not captured through SIC codes 50100 - 50400</w:t>
            </w:r>
          </w:p>
        </w:tc>
        <w:tc>
          <w:tcPr>
            <w:tcW w:w="3686" w:type="dxa"/>
            <w:tcBorders>
              <w:top w:val="nil"/>
              <w:left w:val="nil"/>
              <w:bottom w:val="single" w:sz="8" w:space="0" w:color="FFFFFF"/>
              <w:right w:val="single" w:sz="8" w:space="0" w:color="FFFFFF"/>
            </w:tcBorders>
            <w:shd w:val="clear" w:color="000000" w:fill="E7EEEF"/>
            <w:vAlign w:val="center"/>
            <w:hideMark/>
          </w:tcPr>
          <w:p w14:paraId="26786EA2"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Identified through Chamber of Shipping statistics for shipping-related employment</w:t>
            </w:r>
          </w:p>
        </w:tc>
        <w:tc>
          <w:tcPr>
            <w:tcW w:w="1984" w:type="dxa"/>
            <w:tcBorders>
              <w:top w:val="nil"/>
              <w:left w:val="nil"/>
              <w:bottom w:val="single" w:sz="8" w:space="0" w:color="FFFFFF"/>
              <w:right w:val="single" w:sz="8" w:space="0" w:color="FFFFFF"/>
            </w:tcBorders>
            <w:shd w:val="clear" w:color="000000" w:fill="E7EEEF"/>
            <w:vAlign w:val="center"/>
            <w:hideMark/>
          </w:tcPr>
          <w:p w14:paraId="75390933" w14:textId="77777777" w:rsidR="00140F6A" w:rsidRPr="00140F6A" w:rsidRDefault="00140F6A" w:rsidP="00140F6A">
            <w:pPr>
              <w:spacing w:after="0"/>
              <w:jc w:val="center"/>
              <w:rPr>
                <w:rFonts w:ascii="Calibri" w:eastAsia="Times New Roman" w:hAnsi="Calibri"/>
                <w:color w:val="000000"/>
                <w:sz w:val="18"/>
                <w:lang w:eastAsia="en-GB"/>
              </w:rPr>
            </w:pPr>
            <w:proofErr w:type="spellStart"/>
            <w:r w:rsidRPr="00140F6A">
              <w:rPr>
                <w:rFonts w:ascii="Calibri" w:eastAsia="Times New Roman" w:hAnsi="Calibri"/>
                <w:color w:val="000000"/>
                <w:sz w:val="18"/>
                <w:lang w:eastAsia="en-GB"/>
              </w:rPr>
              <w:t>CoS</w:t>
            </w:r>
            <w:proofErr w:type="spellEnd"/>
            <w:r w:rsidRPr="00140F6A">
              <w:rPr>
                <w:rFonts w:ascii="Calibri" w:eastAsia="Times New Roman" w:hAnsi="Calibri"/>
                <w:color w:val="000000"/>
                <w:sz w:val="18"/>
                <w:lang w:eastAsia="en-GB"/>
              </w:rPr>
              <w:t xml:space="preserve"> Manpower Survey</w:t>
            </w:r>
          </w:p>
        </w:tc>
      </w:tr>
      <w:tr w:rsidR="00140F6A" w:rsidRPr="00140F6A" w14:paraId="5975A277" w14:textId="77777777" w:rsidTr="00EF2BC5">
        <w:trPr>
          <w:trHeight w:val="1233"/>
        </w:trPr>
        <w:tc>
          <w:tcPr>
            <w:tcW w:w="1418" w:type="dxa"/>
            <w:vMerge w:val="restart"/>
            <w:tcBorders>
              <w:top w:val="nil"/>
              <w:left w:val="single" w:sz="8" w:space="0" w:color="FFFFFF"/>
              <w:bottom w:val="nil"/>
              <w:right w:val="single" w:sz="12" w:space="0" w:color="FFFFFF"/>
            </w:tcBorders>
            <w:shd w:val="clear" w:color="000000" w:fill="008C9B"/>
            <w:vAlign w:val="center"/>
            <w:hideMark/>
          </w:tcPr>
          <w:p w14:paraId="5EF496AD" w14:textId="005DA366" w:rsidR="00140F6A" w:rsidRPr="00140F6A" w:rsidRDefault="00A43F06" w:rsidP="00A43F06">
            <w:pPr>
              <w:spacing w:after="0"/>
              <w:jc w:val="center"/>
              <w:rPr>
                <w:rFonts w:ascii="Calibri" w:eastAsia="Times New Roman" w:hAnsi="Calibri"/>
                <w:b/>
                <w:bCs/>
                <w:color w:val="FFFFFF"/>
                <w:sz w:val="20"/>
                <w:lang w:eastAsia="en-GB"/>
              </w:rPr>
            </w:pPr>
            <w:r>
              <w:rPr>
                <w:rFonts w:ascii="Calibri" w:eastAsia="Times New Roman" w:hAnsi="Calibri"/>
                <w:b/>
                <w:bCs/>
                <w:color w:val="FFFFFF"/>
                <w:sz w:val="20"/>
                <w:lang w:eastAsia="en-GB"/>
              </w:rPr>
              <w:lastRenderedPageBreak/>
              <w:t>Ports</w:t>
            </w:r>
          </w:p>
        </w:tc>
        <w:tc>
          <w:tcPr>
            <w:tcW w:w="2551" w:type="dxa"/>
            <w:tcBorders>
              <w:top w:val="nil"/>
              <w:left w:val="nil"/>
              <w:bottom w:val="single" w:sz="8" w:space="0" w:color="FFFFFF"/>
              <w:right w:val="single" w:sz="8" w:space="0" w:color="FFFFFF"/>
            </w:tcBorders>
            <w:shd w:val="clear" w:color="000000" w:fill="D0CECE"/>
            <w:vAlign w:val="center"/>
            <w:hideMark/>
          </w:tcPr>
          <w:p w14:paraId="6845504C" w14:textId="77777777" w:rsidR="00140F6A" w:rsidRPr="00140F6A" w:rsidRDefault="00140F6A" w:rsidP="00140F6A">
            <w:pPr>
              <w:spacing w:after="0"/>
              <w:rPr>
                <w:rFonts w:ascii="Calibri" w:eastAsia="Times New Roman" w:hAnsi="Calibri"/>
                <w:color w:val="000000"/>
                <w:sz w:val="18"/>
                <w:lang w:eastAsia="en-GB"/>
              </w:rPr>
            </w:pPr>
            <w:r w:rsidRPr="00140F6A">
              <w:rPr>
                <w:rFonts w:ascii="Calibri" w:eastAsia="Times New Roman" w:hAnsi="Calibri"/>
                <w:color w:val="000000"/>
                <w:sz w:val="18"/>
                <w:lang w:eastAsia="en-GB"/>
              </w:rPr>
              <w:t>Warehousing and Storage</w:t>
            </w:r>
          </w:p>
        </w:tc>
        <w:tc>
          <w:tcPr>
            <w:tcW w:w="3686" w:type="dxa"/>
            <w:tcBorders>
              <w:top w:val="nil"/>
              <w:left w:val="nil"/>
              <w:bottom w:val="single" w:sz="8" w:space="0" w:color="FFFFFF"/>
              <w:right w:val="single" w:sz="8" w:space="0" w:color="FFFFFF"/>
            </w:tcBorders>
            <w:shd w:val="clear" w:color="000000" w:fill="D0CECE"/>
            <w:vAlign w:val="center"/>
            <w:hideMark/>
          </w:tcPr>
          <w:p w14:paraId="46267190"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 xml:space="preserve">Identified through SIC code 52101, "Operation of Warehousing and Storage Facilities for Water Transport activities". Activities are then mapped to council wards containing major and minor UK ports. </w:t>
            </w:r>
          </w:p>
        </w:tc>
        <w:tc>
          <w:tcPr>
            <w:tcW w:w="1984" w:type="dxa"/>
            <w:tcBorders>
              <w:top w:val="nil"/>
              <w:left w:val="nil"/>
              <w:bottom w:val="single" w:sz="8" w:space="0" w:color="FFFFFF"/>
              <w:right w:val="single" w:sz="8" w:space="0" w:color="FFFFFF"/>
            </w:tcBorders>
            <w:shd w:val="clear" w:color="000000" w:fill="D0CECE"/>
            <w:vAlign w:val="center"/>
            <w:hideMark/>
          </w:tcPr>
          <w:p w14:paraId="4BDF881D"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FAME, BRES</w:t>
            </w:r>
          </w:p>
        </w:tc>
      </w:tr>
      <w:tr w:rsidR="00140F6A" w:rsidRPr="00140F6A" w14:paraId="64FE99C6" w14:textId="77777777" w:rsidTr="00EF2BC5">
        <w:trPr>
          <w:trHeight w:val="1431"/>
        </w:trPr>
        <w:tc>
          <w:tcPr>
            <w:tcW w:w="1418" w:type="dxa"/>
            <w:vMerge/>
            <w:tcBorders>
              <w:top w:val="nil"/>
              <w:left w:val="single" w:sz="8" w:space="0" w:color="FFFFFF"/>
              <w:bottom w:val="nil"/>
              <w:right w:val="single" w:sz="12" w:space="0" w:color="FFFFFF"/>
            </w:tcBorders>
            <w:vAlign w:val="center"/>
            <w:hideMark/>
          </w:tcPr>
          <w:p w14:paraId="10E69895" w14:textId="77777777" w:rsidR="00140F6A" w:rsidRPr="00140F6A" w:rsidRDefault="00140F6A" w:rsidP="00140F6A">
            <w:pPr>
              <w:spacing w:after="0"/>
              <w:rPr>
                <w:rFonts w:ascii="Calibri" w:eastAsia="Times New Roman" w:hAnsi="Calibri"/>
                <w:b/>
                <w:bCs/>
                <w:color w:val="FFFFFF"/>
                <w:sz w:val="20"/>
                <w:lang w:eastAsia="en-GB"/>
              </w:rPr>
            </w:pPr>
          </w:p>
        </w:tc>
        <w:tc>
          <w:tcPr>
            <w:tcW w:w="2551" w:type="dxa"/>
            <w:tcBorders>
              <w:top w:val="nil"/>
              <w:left w:val="nil"/>
              <w:bottom w:val="single" w:sz="8" w:space="0" w:color="FFFFFF"/>
              <w:right w:val="single" w:sz="8" w:space="0" w:color="FFFFFF"/>
            </w:tcBorders>
            <w:shd w:val="clear" w:color="000000" w:fill="E7EEEF"/>
            <w:vAlign w:val="center"/>
            <w:hideMark/>
          </w:tcPr>
          <w:p w14:paraId="79784E70" w14:textId="77777777" w:rsidR="00140F6A" w:rsidRPr="00140F6A" w:rsidRDefault="00140F6A" w:rsidP="00140F6A">
            <w:pPr>
              <w:spacing w:after="0"/>
              <w:rPr>
                <w:rFonts w:ascii="Calibri" w:eastAsia="Times New Roman" w:hAnsi="Calibri"/>
                <w:color w:val="000000"/>
                <w:sz w:val="18"/>
                <w:lang w:eastAsia="en-GB"/>
              </w:rPr>
            </w:pPr>
            <w:r w:rsidRPr="00140F6A">
              <w:rPr>
                <w:rFonts w:ascii="Calibri" w:eastAsia="Times New Roman" w:hAnsi="Calibri"/>
                <w:color w:val="000000"/>
                <w:sz w:val="18"/>
                <w:lang w:eastAsia="en-GB"/>
              </w:rPr>
              <w:t>Port Authority Management, Security and Marshals, Marine and Vessel Management Services, Marine Pilots, Harbour Support, Engineering and Maintenance</w:t>
            </w:r>
          </w:p>
        </w:tc>
        <w:tc>
          <w:tcPr>
            <w:tcW w:w="3686" w:type="dxa"/>
            <w:tcBorders>
              <w:top w:val="nil"/>
              <w:left w:val="nil"/>
              <w:bottom w:val="single" w:sz="8" w:space="0" w:color="FFFFFF"/>
              <w:right w:val="single" w:sz="8" w:space="0" w:color="FFFFFF"/>
            </w:tcBorders>
            <w:shd w:val="clear" w:color="000000" w:fill="E7EEEF"/>
            <w:vAlign w:val="center"/>
            <w:hideMark/>
          </w:tcPr>
          <w:p w14:paraId="17661560"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Identified through SIC code 52220, "Service activities incidental to water transportation". Activities are then mapped to council wards containing major and minor UK ports.</w:t>
            </w:r>
          </w:p>
        </w:tc>
        <w:tc>
          <w:tcPr>
            <w:tcW w:w="1984" w:type="dxa"/>
            <w:tcBorders>
              <w:top w:val="nil"/>
              <w:left w:val="nil"/>
              <w:bottom w:val="single" w:sz="8" w:space="0" w:color="FFFFFF"/>
              <w:right w:val="single" w:sz="8" w:space="0" w:color="FFFFFF"/>
            </w:tcBorders>
            <w:shd w:val="clear" w:color="000000" w:fill="E7EEEF"/>
            <w:vAlign w:val="center"/>
            <w:hideMark/>
          </w:tcPr>
          <w:p w14:paraId="424ED2ED"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FAME, BRES</w:t>
            </w:r>
          </w:p>
        </w:tc>
      </w:tr>
      <w:tr w:rsidR="00140F6A" w:rsidRPr="00140F6A" w14:paraId="02124907" w14:textId="77777777" w:rsidTr="00EF2BC5">
        <w:trPr>
          <w:trHeight w:val="1111"/>
        </w:trPr>
        <w:tc>
          <w:tcPr>
            <w:tcW w:w="1418" w:type="dxa"/>
            <w:vMerge/>
            <w:tcBorders>
              <w:top w:val="nil"/>
              <w:left w:val="single" w:sz="8" w:space="0" w:color="FFFFFF"/>
              <w:bottom w:val="nil"/>
              <w:right w:val="single" w:sz="12" w:space="0" w:color="FFFFFF"/>
            </w:tcBorders>
            <w:vAlign w:val="center"/>
            <w:hideMark/>
          </w:tcPr>
          <w:p w14:paraId="165E2C4E" w14:textId="77777777" w:rsidR="00140F6A" w:rsidRPr="00140F6A" w:rsidRDefault="00140F6A" w:rsidP="00140F6A">
            <w:pPr>
              <w:spacing w:after="0"/>
              <w:rPr>
                <w:rFonts w:ascii="Calibri" w:eastAsia="Times New Roman" w:hAnsi="Calibri"/>
                <w:b/>
                <w:bCs/>
                <w:color w:val="FFFFFF"/>
                <w:sz w:val="20"/>
                <w:lang w:eastAsia="en-GB"/>
              </w:rPr>
            </w:pPr>
          </w:p>
        </w:tc>
        <w:tc>
          <w:tcPr>
            <w:tcW w:w="2551" w:type="dxa"/>
            <w:tcBorders>
              <w:top w:val="nil"/>
              <w:left w:val="nil"/>
              <w:bottom w:val="single" w:sz="8" w:space="0" w:color="FFFFFF"/>
              <w:right w:val="single" w:sz="8" w:space="0" w:color="FFFFFF"/>
            </w:tcBorders>
            <w:shd w:val="clear" w:color="000000" w:fill="D0CECE"/>
            <w:vAlign w:val="center"/>
            <w:hideMark/>
          </w:tcPr>
          <w:p w14:paraId="35D66AFA" w14:textId="77777777" w:rsidR="00140F6A" w:rsidRPr="00140F6A" w:rsidRDefault="00140F6A" w:rsidP="00140F6A">
            <w:pPr>
              <w:spacing w:after="0"/>
              <w:rPr>
                <w:rFonts w:ascii="Calibri" w:eastAsia="Times New Roman" w:hAnsi="Calibri"/>
                <w:color w:val="000000"/>
                <w:sz w:val="18"/>
                <w:lang w:eastAsia="en-GB"/>
              </w:rPr>
            </w:pPr>
            <w:r w:rsidRPr="00140F6A">
              <w:rPr>
                <w:rFonts w:ascii="Calibri" w:eastAsia="Times New Roman" w:hAnsi="Calibri"/>
                <w:color w:val="000000"/>
                <w:sz w:val="18"/>
                <w:lang w:eastAsia="en-GB"/>
              </w:rPr>
              <w:t>Stevedores, cargo and passenger handling including crane/vehicle/plant drivers/operators</w:t>
            </w:r>
          </w:p>
        </w:tc>
        <w:tc>
          <w:tcPr>
            <w:tcW w:w="3686" w:type="dxa"/>
            <w:tcBorders>
              <w:top w:val="nil"/>
              <w:left w:val="nil"/>
              <w:bottom w:val="single" w:sz="8" w:space="0" w:color="FFFFFF"/>
              <w:right w:val="single" w:sz="8" w:space="0" w:color="FFFFFF"/>
            </w:tcBorders>
            <w:shd w:val="clear" w:color="000000" w:fill="D0CECE"/>
            <w:vAlign w:val="center"/>
            <w:hideMark/>
          </w:tcPr>
          <w:p w14:paraId="7DD2CCF6"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Identified through SIC code 52241, "Cargo Handling for Water Transport Activities". Activities are then mapped to council wards containing major and minor UK ports.</w:t>
            </w:r>
          </w:p>
        </w:tc>
        <w:tc>
          <w:tcPr>
            <w:tcW w:w="1984" w:type="dxa"/>
            <w:tcBorders>
              <w:top w:val="nil"/>
              <w:left w:val="nil"/>
              <w:bottom w:val="single" w:sz="8" w:space="0" w:color="FFFFFF"/>
              <w:right w:val="single" w:sz="8" w:space="0" w:color="FFFFFF"/>
            </w:tcBorders>
            <w:shd w:val="clear" w:color="000000" w:fill="D0CECE"/>
            <w:vAlign w:val="center"/>
            <w:hideMark/>
          </w:tcPr>
          <w:p w14:paraId="1B0DF8E6"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FAME, BRES</w:t>
            </w:r>
          </w:p>
        </w:tc>
      </w:tr>
      <w:tr w:rsidR="00140F6A" w:rsidRPr="00140F6A" w14:paraId="2753C85D" w14:textId="77777777" w:rsidTr="00EF2BC5">
        <w:trPr>
          <w:trHeight w:val="985"/>
        </w:trPr>
        <w:tc>
          <w:tcPr>
            <w:tcW w:w="1418" w:type="dxa"/>
            <w:vMerge/>
            <w:tcBorders>
              <w:top w:val="nil"/>
              <w:left w:val="single" w:sz="8" w:space="0" w:color="FFFFFF"/>
              <w:bottom w:val="nil"/>
              <w:right w:val="single" w:sz="12" w:space="0" w:color="FFFFFF"/>
            </w:tcBorders>
            <w:vAlign w:val="center"/>
            <w:hideMark/>
          </w:tcPr>
          <w:p w14:paraId="1288513C" w14:textId="77777777" w:rsidR="00140F6A" w:rsidRPr="00140F6A" w:rsidRDefault="00140F6A" w:rsidP="00140F6A">
            <w:pPr>
              <w:spacing w:after="0"/>
              <w:rPr>
                <w:rFonts w:ascii="Calibri" w:eastAsia="Times New Roman" w:hAnsi="Calibri"/>
                <w:b/>
                <w:bCs/>
                <w:color w:val="FFFFFF"/>
                <w:sz w:val="20"/>
                <w:lang w:eastAsia="en-GB"/>
              </w:rPr>
            </w:pPr>
          </w:p>
        </w:tc>
        <w:tc>
          <w:tcPr>
            <w:tcW w:w="2551" w:type="dxa"/>
            <w:tcBorders>
              <w:top w:val="nil"/>
              <w:left w:val="nil"/>
              <w:bottom w:val="single" w:sz="8" w:space="0" w:color="FFFFFF"/>
              <w:right w:val="single" w:sz="8" w:space="0" w:color="FFFFFF"/>
            </w:tcBorders>
            <w:shd w:val="clear" w:color="000000" w:fill="E7EEEF"/>
            <w:vAlign w:val="center"/>
            <w:hideMark/>
          </w:tcPr>
          <w:p w14:paraId="12A12D6A" w14:textId="77777777" w:rsidR="00140F6A" w:rsidRPr="00140F6A" w:rsidRDefault="00140F6A" w:rsidP="00140F6A">
            <w:pPr>
              <w:spacing w:after="0"/>
              <w:rPr>
                <w:rFonts w:ascii="Calibri" w:eastAsia="Times New Roman" w:hAnsi="Calibri"/>
                <w:color w:val="000000"/>
                <w:sz w:val="18"/>
                <w:lang w:eastAsia="en-GB"/>
              </w:rPr>
            </w:pPr>
            <w:r w:rsidRPr="00140F6A">
              <w:rPr>
                <w:rFonts w:ascii="Calibri" w:eastAsia="Times New Roman" w:hAnsi="Calibri"/>
                <w:color w:val="000000"/>
                <w:sz w:val="18"/>
                <w:lang w:eastAsia="en-GB"/>
              </w:rPr>
              <w:t>Border Agency, Home Office and HMRC staff operating in Ports</w:t>
            </w:r>
          </w:p>
        </w:tc>
        <w:tc>
          <w:tcPr>
            <w:tcW w:w="3686" w:type="dxa"/>
            <w:tcBorders>
              <w:top w:val="nil"/>
              <w:left w:val="nil"/>
              <w:bottom w:val="single" w:sz="8" w:space="0" w:color="FFFFFF"/>
              <w:right w:val="single" w:sz="8" w:space="0" w:color="FFFFFF"/>
            </w:tcBorders>
            <w:shd w:val="clear" w:color="000000" w:fill="E7EEEF"/>
            <w:vAlign w:val="center"/>
            <w:hideMark/>
          </w:tcPr>
          <w:p w14:paraId="4C57F1FB"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Identified as public sector employees operating in UK ports. Activities are then mapped to council wards containing major and minor UK ports.</w:t>
            </w:r>
          </w:p>
        </w:tc>
        <w:tc>
          <w:tcPr>
            <w:tcW w:w="1984" w:type="dxa"/>
            <w:tcBorders>
              <w:top w:val="nil"/>
              <w:left w:val="nil"/>
              <w:bottom w:val="single" w:sz="8" w:space="0" w:color="FFFFFF"/>
              <w:right w:val="single" w:sz="8" w:space="0" w:color="FFFFFF"/>
            </w:tcBorders>
            <w:shd w:val="clear" w:color="000000" w:fill="E7EEEF"/>
            <w:vAlign w:val="center"/>
            <w:hideMark/>
          </w:tcPr>
          <w:p w14:paraId="64EB060B" w14:textId="77777777" w:rsidR="00140F6A" w:rsidRPr="00140F6A" w:rsidRDefault="00140F6A" w:rsidP="00140F6A">
            <w:pPr>
              <w:spacing w:after="0"/>
              <w:jc w:val="center"/>
              <w:rPr>
                <w:rFonts w:ascii="Calibri" w:eastAsia="Times New Roman" w:hAnsi="Calibri"/>
                <w:color w:val="000000"/>
                <w:sz w:val="18"/>
                <w:lang w:eastAsia="en-GB"/>
              </w:rPr>
            </w:pPr>
            <w:r w:rsidRPr="00140F6A">
              <w:rPr>
                <w:rFonts w:ascii="Calibri" w:eastAsia="Times New Roman" w:hAnsi="Calibri"/>
                <w:color w:val="000000"/>
                <w:sz w:val="18"/>
                <w:lang w:eastAsia="en-GB"/>
              </w:rPr>
              <w:t>Institute for Government, Port Freight Statistics, Cebr analysis</w:t>
            </w:r>
          </w:p>
        </w:tc>
      </w:tr>
    </w:tbl>
    <w:p w14:paraId="479D299E" w14:textId="77777777" w:rsidR="00140F6A" w:rsidRPr="00140F6A" w:rsidRDefault="00140F6A" w:rsidP="00140F6A"/>
    <w:p w14:paraId="3B386AF0" w14:textId="77777777" w:rsidR="008873E9" w:rsidRDefault="008873E9" w:rsidP="00FC72D6">
      <w:pPr>
        <w:keepNext/>
        <w:keepLines/>
        <w:spacing w:before="60" w:after="0"/>
        <w:jc w:val="right"/>
        <w:rPr>
          <w:i/>
          <w:sz w:val="18"/>
        </w:rPr>
      </w:pPr>
      <w:r>
        <w:rPr>
          <w:i/>
          <w:sz w:val="18"/>
        </w:rPr>
        <w:t>Source:</w:t>
      </w:r>
      <w:r w:rsidR="00C411B4">
        <w:rPr>
          <w:i/>
          <w:sz w:val="18"/>
        </w:rPr>
        <w:t xml:space="preserve"> </w:t>
      </w:r>
      <w:r w:rsidR="008A4762">
        <w:rPr>
          <w:i/>
          <w:sz w:val="18"/>
        </w:rPr>
        <w:t xml:space="preserve">Maritime UK, </w:t>
      </w:r>
      <w:r>
        <w:rPr>
          <w:i/>
          <w:sz w:val="18"/>
        </w:rPr>
        <w:t>Cebr analysis</w:t>
      </w:r>
    </w:p>
    <w:p w14:paraId="7E6B5DF6" w14:textId="77777777" w:rsidR="004D4579" w:rsidRDefault="004D4579" w:rsidP="009F1195">
      <w:pPr>
        <w:pStyle w:val="ListBullet"/>
        <w:spacing w:after="0"/>
        <w:rPr>
          <w:rFonts w:ascii="Calibri" w:eastAsia="Microsoft JhengHei" w:hAnsi="Calibri"/>
          <w:szCs w:val="22"/>
        </w:rPr>
      </w:pPr>
    </w:p>
    <w:p w14:paraId="7800B255" w14:textId="4DDD4946" w:rsidR="008873E9" w:rsidRDefault="00220478" w:rsidP="00107FC0">
      <w:pPr>
        <w:pStyle w:val="ListBullet"/>
        <w:spacing w:after="120"/>
        <w:rPr>
          <w:rFonts w:ascii="Calibri" w:eastAsia="Microsoft JhengHei" w:hAnsi="Calibri"/>
          <w:szCs w:val="22"/>
        </w:rPr>
      </w:pPr>
      <w:r>
        <w:rPr>
          <w:rFonts w:ascii="Calibri" w:eastAsia="Microsoft JhengHei" w:hAnsi="Calibri"/>
          <w:szCs w:val="22"/>
        </w:rPr>
        <w:t xml:space="preserve">For the majority of </w:t>
      </w:r>
      <w:r w:rsidR="00F7417B">
        <w:rPr>
          <w:rFonts w:ascii="Calibri" w:eastAsia="Microsoft JhengHei" w:hAnsi="Calibri"/>
          <w:szCs w:val="22"/>
        </w:rPr>
        <w:t>s</w:t>
      </w:r>
      <w:r>
        <w:rPr>
          <w:rFonts w:ascii="Calibri" w:eastAsia="Microsoft JhengHei" w:hAnsi="Calibri"/>
          <w:szCs w:val="22"/>
        </w:rPr>
        <w:t xml:space="preserve">hipping and </w:t>
      </w:r>
      <w:r w:rsidR="00F7417B">
        <w:rPr>
          <w:rFonts w:ascii="Calibri" w:eastAsia="Microsoft JhengHei" w:hAnsi="Calibri"/>
          <w:szCs w:val="22"/>
        </w:rPr>
        <w:t>p</w:t>
      </w:r>
      <w:r>
        <w:rPr>
          <w:rFonts w:ascii="Calibri" w:eastAsia="Microsoft JhengHei" w:hAnsi="Calibri"/>
          <w:szCs w:val="22"/>
        </w:rPr>
        <w:t xml:space="preserve">orts industry activities, business demography data taken from the FAME database has been used to generate UK-level estimates for the direct economic impacts of each activity. </w:t>
      </w:r>
      <w:r w:rsidR="0011534E">
        <w:rPr>
          <w:rFonts w:ascii="Calibri" w:eastAsia="Microsoft JhengHei" w:hAnsi="Calibri"/>
          <w:szCs w:val="22"/>
        </w:rPr>
        <w:t xml:space="preserve">Data taken from the ONS Business Register of Employment Survey (BRES) has then been used to disaggregate national level data at </w:t>
      </w:r>
      <w:r w:rsidR="00107FC0">
        <w:rPr>
          <w:rFonts w:ascii="Calibri" w:eastAsia="Microsoft JhengHei" w:hAnsi="Calibri"/>
          <w:szCs w:val="22"/>
        </w:rPr>
        <w:t xml:space="preserve">both regional and Solent-level. </w:t>
      </w:r>
      <w:r>
        <w:rPr>
          <w:rFonts w:ascii="Calibri" w:eastAsia="Microsoft JhengHei" w:hAnsi="Calibri"/>
          <w:szCs w:val="22"/>
        </w:rPr>
        <w:t>In the case of activities</w:t>
      </w:r>
      <w:r w:rsidR="007F3FDD">
        <w:rPr>
          <w:rFonts w:ascii="Calibri" w:eastAsia="Microsoft JhengHei" w:hAnsi="Calibri"/>
          <w:szCs w:val="22"/>
        </w:rPr>
        <w:t xml:space="preserve"> for the </w:t>
      </w:r>
      <w:r w:rsidR="00F7417B">
        <w:rPr>
          <w:rFonts w:ascii="Calibri" w:eastAsia="Microsoft JhengHei" w:hAnsi="Calibri"/>
          <w:szCs w:val="22"/>
        </w:rPr>
        <w:t>p</w:t>
      </w:r>
      <w:r w:rsidR="007F3FDD">
        <w:rPr>
          <w:rFonts w:ascii="Calibri" w:eastAsia="Microsoft JhengHei" w:hAnsi="Calibri"/>
          <w:szCs w:val="22"/>
        </w:rPr>
        <w:t>orts industry</w:t>
      </w:r>
      <w:r>
        <w:rPr>
          <w:rFonts w:ascii="Calibri" w:eastAsia="Microsoft JhengHei" w:hAnsi="Calibri"/>
          <w:szCs w:val="22"/>
        </w:rPr>
        <w:t>, only activity taking place in council wards</w:t>
      </w:r>
      <w:r w:rsidR="006239F0">
        <w:rPr>
          <w:rFonts w:ascii="Calibri" w:eastAsia="Microsoft JhengHei" w:hAnsi="Calibri"/>
          <w:szCs w:val="22"/>
        </w:rPr>
        <w:t xml:space="preserve"> within the Solent</w:t>
      </w:r>
      <w:r>
        <w:rPr>
          <w:rFonts w:ascii="Calibri" w:eastAsia="Microsoft JhengHei" w:hAnsi="Calibri"/>
          <w:szCs w:val="22"/>
        </w:rPr>
        <w:t xml:space="preserve"> </w:t>
      </w:r>
      <w:r w:rsidR="006239F0">
        <w:rPr>
          <w:rFonts w:ascii="Calibri" w:eastAsia="Microsoft JhengHei" w:hAnsi="Calibri"/>
          <w:szCs w:val="22"/>
        </w:rPr>
        <w:t xml:space="preserve">LEP </w:t>
      </w:r>
      <w:r>
        <w:rPr>
          <w:rFonts w:ascii="Calibri" w:eastAsia="Microsoft JhengHei" w:hAnsi="Calibri"/>
          <w:szCs w:val="22"/>
        </w:rPr>
        <w:t>which contain a major or minor UK port has been captured, on the assumption that warehousing and storage and other activities taking place in these locations relate to the associated port.</w:t>
      </w:r>
    </w:p>
    <w:p w14:paraId="4DC64C68" w14:textId="38258187" w:rsidR="00CE5C73" w:rsidRPr="00CE5C73" w:rsidRDefault="00CE5C73" w:rsidP="009B2B3D">
      <w:pPr>
        <w:pStyle w:val="Heading3"/>
      </w:pPr>
      <w:r w:rsidRPr="00CE5C73">
        <w:t xml:space="preserve">The </w:t>
      </w:r>
      <w:r w:rsidR="009B2B3D">
        <w:t>leisure marine and marine scientific and engineering industries</w:t>
      </w:r>
    </w:p>
    <w:p w14:paraId="4B6E106A" w14:textId="60E00317" w:rsidR="000219E1" w:rsidRPr="00494369" w:rsidRDefault="00494369" w:rsidP="00494369">
      <w:pPr>
        <w:pStyle w:val="ListBullet"/>
        <w:spacing w:after="120"/>
        <w:rPr>
          <w:rFonts w:ascii="Calibri" w:eastAsia="Microsoft JhengHei" w:hAnsi="Calibri"/>
          <w:szCs w:val="22"/>
        </w:rPr>
      </w:pPr>
      <w:r>
        <w:rPr>
          <w:rFonts w:ascii="Calibri" w:eastAsia="Microsoft JhengHei" w:hAnsi="Calibri"/>
          <w:szCs w:val="22"/>
        </w:rPr>
        <w:fldChar w:fldCharType="begin"/>
      </w:r>
      <w:r>
        <w:rPr>
          <w:rFonts w:ascii="Calibri" w:eastAsia="Microsoft JhengHei" w:hAnsi="Calibri"/>
          <w:szCs w:val="22"/>
        </w:rPr>
        <w:instrText xml:space="preserve"> REF _Ref499907362 \h </w:instrText>
      </w:r>
      <w:r>
        <w:rPr>
          <w:rFonts w:ascii="Calibri" w:eastAsia="Microsoft JhengHei" w:hAnsi="Calibri"/>
          <w:szCs w:val="22"/>
        </w:rPr>
      </w:r>
      <w:r>
        <w:rPr>
          <w:rFonts w:ascii="Calibri" w:eastAsia="Microsoft JhengHei" w:hAnsi="Calibri"/>
          <w:szCs w:val="22"/>
        </w:rPr>
        <w:fldChar w:fldCharType="separate"/>
      </w:r>
      <w:r w:rsidR="00D17FEA">
        <w:t xml:space="preserve">Table </w:t>
      </w:r>
      <w:r w:rsidR="00D17FEA">
        <w:rPr>
          <w:noProof/>
        </w:rPr>
        <w:t>14</w:t>
      </w:r>
      <w:r>
        <w:rPr>
          <w:rFonts w:ascii="Calibri" w:eastAsia="Microsoft JhengHei" w:hAnsi="Calibri"/>
          <w:szCs w:val="22"/>
        </w:rPr>
        <w:fldChar w:fldCharType="end"/>
      </w:r>
      <w:r w:rsidR="00EA1603">
        <w:rPr>
          <w:rFonts w:ascii="Calibri" w:eastAsia="Microsoft JhengHei" w:hAnsi="Calibri"/>
          <w:szCs w:val="22"/>
        </w:rPr>
        <w:t xml:space="preserve"> below shows how activit</w:t>
      </w:r>
      <w:r w:rsidR="003E4F77">
        <w:rPr>
          <w:rFonts w:ascii="Calibri" w:eastAsia="Microsoft JhengHei" w:hAnsi="Calibri"/>
          <w:szCs w:val="22"/>
        </w:rPr>
        <w:t xml:space="preserve">ies for the </w:t>
      </w:r>
      <w:r w:rsidR="00F7417B">
        <w:rPr>
          <w:rFonts w:ascii="Calibri" w:eastAsia="Microsoft JhengHei" w:hAnsi="Calibri"/>
          <w:szCs w:val="22"/>
        </w:rPr>
        <w:t>m</w:t>
      </w:r>
      <w:r w:rsidR="003E4F77">
        <w:rPr>
          <w:rFonts w:ascii="Calibri" w:eastAsia="Microsoft JhengHei" w:hAnsi="Calibri"/>
          <w:szCs w:val="22"/>
        </w:rPr>
        <w:t>arine industry</w:t>
      </w:r>
      <w:r w:rsidR="00EA1603">
        <w:rPr>
          <w:rFonts w:ascii="Calibri" w:eastAsia="Microsoft JhengHei" w:hAnsi="Calibri"/>
          <w:szCs w:val="22"/>
        </w:rPr>
        <w:t xml:space="preserve"> have been identified, and the data sources used to capture and quantify the</w:t>
      </w:r>
      <w:r>
        <w:rPr>
          <w:rFonts w:ascii="Calibri" w:eastAsia="Microsoft JhengHei" w:hAnsi="Calibri"/>
          <w:szCs w:val="22"/>
        </w:rPr>
        <w:t xml:space="preserve"> associated economic activity. </w:t>
      </w:r>
    </w:p>
    <w:p w14:paraId="58789C28" w14:textId="77777777" w:rsidR="00494369" w:rsidRDefault="00494369" w:rsidP="00494369">
      <w:pPr>
        <w:pStyle w:val="Caption"/>
        <w:keepNext/>
      </w:pPr>
      <w:bookmarkStart w:id="86" w:name="_Ref499907362"/>
      <w:r>
        <w:t xml:space="preserve">Table </w:t>
      </w:r>
      <w:r w:rsidR="00F604FD">
        <w:rPr>
          <w:noProof/>
        </w:rPr>
        <w:fldChar w:fldCharType="begin"/>
      </w:r>
      <w:r w:rsidR="00F604FD">
        <w:rPr>
          <w:noProof/>
        </w:rPr>
        <w:instrText xml:space="preserve"> SEQ Table \* ARABIC </w:instrText>
      </w:r>
      <w:r w:rsidR="00F604FD">
        <w:rPr>
          <w:noProof/>
        </w:rPr>
        <w:fldChar w:fldCharType="separate"/>
      </w:r>
      <w:r w:rsidR="00D17FEA">
        <w:rPr>
          <w:noProof/>
        </w:rPr>
        <w:t>14</w:t>
      </w:r>
      <w:r w:rsidR="00F604FD">
        <w:rPr>
          <w:noProof/>
        </w:rPr>
        <w:fldChar w:fldCharType="end"/>
      </w:r>
      <w:bookmarkEnd w:id="86"/>
      <w:r>
        <w:t xml:space="preserve">: </w:t>
      </w:r>
      <w:r w:rsidRPr="00A163B3">
        <w:t>Mapping of Maritime sector activities: Marine industry</w:t>
      </w:r>
    </w:p>
    <w:tbl>
      <w:tblPr>
        <w:tblW w:w="9529" w:type="dxa"/>
        <w:tblInd w:w="-10" w:type="dxa"/>
        <w:tblLook w:val="04A0" w:firstRow="1" w:lastRow="0" w:firstColumn="1" w:lastColumn="0" w:noHBand="0" w:noVBand="1"/>
      </w:tblPr>
      <w:tblGrid>
        <w:gridCol w:w="1340"/>
        <w:gridCol w:w="2009"/>
        <w:gridCol w:w="4496"/>
        <w:gridCol w:w="1684"/>
      </w:tblGrid>
      <w:tr w:rsidR="00A43F06" w:rsidRPr="00A43F06" w14:paraId="3B0A24FD" w14:textId="77777777" w:rsidTr="009E4181">
        <w:trPr>
          <w:trHeight w:val="516"/>
        </w:trPr>
        <w:tc>
          <w:tcPr>
            <w:tcW w:w="134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E7560E6" w14:textId="77777777" w:rsidR="00A43F06" w:rsidRPr="00A43F06" w:rsidRDefault="00A43F06" w:rsidP="00A43F06">
            <w:pPr>
              <w:spacing w:after="0"/>
              <w:rPr>
                <w:rFonts w:ascii="Calibri" w:eastAsia="Times New Roman" w:hAnsi="Calibri"/>
                <w:b/>
                <w:bCs/>
                <w:color w:val="FFFFFF"/>
                <w:sz w:val="20"/>
                <w:lang w:eastAsia="en-GB"/>
              </w:rPr>
            </w:pPr>
            <w:r w:rsidRPr="00A43F06">
              <w:rPr>
                <w:rFonts w:ascii="Calibri" w:eastAsia="Times New Roman" w:hAnsi="Calibri"/>
                <w:b/>
                <w:bCs/>
                <w:color w:val="FFFFFF"/>
                <w:sz w:val="20"/>
                <w:lang w:eastAsia="en-GB"/>
              </w:rPr>
              <w:t>INDUSTRY</w:t>
            </w:r>
          </w:p>
        </w:tc>
        <w:tc>
          <w:tcPr>
            <w:tcW w:w="2009" w:type="dxa"/>
            <w:tcBorders>
              <w:top w:val="single" w:sz="8" w:space="0" w:color="FFFFFF"/>
              <w:left w:val="nil"/>
              <w:bottom w:val="single" w:sz="12" w:space="0" w:color="FFFFFF"/>
              <w:right w:val="single" w:sz="12" w:space="0" w:color="FFFFFF"/>
            </w:tcBorders>
            <w:shd w:val="clear" w:color="000000" w:fill="008C9B"/>
            <w:vAlign w:val="center"/>
            <w:hideMark/>
          </w:tcPr>
          <w:p w14:paraId="48130BDB" w14:textId="77777777" w:rsidR="00A43F06" w:rsidRPr="00A43F06" w:rsidRDefault="00A43F06" w:rsidP="00A43F06">
            <w:pPr>
              <w:spacing w:after="0"/>
              <w:rPr>
                <w:rFonts w:ascii="Calibri" w:eastAsia="Times New Roman" w:hAnsi="Calibri"/>
                <w:b/>
                <w:bCs/>
                <w:color w:val="FFFFFF"/>
                <w:sz w:val="20"/>
                <w:lang w:eastAsia="en-GB"/>
              </w:rPr>
            </w:pPr>
            <w:r w:rsidRPr="00A43F06">
              <w:rPr>
                <w:rFonts w:ascii="Calibri" w:eastAsia="Times New Roman" w:hAnsi="Calibri"/>
                <w:b/>
                <w:bCs/>
                <w:color w:val="FFFFFF"/>
                <w:sz w:val="20"/>
                <w:lang w:eastAsia="en-GB"/>
              </w:rPr>
              <w:t>ACTIVITY</w:t>
            </w:r>
          </w:p>
        </w:tc>
        <w:tc>
          <w:tcPr>
            <w:tcW w:w="4496" w:type="dxa"/>
            <w:tcBorders>
              <w:top w:val="single" w:sz="8" w:space="0" w:color="FFFFFF"/>
              <w:left w:val="nil"/>
              <w:bottom w:val="single" w:sz="12" w:space="0" w:color="FFFFFF"/>
              <w:right w:val="single" w:sz="12" w:space="0" w:color="FFFFFF"/>
            </w:tcBorders>
            <w:shd w:val="clear" w:color="000000" w:fill="008C9B"/>
            <w:vAlign w:val="center"/>
            <w:hideMark/>
          </w:tcPr>
          <w:p w14:paraId="1DBAA228" w14:textId="77777777" w:rsidR="00A43F06" w:rsidRPr="00A43F06" w:rsidRDefault="00A43F06" w:rsidP="00A43F06">
            <w:pPr>
              <w:spacing w:after="0"/>
              <w:rPr>
                <w:rFonts w:ascii="Calibri" w:eastAsia="Times New Roman" w:hAnsi="Calibri"/>
                <w:b/>
                <w:bCs/>
                <w:color w:val="FFFFFF"/>
                <w:sz w:val="20"/>
                <w:lang w:eastAsia="en-GB"/>
              </w:rPr>
            </w:pPr>
            <w:r w:rsidRPr="00A43F06">
              <w:rPr>
                <w:rFonts w:ascii="Calibri" w:eastAsia="Times New Roman" w:hAnsi="Calibri"/>
                <w:b/>
                <w:bCs/>
                <w:color w:val="FFFFFF"/>
                <w:sz w:val="20"/>
                <w:lang w:eastAsia="en-GB"/>
              </w:rPr>
              <w:t>MAPPING</w:t>
            </w:r>
          </w:p>
        </w:tc>
        <w:tc>
          <w:tcPr>
            <w:tcW w:w="1684" w:type="dxa"/>
            <w:tcBorders>
              <w:top w:val="single" w:sz="8" w:space="0" w:color="FFFFFF"/>
              <w:left w:val="nil"/>
              <w:bottom w:val="single" w:sz="12" w:space="0" w:color="FFFFFF"/>
              <w:right w:val="single" w:sz="12" w:space="0" w:color="FFFFFF"/>
            </w:tcBorders>
            <w:shd w:val="clear" w:color="000000" w:fill="008C9B"/>
            <w:vAlign w:val="center"/>
            <w:hideMark/>
          </w:tcPr>
          <w:p w14:paraId="1BEBAAF4" w14:textId="77777777" w:rsidR="00A43F06" w:rsidRPr="00A43F06" w:rsidRDefault="00A43F06" w:rsidP="00A43F06">
            <w:pPr>
              <w:spacing w:after="0"/>
              <w:rPr>
                <w:rFonts w:ascii="Calibri" w:eastAsia="Times New Roman" w:hAnsi="Calibri"/>
                <w:b/>
                <w:bCs/>
                <w:color w:val="FFFFFF"/>
                <w:sz w:val="20"/>
                <w:lang w:eastAsia="en-GB"/>
              </w:rPr>
            </w:pPr>
            <w:r w:rsidRPr="00A43F06">
              <w:rPr>
                <w:rFonts w:ascii="Calibri" w:eastAsia="Times New Roman" w:hAnsi="Calibri"/>
                <w:b/>
                <w:bCs/>
                <w:color w:val="FFFFFF"/>
                <w:sz w:val="20"/>
                <w:lang w:eastAsia="en-GB"/>
              </w:rPr>
              <w:t>SOURCE(S) USED</w:t>
            </w:r>
          </w:p>
        </w:tc>
      </w:tr>
      <w:tr w:rsidR="00A43F06" w:rsidRPr="00A43F06" w14:paraId="2D19543C" w14:textId="77777777" w:rsidTr="009E4181">
        <w:trPr>
          <w:trHeight w:val="964"/>
        </w:trPr>
        <w:tc>
          <w:tcPr>
            <w:tcW w:w="1340" w:type="dxa"/>
            <w:vMerge w:val="restart"/>
            <w:tcBorders>
              <w:top w:val="single" w:sz="12" w:space="0" w:color="FFFFFF"/>
              <w:left w:val="single" w:sz="8" w:space="0" w:color="FFFFFF"/>
              <w:bottom w:val="single" w:sz="12" w:space="0" w:color="FFFFFF"/>
              <w:right w:val="single" w:sz="12" w:space="0" w:color="FFFFFF"/>
            </w:tcBorders>
            <w:shd w:val="clear" w:color="000000" w:fill="008C9B"/>
            <w:vAlign w:val="center"/>
            <w:hideMark/>
          </w:tcPr>
          <w:p w14:paraId="0F39C94B" w14:textId="77777777" w:rsidR="00A43F06" w:rsidRPr="00A43F06" w:rsidRDefault="00A43F06" w:rsidP="00A43F06">
            <w:pPr>
              <w:spacing w:after="0"/>
              <w:jc w:val="center"/>
              <w:rPr>
                <w:rFonts w:ascii="Calibri" w:eastAsia="Times New Roman" w:hAnsi="Calibri"/>
                <w:b/>
                <w:bCs/>
                <w:color w:val="FFFFFF"/>
                <w:sz w:val="20"/>
                <w:lang w:eastAsia="en-GB"/>
              </w:rPr>
            </w:pPr>
            <w:r w:rsidRPr="00A43F06">
              <w:rPr>
                <w:rFonts w:ascii="Calibri" w:eastAsia="Times New Roman" w:hAnsi="Calibri"/>
                <w:b/>
                <w:bCs/>
                <w:color w:val="FFFFFF"/>
                <w:sz w:val="20"/>
                <w:lang w:eastAsia="en-GB"/>
              </w:rPr>
              <w:t>Leisure Marine</w:t>
            </w:r>
          </w:p>
        </w:tc>
        <w:tc>
          <w:tcPr>
            <w:tcW w:w="2009" w:type="dxa"/>
            <w:tcBorders>
              <w:top w:val="nil"/>
              <w:left w:val="nil"/>
              <w:bottom w:val="single" w:sz="8" w:space="0" w:color="FFFFFF"/>
              <w:right w:val="single" w:sz="8" w:space="0" w:color="FFFFFF"/>
            </w:tcBorders>
            <w:shd w:val="clear" w:color="000000" w:fill="E7EEEF"/>
            <w:vAlign w:val="center"/>
            <w:hideMark/>
          </w:tcPr>
          <w:p w14:paraId="36EBEB62" w14:textId="77777777" w:rsidR="00A43F06" w:rsidRPr="00A43F06" w:rsidRDefault="00A43F06" w:rsidP="00A43F06">
            <w:pPr>
              <w:spacing w:after="0"/>
              <w:jc w:val="center"/>
              <w:rPr>
                <w:rFonts w:ascii="Calibri" w:eastAsia="Times New Roman" w:hAnsi="Calibri"/>
                <w:color w:val="000000"/>
                <w:sz w:val="18"/>
                <w:lang w:eastAsia="en-GB"/>
              </w:rPr>
            </w:pPr>
            <w:r w:rsidRPr="00A43F06">
              <w:rPr>
                <w:rFonts w:ascii="Calibri" w:eastAsia="Times New Roman" w:hAnsi="Calibri"/>
                <w:color w:val="000000"/>
                <w:sz w:val="18"/>
                <w:lang w:eastAsia="en-GB"/>
              </w:rPr>
              <w:t>Boatbuilding (marine leisure vessels)</w:t>
            </w:r>
          </w:p>
        </w:tc>
        <w:tc>
          <w:tcPr>
            <w:tcW w:w="4496" w:type="dxa"/>
            <w:tcBorders>
              <w:top w:val="nil"/>
              <w:left w:val="nil"/>
              <w:bottom w:val="single" w:sz="8" w:space="0" w:color="FFFFFF"/>
              <w:right w:val="single" w:sz="8" w:space="0" w:color="FFFFFF"/>
            </w:tcBorders>
            <w:shd w:val="clear" w:color="000000" w:fill="E7EEEF"/>
            <w:vAlign w:val="center"/>
            <w:hideMark/>
          </w:tcPr>
          <w:p w14:paraId="13B1DDBB" w14:textId="77777777" w:rsidR="00A43F06" w:rsidRPr="00A43F06" w:rsidRDefault="00A43F06" w:rsidP="00A43F06">
            <w:pPr>
              <w:spacing w:after="0"/>
              <w:jc w:val="both"/>
              <w:rPr>
                <w:rFonts w:ascii="Calibri" w:eastAsia="Times New Roman" w:hAnsi="Calibri"/>
                <w:color w:val="000000"/>
                <w:sz w:val="18"/>
                <w:lang w:eastAsia="en-GB"/>
              </w:rPr>
            </w:pPr>
            <w:r w:rsidRPr="00A43F06">
              <w:rPr>
                <w:rFonts w:ascii="Calibri" w:eastAsia="Times New Roman" w:hAnsi="Calibri"/>
                <w:color w:val="000000"/>
                <w:sz w:val="18"/>
                <w:lang w:eastAsia="en-GB"/>
              </w:rPr>
              <w:t>Identified through SIC codes 3012 ("Building of pleasure and sporting boats") as well as the British Marine "Key Performance Indicators for the Leisure, Superyacht and Small Commercial Marine Industry"</w:t>
            </w:r>
          </w:p>
        </w:tc>
        <w:tc>
          <w:tcPr>
            <w:tcW w:w="1684" w:type="dxa"/>
            <w:tcBorders>
              <w:top w:val="nil"/>
              <w:left w:val="nil"/>
              <w:bottom w:val="single" w:sz="8" w:space="0" w:color="FFFFFF"/>
              <w:right w:val="single" w:sz="8" w:space="0" w:color="FFFFFF"/>
            </w:tcBorders>
            <w:shd w:val="clear" w:color="000000" w:fill="E7EEEF"/>
            <w:vAlign w:val="center"/>
            <w:hideMark/>
          </w:tcPr>
          <w:p w14:paraId="2993FB38" w14:textId="77777777" w:rsidR="00A43F06" w:rsidRPr="00A43F06" w:rsidRDefault="00A43F06" w:rsidP="00A43F06">
            <w:pPr>
              <w:spacing w:after="0"/>
              <w:jc w:val="center"/>
              <w:rPr>
                <w:rFonts w:ascii="Calibri" w:eastAsia="Times New Roman" w:hAnsi="Calibri"/>
                <w:color w:val="000000"/>
                <w:sz w:val="18"/>
                <w:lang w:eastAsia="en-GB"/>
              </w:rPr>
            </w:pPr>
            <w:r w:rsidRPr="00A43F06">
              <w:rPr>
                <w:rFonts w:ascii="Calibri" w:eastAsia="Times New Roman" w:hAnsi="Calibri"/>
                <w:color w:val="000000"/>
                <w:sz w:val="18"/>
                <w:lang w:eastAsia="en-GB"/>
              </w:rPr>
              <w:t>British Marine, Cebr analysis</w:t>
            </w:r>
          </w:p>
        </w:tc>
      </w:tr>
      <w:tr w:rsidR="00A43F06" w:rsidRPr="00A43F06" w14:paraId="4204659E" w14:textId="77777777" w:rsidTr="009E4181">
        <w:trPr>
          <w:trHeight w:val="2021"/>
        </w:trPr>
        <w:tc>
          <w:tcPr>
            <w:tcW w:w="1340" w:type="dxa"/>
            <w:vMerge/>
            <w:tcBorders>
              <w:top w:val="single" w:sz="4" w:space="0" w:color="auto"/>
              <w:left w:val="single" w:sz="8" w:space="0" w:color="FFFFFF"/>
              <w:bottom w:val="single" w:sz="12" w:space="0" w:color="FFFFFF"/>
              <w:right w:val="single" w:sz="12" w:space="0" w:color="FFFFFF"/>
            </w:tcBorders>
            <w:vAlign w:val="center"/>
            <w:hideMark/>
          </w:tcPr>
          <w:p w14:paraId="3FC140D0" w14:textId="77777777" w:rsidR="00A43F06" w:rsidRPr="00A43F06" w:rsidRDefault="00A43F06" w:rsidP="00A43F06">
            <w:pPr>
              <w:spacing w:after="0"/>
              <w:rPr>
                <w:rFonts w:ascii="Calibri" w:eastAsia="Times New Roman" w:hAnsi="Calibri"/>
                <w:b/>
                <w:bCs/>
                <w:color w:val="FFFFFF"/>
                <w:sz w:val="20"/>
                <w:lang w:eastAsia="en-GB"/>
              </w:rPr>
            </w:pPr>
          </w:p>
        </w:tc>
        <w:tc>
          <w:tcPr>
            <w:tcW w:w="2009" w:type="dxa"/>
            <w:tcBorders>
              <w:top w:val="nil"/>
              <w:left w:val="nil"/>
              <w:bottom w:val="single" w:sz="8" w:space="0" w:color="FFFFFF"/>
              <w:right w:val="single" w:sz="8" w:space="0" w:color="FFFFFF"/>
            </w:tcBorders>
            <w:shd w:val="clear" w:color="000000" w:fill="D0CECE"/>
            <w:vAlign w:val="center"/>
            <w:hideMark/>
          </w:tcPr>
          <w:p w14:paraId="73E03C2F" w14:textId="77777777" w:rsidR="00A43F06" w:rsidRPr="00A43F06" w:rsidRDefault="00A43F06" w:rsidP="00A43F06">
            <w:pPr>
              <w:spacing w:after="0"/>
              <w:jc w:val="center"/>
              <w:rPr>
                <w:rFonts w:ascii="Calibri" w:eastAsia="Times New Roman" w:hAnsi="Calibri"/>
                <w:color w:val="000000"/>
                <w:sz w:val="18"/>
                <w:lang w:eastAsia="en-GB"/>
              </w:rPr>
            </w:pPr>
            <w:r w:rsidRPr="00A43F06">
              <w:rPr>
                <w:rFonts w:ascii="Calibri" w:eastAsia="Times New Roman" w:hAnsi="Calibri"/>
                <w:color w:val="000000"/>
                <w:sz w:val="18"/>
                <w:lang w:eastAsia="en-GB"/>
              </w:rPr>
              <w:t>Recreational marine activities, marine finance and legal activities and general customer and business marine services</w:t>
            </w:r>
          </w:p>
        </w:tc>
        <w:tc>
          <w:tcPr>
            <w:tcW w:w="4496" w:type="dxa"/>
            <w:tcBorders>
              <w:top w:val="nil"/>
              <w:left w:val="nil"/>
              <w:bottom w:val="single" w:sz="8" w:space="0" w:color="FFFFFF"/>
              <w:right w:val="single" w:sz="8" w:space="0" w:color="FFFFFF"/>
            </w:tcBorders>
            <w:shd w:val="clear" w:color="000000" w:fill="D0CECE"/>
            <w:vAlign w:val="center"/>
            <w:hideMark/>
          </w:tcPr>
          <w:p w14:paraId="7C71C1FE" w14:textId="77777777" w:rsidR="00A43F06" w:rsidRPr="00A43F06" w:rsidRDefault="00A43F06" w:rsidP="00A43F06">
            <w:pPr>
              <w:spacing w:after="0"/>
              <w:jc w:val="both"/>
              <w:rPr>
                <w:rFonts w:ascii="Calibri" w:eastAsia="Times New Roman" w:hAnsi="Calibri"/>
                <w:color w:val="000000"/>
                <w:sz w:val="18"/>
                <w:lang w:eastAsia="en-GB"/>
              </w:rPr>
            </w:pPr>
            <w:r w:rsidRPr="00A43F06">
              <w:rPr>
                <w:rFonts w:ascii="Calibri" w:eastAsia="Times New Roman" w:hAnsi="Calibri"/>
                <w:color w:val="000000"/>
                <w:sz w:val="18"/>
                <w:lang w:eastAsia="en-GB"/>
              </w:rPr>
              <w:t>Leisure marine activities do not map neatly across the SIC framework, as they are typically bundled together with others within the leisure industries; this precludes the effective use of FAME to gather economic impact data. Cebr have therefore drawn upon the British Marine "Key Performance Indicators for the Leisure, Superyacht and Small Commercial Marine Industry" to derive employment, turnover and GVA estimates.</w:t>
            </w:r>
          </w:p>
        </w:tc>
        <w:tc>
          <w:tcPr>
            <w:tcW w:w="1684" w:type="dxa"/>
            <w:tcBorders>
              <w:top w:val="nil"/>
              <w:left w:val="nil"/>
              <w:bottom w:val="single" w:sz="8" w:space="0" w:color="FFFFFF"/>
              <w:right w:val="single" w:sz="8" w:space="0" w:color="FFFFFF"/>
            </w:tcBorders>
            <w:shd w:val="clear" w:color="000000" w:fill="D0CECE"/>
            <w:vAlign w:val="center"/>
            <w:hideMark/>
          </w:tcPr>
          <w:p w14:paraId="332C3545" w14:textId="77777777" w:rsidR="00A43F06" w:rsidRPr="00A43F06" w:rsidRDefault="00A43F06" w:rsidP="00A43F06">
            <w:pPr>
              <w:spacing w:after="0"/>
              <w:jc w:val="center"/>
              <w:rPr>
                <w:rFonts w:ascii="Calibri" w:eastAsia="Times New Roman" w:hAnsi="Calibri"/>
                <w:color w:val="000000"/>
                <w:sz w:val="18"/>
                <w:lang w:eastAsia="en-GB"/>
              </w:rPr>
            </w:pPr>
            <w:r w:rsidRPr="00A43F06">
              <w:rPr>
                <w:rFonts w:ascii="Calibri" w:eastAsia="Times New Roman" w:hAnsi="Calibri"/>
                <w:color w:val="000000"/>
                <w:sz w:val="18"/>
                <w:lang w:eastAsia="en-GB"/>
              </w:rPr>
              <w:t>British Marine, Cebr analysis</w:t>
            </w:r>
          </w:p>
        </w:tc>
      </w:tr>
      <w:tr w:rsidR="00A43F06" w:rsidRPr="00A43F06" w14:paraId="314CEC21" w14:textId="77777777" w:rsidTr="009E4181">
        <w:trPr>
          <w:trHeight w:val="907"/>
        </w:trPr>
        <w:tc>
          <w:tcPr>
            <w:tcW w:w="1340" w:type="dxa"/>
            <w:vMerge w:val="restart"/>
            <w:tcBorders>
              <w:top w:val="single" w:sz="4" w:space="0" w:color="auto"/>
              <w:left w:val="single" w:sz="8" w:space="0" w:color="FFFFFF"/>
              <w:bottom w:val="single" w:sz="12" w:space="0" w:color="FFFFFF"/>
              <w:right w:val="single" w:sz="12" w:space="0" w:color="FFFFFF"/>
            </w:tcBorders>
            <w:shd w:val="clear" w:color="000000" w:fill="008C9B"/>
            <w:vAlign w:val="center"/>
            <w:hideMark/>
          </w:tcPr>
          <w:p w14:paraId="3DBB382A" w14:textId="77777777" w:rsidR="00A43F06" w:rsidRPr="00A43F06" w:rsidRDefault="00A43F06" w:rsidP="00A43F06">
            <w:pPr>
              <w:spacing w:after="0"/>
              <w:jc w:val="center"/>
              <w:rPr>
                <w:rFonts w:ascii="Calibri" w:eastAsia="Times New Roman" w:hAnsi="Calibri"/>
                <w:b/>
                <w:bCs/>
                <w:color w:val="FFFFFF"/>
                <w:sz w:val="20"/>
                <w:lang w:eastAsia="en-GB"/>
              </w:rPr>
            </w:pPr>
            <w:r w:rsidRPr="00A43F06">
              <w:rPr>
                <w:rFonts w:ascii="Calibri" w:eastAsia="Times New Roman" w:hAnsi="Calibri"/>
                <w:b/>
                <w:bCs/>
                <w:color w:val="FFFFFF"/>
                <w:sz w:val="20"/>
                <w:lang w:eastAsia="en-GB"/>
              </w:rPr>
              <w:t>Marine Engineering</w:t>
            </w:r>
          </w:p>
        </w:tc>
        <w:tc>
          <w:tcPr>
            <w:tcW w:w="2009" w:type="dxa"/>
            <w:tcBorders>
              <w:top w:val="nil"/>
              <w:left w:val="nil"/>
              <w:bottom w:val="single" w:sz="8" w:space="0" w:color="FFFFFF"/>
              <w:right w:val="single" w:sz="8" w:space="0" w:color="FFFFFF"/>
            </w:tcBorders>
            <w:shd w:val="clear" w:color="000000" w:fill="E7EEEF"/>
            <w:vAlign w:val="center"/>
            <w:hideMark/>
          </w:tcPr>
          <w:p w14:paraId="52666DF6" w14:textId="77777777" w:rsidR="00A43F06" w:rsidRPr="00A43F06" w:rsidRDefault="00A43F06" w:rsidP="00A43F06">
            <w:pPr>
              <w:spacing w:after="0"/>
              <w:jc w:val="center"/>
              <w:rPr>
                <w:rFonts w:ascii="Calibri" w:eastAsia="Times New Roman" w:hAnsi="Calibri"/>
                <w:color w:val="000000"/>
                <w:sz w:val="18"/>
                <w:lang w:eastAsia="en-GB"/>
              </w:rPr>
            </w:pPr>
            <w:r w:rsidRPr="00A43F06">
              <w:rPr>
                <w:rFonts w:ascii="Calibri" w:eastAsia="Times New Roman" w:hAnsi="Calibri"/>
                <w:color w:val="000000"/>
                <w:sz w:val="18"/>
                <w:lang w:eastAsia="en-GB"/>
              </w:rPr>
              <w:t>Shipbuilding and Marine Engineering</w:t>
            </w:r>
          </w:p>
        </w:tc>
        <w:tc>
          <w:tcPr>
            <w:tcW w:w="4496" w:type="dxa"/>
            <w:tcBorders>
              <w:top w:val="nil"/>
              <w:left w:val="nil"/>
              <w:bottom w:val="single" w:sz="8" w:space="0" w:color="FFFFFF"/>
              <w:right w:val="single" w:sz="8" w:space="0" w:color="FFFFFF"/>
            </w:tcBorders>
            <w:shd w:val="clear" w:color="000000" w:fill="E7EEEF"/>
            <w:vAlign w:val="center"/>
            <w:hideMark/>
          </w:tcPr>
          <w:p w14:paraId="3E9553E1" w14:textId="77777777" w:rsidR="00A43F06" w:rsidRPr="00A43F06" w:rsidRDefault="00A43F06" w:rsidP="00A43F06">
            <w:pPr>
              <w:spacing w:after="0"/>
              <w:jc w:val="both"/>
              <w:rPr>
                <w:rFonts w:ascii="Calibri" w:eastAsia="Times New Roman" w:hAnsi="Calibri"/>
                <w:color w:val="000000"/>
                <w:sz w:val="18"/>
                <w:lang w:eastAsia="en-GB"/>
              </w:rPr>
            </w:pPr>
            <w:r w:rsidRPr="00A43F06">
              <w:rPr>
                <w:rFonts w:ascii="Calibri" w:eastAsia="Times New Roman" w:hAnsi="Calibri"/>
                <w:color w:val="000000"/>
                <w:sz w:val="18"/>
                <w:lang w:eastAsia="en-GB"/>
              </w:rPr>
              <w:t>Identified in the National Accounts framework through SIC code 3011 ("Building of ships and floating structures") and 3315 (“Repair and maintenance of ships and boats”)</w:t>
            </w:r>
          </w:p>
        </w:tc>
        <w:tc>
          <w:tcPr>
            <w:tcW w:w="1684" w:type="dxa"/>
            <w:tcBorders>
              <w:top w:val="nil"/>
              <w:left w:val="nil"/>
              <w:bottom w:val="single" w:sz="8" w:space="0" w:color="FFFFFF"/>
              <w:right w:val="single" w:sz="8" w:space="0" w:color="FFFFFF"/>
            </w:tcBorders>
            <w:shd w:val="clear" w:color="000000" w:fill="E7EEEF"/>
            <w:vAlign w:val="center"/>
            <w:hideMark/>
          </w:tcPr>
          <w:p w14:paraId="01BFAC98" w14:textId="77777777" w:rsidR="00A43F06" w:rsidRPr="00A43F06" w:rsidRDefault="00A43F06" w:rsidP="00A43F06">
            <w:pPr>
              <w:spacing w:after="0"/>
              <w:jc w:val="center"/>
              <w:rPr>
                <w:rFonts w:ascii="Calibri" w:eastAsia="Times New Roman" w:hAnsi="Calibri"/>
                <w:color w:val="000000"/>
                <w:sz w:val="18"/>
                <w:lang w:eastAsia="en-GB"/>
              </w:rPr>
            </w:pPr>
            <w:r w:rsidRPr="00A43F06">
              <w:rPr>
                <w:rFonts w:ascii="Calibri" w:eastAsia="Times New Roman" w:hAnsi="Calibri"/>
                <w:color w:val="000000"/>
                <w:sz w:val="18"/>
                <w:lang w:eastAsia="en-GB"/>
              </w:rPr>
              <w:t>ABS, BRES, FAME, Cebr Analysis</w:t>
            </w:r>
          </w:p>
        </w:tc>
      </w:tr>
      <w:tr w:rsidR="00A43F06" w:rsidRPr="00A43F06" w14:paraId="683ACE20" w14:textId="77777777" w:rsidTr="009E4181">
        <w:trPr>
          <w:trHeight w:val="1290"/>
        </w:trPr>
        <w:tc>
          <w:tcPr>
            <w:tcW w:w="1340" w:type="dxa"/>
            <w:vMerge/>
            <w:tcBorders>
              <w:top w:val="single" w:sz="4" w:space="0" w:color="auto"/>
              <w:left w:val="single" w:sz="8" w:space="0" w:color="FFFFFF"/>
              <w:bottom w:val="single" w:sz="12" w:space="0" w:color="FFFFFF"/>
              <w:right w:val="single" w:sz="12" w:space="0" w:color="FFFFFF"/>
            </w:tcBorders>
            <w:vAlign w:val="center"/>
            <w:hideMark/>
          </w:tcPr>
          <w:p w14:paraId="6F0B8E92" w14:textId="77777777" w:rsidR="00A43F06" w:rsidRPr="00A43F06" w:rsidRDefault="00A43F06" w:rsidP="00A43F06">
            <w:pPr>
              <w:spacing w:after="0"/>
              <w:rPr>
                <w:rFonts w:ascii="Calibri" w:eastAsia="Times New Roman" w:hAnsi="Calibri"/>
                <w:b/>
                <w:bCs/>
                <w:color w:val="FFFFFF"/>
                <w:sz w:val="20"/>
                <w:lang w:eastAsia="en-GB"/>
              </w:rPr>
            </w:pPr>
          </w:p>
        </w:tc>
        <w:tc>
          <w:tcPr>
            <w:tcW w:w="2009" w:type="dxa"/>
            <w:tcBorders>
              <w:top w:val="nil"/>
              <w:left w:val="nil"/>
              <w:bottom w:val="single" w:sz="8" w:space="0" w:color="FFFFFF"/>
              <w:right w:val="single" w:sz="8" w:space="0" w:color="FFFFFF"/>
            </w:tcBorders>
            <w:shd w:val="clear" w:color="000000" w:fill="D0CECE"/>
            <w:vAlign w:val="center"/>
            <w:hideMark/>
          </w:tcPr>
          <w:p w14:paraId="29696D0E" w14:textId="0BA62F3B" w:rsidR="00A43F06" w:rsidRPr="00A43F06" w:rsidRDefault="00A43F06" w:rsidP="00A43F06">
            <w:pPr>
              <w:spacing w:after="0"/>
              <w:jc w:val="center"/>
              <w:rPr>
                <w:rFonts w:ascii="Calibri" w:eastAsia="Times New Roman" w:hAnsi="Calibri"/>
                <w:color w:val="000000"/>
                <w:sz w:val="18"/>
                <w:lang w:eastAsia="en-GB"/>
              </w:rPr>
            </w:pPr>
            <w:r w:rsidRPr="00A43F06">
              <w:rPr>
                <w:rFonts w:ascii="Calibri" w:eastAsia="Times New Roman" w:hAnsi="Calibri"/>
                <w:color w:val="000000"/>
                <w:sz w:val="18"/>
                <w:lang w:eastAsia="en-GB"/>
              </w:rPr>
              <w:t>Marine renewable energy</w:t>
            </w:r>
          </w:p>
        </w:tc>
        <w:tc>
          <w:tcPr>
            <w:tcW w:w="4496" w:type="dxa"/>
            <w:tcBorders>
              <w:top w:val="nil"/>
              <w:left w:val="nil"/>
              <w:bottom w:val="single" w:sz="8" w:space="0" w:color="FFFFFF"/>
              <w:right w:val="single" w:sz="8" w:space="0" w:color="FFFFFF"/>
            </w:tcBorders>
            <w:shd w:val="clear" w:color="000000" w:fill="D0CECE"/>
            <w:vAlign w:val="center"/>
            <w:hideMark/>
          </w:tcPr>
          <w:p w14:paraId="4C8968DC" w14:textId="77777777" w:rsidR="00A43F06" w:rsidRPr="00A43F06" w:rsidRDefault="00A43F06" w:rsidP="00A43F06">
            <w:pPr>
              <w:spacing w:after="0"/>
              <w:jc w:val="both"/>
              <w:rPr>
                <w:rFonts w:ascii="Calibri" w:eastAsia="Times New Roman" w:hAnsi="Calibri"/>
                <w:color w:val="000000"/>
                <w:sz w:val="18"/>
                <w:lang w:eastAsia="en-GB"/>
              </w:rPr>
            </w:pPr>
            <w:r w:rsidRPr="00A43F06">
              <w:rPr>
                <w:rFonts w:ascii="Calibri" w:eastAsia="Times New Roman" w:hAnsi="Calibri"/>
                <w:color w:val="000000"/>
                <w:sz w:val="18"/>
                <w:lang w:eastAsia="en-GB"/>
              </w:rPr>
              <w:t>Marine renewable energy activities do not map neatly across the SIC framework. Cebr have therefore drawn upon the BIS report, “The size and performance of the UK-low carbon economy” BIS report (2013) to derive employment, turnover and GVA estimates.</w:t>
            </w:r>
          </w:p>
        </w:tc>
        <w:tc>
          <w:tcPr>
            <w:tcW w:w="1684" w:type="dxa"/>
            <w:tcBorders>
              <w:top w:val="nil"/>
              <w:left w:val="nil"/>
              <w:bottom w:val="single" w:sz="8" w:space="0" w:color="FFFFFF"/>
              <w:right w:val="single" w:sz="8" w:space="0" w:color="FFFFFF"/>
            </w:tcBorders>
            <w:shd w:val="clear" w:color="000000" w:fill="D0CECE"/>
            <w:vAlign w:val="center"/>
            <w:hideMark/>
          </w:tcPr>
          <w:p w14:paraId="4E88914B" w14:textId="77777777" w:rsidR="00A43F06" w:rsidRPr="00A43F06" w:rsidRDefault="00A43F06" w:rsidP="00A43F06">
            <w:pPr>
              <w:spacing w:after="0"/>
              <w:jc w:val="center"/>
              <w:rPr>
                <w:rFonts w:ascii="Calibri" w:eastAsia="Times New Roman" w:hAnsi="Calibri"/>
                <w:color w:val="000000"/>
                <w:sz w:val="18"/>
                <w:lang w:eastAsia="en-GB"/>
              </w:rPr>
            </w:pPr>
            <w:r w:rsidRPr="00A43F06">
              <w:rPr>
                <w:rFonts w:ascii="Calibri" w:eastAsia="Times New Roman" w:hAnsi="Calibri"/>
                <w:color w:val="000000"/>
                <w:sz w:val="18"/>
                <w:lang w:eastAsia="en-GB"/>
              </w:rPr>
              <w:t>BIS, Cebr analysis</w:t>
            </w:r>
          </w:p>
        </w:tc>
      </w:tr>
      <w:tr w:rsidR="00A43F06" w:rsidRPr="00A43F06" w14:paraId="463EC1D6" w14:textId="77777777" w:rsidTr="009E4181">
        <w:trPr>
          <w:trHeight w:val="528"/>
        </w:trPr>
        <w:tc>
          <w:tcPr>
            <w:tcW w:w="1340" w:type="dxa"/>
            <w:vMerge/>
            <w:tcBorders>
              <w:top w:val="single" w:sz="4" w:space="0" w:color="auto"/>
              <w:left w:val="single" w:sz="8" w:space="0" w:color="FFFFFF"/>
              <w:bottom w:val="single" w:sz="12" w:space="0" w:color="FFFFFF"/>
              <w:right w:val="single" w:sz="12" w:space="0" w:color="FFFFFF"/>
            </w:tcBorders>
            <w:vAlign w:val="center"/>
            <w:hideMark/>
          </w:tcPr>
          <w:p w14:paraId="33028056" w14:textId="77777777" w:rsidR="00A43F06" w:rsidRPr="00A43F06" w:rsidRDefault="00A43F06" w:rsidP="00A43F06">
            <w:pPr>
              <w:spacing w:after="0"/>
              <w:rPr>
                <w:rFonts w:ascii="Calibri" w:eastAsia="Times New Roman" w:hAnsi="Calibri"/>
                <w:b/>
                <w:bCs/>
                <w:color w:val="FFFFFF"/>
                <w:sz w:val="20"/>
                <w:lang w:eastAsia="en-GB"/>
              </w:rPr>
            </w:pPr>
          </w:p>
        </w:tc>
        <w:tc>
          <w:tcPr>
            <w:tcW w:w="2009" w:type="dxa"/>
            <w:tcBorders>
              <w:top w:val="nil"/>
              <w:left w:val="nil"/>
              <w:bottom w:val="single" w:sz="8" w:space="0" w:color="FFFFFF"/>
              <w:right w:val="single" w:sz="8" w:space="0" w:color="FFFFFF"/>
            </w:tcBorders>
            <w:shd w:val="clear" w:color="000000" w:fill="E7EEEF"/>
            <w:vAlign w:val="center"/>
            <w:hideMark/>
          </w:tcPr>
          <w:p w14:paraId="02022D80" w14:textId="77777777" w:rsidR="00A43F06" w:rsidRPr="00A43F06" w:rsidRDefault="00A43F06" w:rsidP="00A43F06">
            <w:pPr>
              <w:spacing w:after="0"/>
              <w:jc w:val="center"/>
              <w:rPr>
                <w:rFonts w:ascii="Calibri" w:eastAsia="Times New Roman" w:hAnsi="Calibri"/>
                <w:color w:val="000000"/>
                <w:sz w:val="18"/>
                <w:lang w:eastAsia="en-GB"/>
              </w:rPr>
            </w:pPr>
            <w:r w:rsidRPr="00A43F06">
              <w:rPr>
                <w:rFonts w:ascii="Calibri" w:eastAsia="Times New Roman" w:hAnsi="Calibri"/>
                <w:color w:val="000000"/>
                <w:sz w:val="18"/>
                <w:lang w:eastAsia="en-GB"/>
              </w:rPr>
              <w:t>Marine support activities for offshore oil and gas, engineering and mining</w:t>
            </w:r>
          </w:p>
        </w:tc>
        <w:tc>
          <w:tcPr>
            <w:tcW w:w="4496" w:type="dxa"/>
            <w:tcBorders>
              <w:top w:val="nil"/>
              <w:left w:val="nil"/>
              <w:bottom w:val="single" w:sz="8" w:space="0" w:color="FFFFFF"/>
              <w:right w:val="single" w:sz="8" w:space="0" w:color="FFFFFF"/>
            </w:tcBorders>
            <w:shd w:val="clear" w:color="000000" w:fill="E7EEEF"/>
            <w:vAlign w:val="center"/>
            <w:hideMark/>
          </w:tcPr>
          <w:p w14:paraId="28983B34" w14:textId="77777777" w:rsidR="00A43F06" w:rsidRPr="00A43F06" w:rsidRDefault="00A43F06" w:rsidP="00A43F06">
            <w:pPr>
              <w:spacing w:after="0"/>
              <w:jc w:val="both"/>
              <w:rPr>
                <w:rFonts w:ascii="Calibri" w:eastAsia="Times New Roman" w:hAnsi="Calibri"/>
                <w:color w:val="000000"/>
                <w:sz w:val="18"/>
                <w:lang w:eastAsia="en-GB"/>
              </w:rPr>
            </w:pPr>
            <w:r w:rsidRPr="00A43F06">
              <w:rPr>
                <w:rFonts w:ascii="Calibri" w:eastAsia="Times New Roman" w:hAnsi="Calibri"/>
                <w:color w:val="000000"/>
                <w:sz w:val="18"/>
                <w:lang w:eastAsia="en-GB"/>
              </w:rPr>
              <w:t>Identified through SIC code 91, "Support activities for petroleum and natural gas extraction".</w:t>
            </w:r>
          </w:p>
        </w:tc>
        <w:tc>
          <w:tcPr>
            <w:tcW w:w="1684" w:type="dxa"/>
            <w:tcBorders>
              <w:top w:val="nil"/>
              <w:left w:val="nil"/>
              <w:bottom w:val="single" w:sz="8" w:space="0" w:color="FFFFFF"/>
              <w:right w:val="single" w:sz="8" w:space="0" w:color="FFFFFF"/>
            </w:tcBorders>
            <w:shd w:val="clear" w:color="000000" w:fill="E7EEEF"/>
            <w:vAlign w:val="center"/>
            <w:hideMark/>
          </w:tcPr>
          <w:p w14:paraId="7323FA1B" w14:textId="77777777" w:rsidR="00A43F06" w:rsidRPr="00A43F06" w:rsidRDefault="00A43F06" w:rsidP="00A43F06">
            <w:pPr>
              <w:spacing w:after="0"/>
              <w:jc w:val="center"/>
              <w:rPr>
                <w:rFonts w:ascii="Calibri" w:eastAsia="Times New Roman" w:hAnsi="Calibri"/>
                <w:color w:val="000000"/>
                <w:sz w:val="18"/>
                <w:lang w:eastAsia="en-GB"/>
              </w:rPr>
            </w:pPr>
            <w:r w:rsidRPr="00A43F06">
              <w:rPr>
                <w:rFonts w:ascii="Calibri" w:eastAsia="Times New Roman" w:hAnsi="Calibri"/>
                <w:color w:val="000000"/>
                <w:sz w:val="18"/>
                <w:lang w:eastAsia="en-GB"/>
              </w:rPr>
              <w:t>FAME, Cebr analysis</w:t>
            </w:r>
          </w:p>
        </w:tc>
      </w:tr>
      <w:tr w:rsidR="00A43F06" w:rsidRPr="00A43F06" w14:paraId="469F181C" w14:textId="77777777" w:rsidTr="009E4181">
        <w:trPr>
          <w:trHeight w:val="1860"/>
        </w:trPr>
        <w:tc>
          <w:tcPr>
            <w:tcW w:w="1340" w:type="dxa"/>
            <w:vMerge/>
            <w:tcBorders>
              <w:top w:val="single" w:sz="4" w:space="0" w:color="auto"/>
              <w:left w:val="single" w:sz="8" w:space="0" w:color="FFFFFF"/>
              <w:bottom w:val="single" w:sz="12" w:space="0" w:color="FFFFFF"/>
              <w:right w:val="single" w:sz="12" w:space="0" w:color="FFFFFF"/>
            </w:tcBorders>
            <w:vAlign w:val="center"/>
            <w:hideMark/>
          </w:tcPr>
          <w:p w14:paraId="709F1B76" w14:textId="77777777" w:rsidR="00A43F06" w:rsidRPr="00A43F06" w:rsidRDefault="00A43F06" w:rsidP="00A43F06">
            <w:pPr>
              <w:spacing w:after="0"/>
              <w:rPr>
                <w:rFonts w:ascii="Calibri" w:eastAsia="Times New Roman" w:hAnsi="Calibri"/>
                <w:b/>
                <w:bCs/>
                <w:color w:val="FFFFFF"/>
                <w:sz w:val="20"/>
                <w:lang w:eastAsia="en-GB"/>
              </w:rPr>
            </w:pPr>
          </w:p>
        </w:tc>
        <w:tc>
          <w:tcPr>
            <w:tcW w:w="2009" w:type="dxa"/>
            <w:tcBorders>
              <w:top w:val="nil"/>
              <w:left w:val="nil"/>
              <w:bottom w:val="single" w:sz="8" w:space="0" w:color="FFFFFF"/>
              <w:right w:val="single" w:sz="8" w:space="0" w:color="FFFFFF"/>
            </w:tcBorders>
            <w:shd w:val="clear" w:color="000000" w:fill="D0CECE"/>
            <w:vAlign w:val="center"/>
            <w:hideMark/>
          </w:tcPr>
          <w:p w14:paraId="22ED6D36" w14:textId="77777777" w:rsidR="00A43F06" w:rsidRPr="00A43F06" w:rsidRDefault="00A43F06" w:rsidP="00A43F06">
            <w:pPr>
              <w:spacing w:after="0"/>
              <w:jc w:val="center"/>
              <w:rPr>
                <w:rFonts w:ascii="Calibri" w:eastAsia="Times New Roman" w:hAnsi="Calibri"/>
                <w:color w:val="000000"/>
                <w:sz w:val="18"/>
                <w:lang w:eastAsia="en-GB"/>
              </w:rPr>
            </w:pPr>
            <w:r w:rsidRPr="00A43F06">
              <w:rPr>
                <w:rFonts w:ascii="Calibri" w:eastAsia="Times New Roman" w:hAnsi="Calibri"/>
                <w:color w:val="000000"/>
                <w:sz w:val="18"/>
                <w:lang w:eastAsia="en-GB"/>
              </w:rPr>
              <w:t>Marine science and academic activities, including government vessels and technical consulting</w:t>
            </w:r>
          </w:p>
        </w:tc>
        <w:tc>
          <w:tcPr>
            <w:tcW w:w="4496" w:type="dxa"/>
            <w:tcBorders>
              <w:top w:val="nil"/>
              <w:left w:val="nil"/>
              <w:bottom w:val="single" w:sz="8" w:space="0" w:color="FFFFFF"/>
              <w:right w:val="single" w:sz="8" w:space="0" w:color="FFFFFF"/>
            </w:tcBorders>
            <w:shd w:val="clear" w:color="000000" w:fill="D0CECE"/>
            <w:vAlign w:val="center"/>
            <w:hideMark/>
          </w:tcPr>
          <w:p w14:paraId="09838776" w14:textId="77777777" w:rsidR="00A43F06" w:rsidRPr="00A43F06" w:rsidRDefault="00A43F06" w:rsidP="00A43F06">
            <w:pPr>
              <w:spacing w:after="0"/>
              <w:jc w:val="both"/>
              <w:rPr>
                <w:rFonts w:ascii="Calibri" w:eastAsia="Times New Roman" w:hAnsi="Calibri"/>
                <w:color w:val="000000"/>
                <w:sz w:val="18"/>
                <w:lang w:eastAsia="en-GB"/>
              </w:rPr>
            </w:pPr>
            <w:r w:rsidRPr="00A43F06">
              <w:rPr>
                <w:rFonts w:ascii="Calibri" w:eastAsia="Times New Roman" w:hAnsi="Calibri"/>
                <w:color w:val="000000"/>
                <w:sz w:val="18"/>
                <w:lang w:eastAsia="en-GB"/>
              </w:rPr>
              <w:t>Marine scientific activities do not map neatly across the SIC framework, as they are typically bundled together with other activities within the Manufacturing and "Other Scientific and Professional" sectors; this precludes the effective use of FAME to gather economic impact data. Cebr have therefore drawn upon the Society of Maritime Industries (SMI) "Annual Review of UK Marine Scientific Industries reports to gather data.</w:t>
            </w:r>
          </w:p>
        </w:tc>
        <w:tc>
          <w:tcPr>
            <w:tcW w:w="1684" w:type="dxa"/>
            <w:tcBorders>
              <w:top w:val="nil"/>
              <w:left w:val="nil"/>
              <w:bottom w:val="single" w:sz="8" w:space="0" w:color="FFFFFF"/>
              <w:right w:val="single" w:sz="8" w:space="0" w:color="FFFFFF"/>
            </w:tcBorders>
            <w:shd w:val="clear" w:color="000000" w:fill="D0CECE"/>
            <w:vAlign w:val="center"/>
            <w:hideMark/>
          </w:tcPr>
          <w:p w14:paraId="15F0815A" w14:textId="77777777" w:rsidR="00A43F06" w:rsidRPr="00A43F06" w:rsidRDefault="00A43F06" w:rsidP="00A43F06">
            <w:pPr>
              <w:spacing w:after="0"/>
              <w:jc w:val="center"/>
              <w:rPr>
                <w:rFonts w:ascii="Calibri" w:eastAsia="Times New Roman" w:hAnsi="Calibri"/>
                <w:color w:val="000000"/>
                <w:sz w:val="18"/>
                <w:lang w:eastAsia="en-GB"/>
              </w:rPr>
            </w:pPr>
            <w:r w:rsidRPr="00A43F06">
              <w:rPr>
                <w:rFonts w:ascii="Calibri" w:eastAsia="Times New Roman" w:hAnsi="Calibri"/>
                <w:color w:val="000000"/>
                <w:sz w:val="18"/>
                <w:lang w:eastAsia="en-GB"/>
              </w:rPr>
              <w:t>SMI, Cebr analysis</w:t>
            </w:r>
          </w:p>
        </w:tc>
      </w:tr>
    </w:tbl>
    <w:p w14:paraId="1488CE5A" w14:textId="77777777" w:rsidR="00EF2BC5" w:rsidRPr="00EF2BC5" w:rsidRDefault="00EF2BC5" w:rsidP="00EF2BC5"/>
    <w:p w14:paraId="7FD29488" w14:textId="77777777" w:rsidR="00B35866" w:rsidRPr="000A706F" w:rsidRDefault="00B35866" w:rsidP="00B35866">
      <w:pPr>
        <w:keepNext/>
        <w:keepLines/>
        <w:spacing w:before="60" w:after="120"/>
        <w:jc w:val="right"/>
        <w:rPr>
          <w:i/>
          <w:color w:val="404040" w:themeColor="text1" w:themeTint="BF"/>
          <w:sz w:val="18"/>
        </w:rPr>
      </w:pPr>
      <w:r w:rsidRPr="000A706F">
        <w:rPr>
          <w:i/>
          <w:color w:val="404040" w:themeColor="text1" w:themeTint="BF"/>
          <w:sz w:val="18"/>
        </w:rPr>
        <w:t xml:space="preserve">Source: </w:t>
      </w:r>
      <w:r w:rsidR="008A4762" w:rsidRPr="000A706F">
        <w:rPr>
          <w:i/>
          <w:color w:val="404040" w:themeColor="text1" w:themeTint="BF"/>
          <w:sz w:val="18"/>
        </w:rPr>
        <w:t xml:space="preserve">Maritime UK, </w:t>
      </w:r>
      <w:r w:rsidRPr="000A706F">
        <w:rPr>
          <w:i/>
          <w:color w:val="404040" w:themeColor="text1" w:themeTint="BF"/>
          <w:sz w:val="18"/>
        </w:rPr>
        <w:t>Cebr analysis</w:t>
      </w:r>
    </w:p>
    <w:p w14:paraId="4C990FE1" w14:textId="17840B22" w:rsidR="00CE5C73" w:rsidRDefault="0034349D" w:rsidP="0011534E">
      <w:pPr>
        <w:pStyle w:val="ListBullet"/>
        <w:spacing w:after="0"/>
        <w:rPr>
          <w:rFonts w:ascii="Calibri" w:eastAsia="Microsoft JhengHei" w:hAnsi="Calibri"/>
          <w:szCs w:val="22"/>
        </w:rPr>
      </w:pPr>
      <w:r>
        <w:rPr>
          <w:rFonts w:ascii="Calibri" w:eastAsia="Microsoft JhengHei" w:hAnsi="Calibri"/>
          <w:szCs w:val="22"/>
        </w:rPr>
        <w:t xml:space="preserve">The </w:t>
      </w:r>
      <w:r w:rsidR="00F7417B">
        <w:rPr>
          <w:rFonts w:ascii="Calibri" w:eastAsia="Microsoft JhengHei" w:hAnsi="Calibri"/>
          <w:szCs w:val="22"/>
        </w:rPr>
        <w:t>m</w:t>
      </w:r>
      <w:r>
        <w:rPr>
          <w:rFonts w:ascii="Calibri" w:eastAsia="Microsoft JhengHei" w:hAnsi="Calibri"/>
          <w:szCs w:val="22"/>
        </w:rPr>
        <w:t xml:space="preserve">arine </w:t>
      </w:r>
      <w:r w:rsidR="00F7417B">
        <w:rPr>
          <w:rFonts w:ascii="Calibri" w:eastAsia="Microsoft JhengHei" w:hAnsi="Calibri"/>
          <w:szCs w:val="22"/>
        </w:rPr>
        <w:t>industry</w:t>
      </w:r>
      <w:r>
        <w:rPr>
          <w:rFonts w:ascii="Calibri" w:eastAsia="Microsoft JhengHei" w:hAnsi="Calibri"/>
          <w:szCs w:val="22"/>
        </w:rPr>
        <w:t xml:space="preserve"> is defined as encompassing a wide range of activities, ranging </w:t>
      </w:r>
      <w:r w:rsidR="00FA1ED6">
        <w:rPr>
          <w:rFonts w:ascii="Calibri" w:eastAsia="Microsoft JhengHei" w:hAnsi="Calibri"/>
          <w:szCs w:val="22"/>
        </w:rPr>
        <w:t>from leisure boat manufacturing</w:t>
      </w:r>
      <w:r>
        <w:rPr>
          <w:rFonts w:ascii="Calibri" w:eastAsia="Microsoft JhengHei" w:hAnsi="Calibri"/>
          <w:szCs w:val="22"/>
        </w:rPr>
        <w:t xml:space="preserve"> to renewable energy generation and marine scientific activities. </w:t>
      </w:r>
      <w:r w:rsidR="00DC3C56">
        <w:rPr>
          <w:rFonts w:ascii="Calibri" w:eastAsia="Microsoft JhengHei" w:hAnsi="Calibri"/>
          <w:szCs w:val="22"/>
        </w:rPr>
        <w:t>It is important to note that manufacturing and repair of ships is separately defined as falling under the activities of Portsmouth Naval Base (see below)</w:t>
      </w:r>
      <w:r w:rsidR="00C01CC6">
        <w:rPr>
          <w:rFonts w:ascii="Calibri" w:eastAsia="Microsoft JhengHei" w:hAnsi="Calibri"/>
          <w:szCs w:val="22"/>
        </w:rPr>
        <w:t xml:space="preserve"> as part of our Solent LEP analysis</w:t>
      </w:r>
      <w:r w:rsidR="00DC3C56">
        <w:rPr>
          <w:rFonts w:ascii="Calibri" w:eastAsia="Microsoft JhengHei" w:hAnsi="Calibri"/>
          <w:szCs w:val="22"/>
        </w:rPr>
        <w:t xml:space="preserve">. </w:t>
      </w:r>
    </w:p>
    <w:p w14:paraId="270308ED" w14:textId="77777777" w:rsidR="0034349D" w:rsidRDefault="0034349D" w:rsidP="0011534E">
      <w:pPr>
        <w:pStyle w:val="ListBullet"/>
        <w:spacing w:after="0"/>
        <w:rPr>
          <w:rFonts w:ascii="Calibri" w:eastAsia="Microsoft JhengHei" w:hAnsi="Calibri"/>
          <w:szCs w:val="22"/>
        </w:rPr>
      </w:pPr>
    </w:p>
    <w:p w14:paraId="3A7A2BF0" w14:textId="77777777" w:rsidR="0034349D" w:rsidRDefault="0034349D" w:rsidP="0011534E">
      <w:pPr>
        <w:pStyle w:val="ListBullet"/>
        <w:spacing w:after="0"/>
        <w:rPr>
          <w:rFonts w:ascii="Calibri" w:eastAsia="Microsoft JhengHei" w:hAnsi="Calibri"/>
          <w:szCs w:val="22"/>
        </w:rPr>
      </w:pPr>
      <w:r>
        <w:rPr>
          <w:rFonts w:ascii="Calibri" w:eastAsia="Microsoft JhengHei" w:hAnsi="Calibri"/>
          <w:szCs w:val="22"/>
        </w:rPr>
        <w:t>A key source of information used by Cebr</w:t>
      </w:r>
      <w:r w:rsidR="00963AB7">
        <w:rPr>
          <w:rFonts w:ascii="Calibri" w:eastAsia="Microsoft JhengHei" w:hAnsi="Calibri"/>
          <w:szCs w:val="22"/>
        </w:rPr>
        <w:t xml:space="preserve"> to capture marine leisure activities</w:t>
      </w:r>
      <w:r>
        <w:rPr>
          <w:rFonts w:ascii="Calibri" w:eastAsia="Microsoft JhengHei" w:hAnsi="Calibri"/>
          <w:szCs w:val="22"/>
        </w:rPr>
        <w:t xml:space="preserve"> is the Key Performance Indicators (KPI) analysis produced by British Marine. The KPI analysis is produced each year, drawing upon information supplied to British Marine by its membership, </w:t>
      </w:r>
      <w:r w:rsidR="003D504C">
        <w:rPr>
          <w:rFonts w:ascii="Calibri" w:eastAsia="Microsoft JhengHei" w:hAnsi="Calibri"/>
          <w:szCs w:val="22"/>
        </w:rPr>
        <w:t>such as</w:t>
      </w:r>
      <w:r>
        <w:rPr>
          <w:rFonts w:ascii="Calibri" w:eastAsia="Microsoft JhengHei" w:hAnsi="Calibri"/>
          <w:szCs w:val="22"/>
        </w:rPr>
        <w:t xml:space="preserve"> c</w:t>
      </w:r>
      <w:r w:rsidRPr="0034349D">
        <w:rPr>
          <w:rFonts w:ascii="Calibri" w:eastAsia="Microsoft JhengHei" w:hAnsi="Calibri"/>
          <w:szCs w:val="22"/>
        </w:rPr>
        <w:t>ompany turnover and statistics declarations.</w:t>
      </w:r>
      <w:r w:rsidR="00DC3C56">
        <w:rPr>
          <w:rFonts w:ascii="Calibri" w:eastAsia="Microsoft JhengHei" w:hAnsi="Calibri"/>
          <w:szCs w:val="22"/>
        </w:rPr>
        <w:t xml:space="preserve"> </w:t>
      </w:r>
      <w:r w:rsidR="001B0BB6">
        <w:rPr>
          <w:rFonts w:ascii="Calibri" w:eastAsia="Microsoft JhengHei" w:hAnsi="Calibri"/>
          <w:szCs w:val="22"/>
        </w:rPr>
        <w:t>KPI analysis covering the years 2010 to 2015 (inclusive) has therefore been used as a major source of information for capturing and quantifying leisure boatbuilding as well as business and customer marine activities.</w:t>
      </w:r>
    </w:p>
    <w:p w14:paraId="7BF466BB" w14:textId="77777777" w:rsidR="00115C74" w:rsidRDefault="00115C74" w:rsidP="0011534E">
      <w:pPr>
        <w:pStyle w:val="ListBullet"/>
        <w:spacing w:after="0"/>
        <w:rPr>
          <w:rFonts w:ascii="Calibri" w:eastAsia="Microsoft JhengHei" w:hAnsi="Calibri"/>
          <w:szCs w:val="22"/>
        </w:rPr>
      </w:pPr>
    </w:p>
    <w:p w14:paraId="11E6F9E7" w14:textId="4BABBAB0" w:rsidR="009B2B3D" w:rsidRDefault="009B2B3D" w:rsidP="009B2B3D">
      <w:pPr>
        <w:pStyle w:val="Heading3"/>
      </w:pPr>
      <w:r>
        <w:t>The Maritime Business Services industry</w:t>
      </w:r>
    </w:p>
    <w:p w14:paraId="30A9300B" w14:textId="77777777" w:rsidR="009B2B3D" w:rsidRDefault="009B2B3D" w:rsidP="009B2B3D">
      <w:pPr>
        <w:pStyle w:val="ListBullet"/>
        <w:spacing w:after="120"/>
      </w:pPr>
      <w:r>
        <w:t xml:space="preserve">The methodology of the Maritime Business Services industry is unique compared to the other reports of this study into the Maritime Sector. The MBS industry is a fairly abstract concept comprising of, for the purpose of this study, eight sub-industries which are not exclusively maritime related and hence do not map neatly onto SIC codes. </w:t>
      </w:r>
    </w:p>
    <w:p w14:paraId="65A4EAF6" w14:textId="77777777" w:rsidR="009B2B3D" w:rsidRDefault="009B2B3D" w:rsidP="009B2B3D">
      <w:pPr>
        <w:pStyle w:val="ListBullet"/>
        <w:spacing w:after="120"/>
      </w:pPr>
      <w:r>
        <w:t xml:space="preserve">For this analysis Cebr has drawn on a variety of data sources to produce a bottom-up analysis for each of the sub-industries. Data is limited for Maritime Financial services and Maritime Accountancy and as such for these sub-industries, we rely on PwC’s 2016 study ‘The UK’s Global Maritime Professional Services: Contribution and Trends’, augmenting it with trends in the broader industry to generate estimates for the entire period, 2010 to 2017. The other sub-industries have been computed through a combination of bottom-up analysis using company and financial accounts, FAME, ONS and insights from representatives of the industry. </w:t>
      </w:r>
    </w:p>
    <w:p w14:paraId="02D6DED3" w14:textId="77777777" w:rsidR="009B2B3D" w:rsidRPr="00B10C2D" w:rsidRDefault="009B2B3D" w:rsidP="009B2B3D">
      <w:pPr>
        <w:pStyle w:val="ListBullet"/>
        <w:spacing w:after="120"/>
      </w:pPr>
      <w:r>
        <w:t xml:space="preserve">For a more detailed description of the individual methodologies, please see ‘The economic contribution of the UK Maritime Business Services industry’ report. </w:t>
      </w:r>
    </w:p>
    <w:p w14:paraId="082EF702" w14:textId="77777777" w:rsidR="009B2B3D" w:rsidRDefault="009B2B3D" w:rsidP="00986710">
      <w:pPr>
        <w:pStyle w:val="ListBullet"/>
        <w:spacing w:after="120"/>
        <w:rPr>
          <w:rFonts w:ascii="Calibri" w:eastAsia="Microsoft JhengHei" w:hAnsi="Calibri"/>
          <w:b/>
          <w:szCs w:val="22"/>
        </w:rPr>
      </w:pPr>
    </w:p>
    <w:p w14:paraId="30F3941C" w14:textId="77777777" w:rsidR="00B90B4D" w:rsidRPr="00CE5C73" w:rsidRDefault="001B0BB6" w:rsidP="009B2B3D">
      <w:pPr>
        <w:pStyle w:val="Heading3"/>
      </w:pPr>
      <w:r>
        <w:t>Portsmouth Naval Base</w:t>
      </w:r>
    </w:p>
    <w:p w14:paraId="0B85B8DD" w14:textId="6D74D600" w:rsidR="00971D4E" w:rsidRDefault="00986710" w:rsidP="00E70F74">
      <w:pPr>
        <w:pStyle w:val="ListBullet"/>
        <w:spacing w:after="120"/>
        <w:rPr>
          <w:rFonts w:ascii="Calibri" w:eastAsia="Microsoft JhengHei" w:hAnsi="Calibri"/>
          <w:szCs w:val="22"/>
        </w:rPr>
      </w:pPr>
      <w:r>
        <w:rPr>
          <w:rFonts w:ascii="Calibri" w:eastAsia="Microsoft JhengHei" w:hAnsi="Calibri"/>
          <w:szCs w:val="22"/>
        </w:rPr>
        <w:t>In addition to the economic co</w:t>
      </w:r>
      <w:r w:rsidR="00CA1932">
        <w:rPr>
          <w:rFonts w:ascii="Calibri" w:eastAsia="Microsoft JhengHei" w:hAnsi="Calibri"/>
          <w:szCs w:val="22"/>
        </w:rPr>
        <w:t>ntribution supported by the five</w:t>
      </w:r>
      <w:r>
        <w:rPr>
          <w:rFonts w:ascii="Calibri" w:eastAsia="Microsoft JhengHei" w:hAnsi="Calibri"/>
          <w:szCs w:val="22"/>
        </w:rPr>
        <w:t xml:space="preserve"> Maritime industries detailed above, this study also </w:t>
      </w:r>
      <w:r w:rsidR="00967CC3">
        <w:rPr>
          <w:rFonts w:ascii="Calibri" w:eastAsia="Microsoft JhengHei" w:hAnsi="Calibri"/>
          <w:szCs w:val="22"/>
        </w:rPr>
        <w:t xml:space="preserve">considers </w:t>
      </w:r>
      <w:r>
        <w:rPr>
          <w:rFonts w:ascii="Calibri" w:eastAsia="Microsoft JhengHei" w:hAnsi="Calibri"/>
          <w:szCs w:val="22"/>
        </w:rPr>
        <w:t xml:space="preserve">the major economic contribution of Portsmouth Naval Base to the Solent LEP region. </w:t>
      </w:r>
      <w:r>
        <w:rPr>
          <w:rFonts w:ascii="Calibri" w:eastAsia="Microsoft JhengHei" w:hAnsi="Calibri"/>
          <w:szCs w:val="22"/>
        </w:rPr>
        <w:lastRenderedPageBreak/>
        <w:t>As set out in the Introduction, our major source of information is the ‘</w:t>
      </w:r>
      <w:r w:rsidRPr="00986710">
        <w:rPr>
          <w:rFonts w:ascii="Calibri" w:eastAsia="Microsoft JhengHei" w:hAnsi="Calibri"/>
          <w:szCs w:val="22"/>
        </w:rPr>
        <w:t>Socio-Economic Impact Assessment of Portsmouth Naval Base</w:t>
      </w:r>
      <w:r>
        <w:rPr>
          <w:rFonts w:ascii="Calibri" w:eastAsia="Microsoft JhengHei" w:hAnsi="Calibri"/>
          <w:szCs w:val="22"/>
        </w:rPr>
        <w:t xml:space="preserve">’ report produced by the University of Portsmouth in 2012. This report identifies the direct and indirect contribution in terms of GVA and employment to the Solent LEP region in 2011, with employment distributed across the following </w:t>
      </w:r>
      <w:r w:rsidR="007D3867">
        <w:rPr>
          <w:rFonts w:ascii="Calibri" w:eastAsia="Microsoft JhengHei" w:hAnsi="Calibri"/>
          <w:szCs w:val="22"/>
        </w:rPr>
        <w:t>identified activities</w:t>
      </w:r>
      <w:r>
        <w:rPr>
          <w:rFonts w:ascii="Calibri" w:eastAsia="Microsoft JhengHei" w:hAnsi="Calibri"/>
          <w:szCs w:val="22"/>
        </w:rPr>
        <w:t xml:space="preserve">: </w:t>
      </w:r>
    </w:p>
    <w:p w14:paraId="24119CBA" w14:textId="77777777" w:rsidR="00986710" w:rsidRPr="00DE1CAD" w:rsidRDefault="00DF5EC3" w:rsidP="00986710">
      <w:pPr>
        <w:pStyle w:val="ListBullet"/>
        <w:numPr>
          <w:ilvl w:val="0"/>
          <w:numId w:val="25"/>
        </w:numPr>
        <w:spacing w:after="60"/>
        <w:ind w:left="360"/>
        <w:rPr>
          <w:szCs w:val="22"/>
        </w:rPr>
      </w:pPr>
      <w:r>
        <w:rPr>
          <w:rFonts w:ascii="Calibri" w:eastAsia="Microsoft JhengHei" w:hAnsi="Calibri"/>
          <w:szCs w:val="22"/>
        </w:rPr>
        <w:t>Portsmouth Naval base armed service and civilian staff;</w:t>
      </w:r>
    </w:p>
    <w:p w14:paraId="52B64603" w14:textId="77777777" w:rsidR="00DF5EC3" w:rsidRPr="00DE1CAD" w:rsidRDefault="00DF5EC3" w:rsidP="00986710">
      <w:pPr>
        <w:pStyle w:val="ListBullet"/>
        <w:numPr>
          <w:ilvl w:val="0"/>
          <w:numId w:val="25"/>
        </w:numPr>
        <w:spacing w:after="60"/>
        <w:ind w:left="360"/>
        <w:rPr>
          <w:szCs w:val="22"/>
        </w:rPr>
      </w:pPr>
      <w:r>
        <w:rPr>
          <w:rFonts w:ascii="Calibri" w:eastAsia="Microsoft JhengHei" w:hAnsi="Calibri"/>
          <w:szCs w:val="22"/>
        </w:rPr>
        <w:t>Shipbuilding;</w:t>
      </w:r>
    </w:p>
    <w:p w14:paraId="35A8D501" w14:textId="77777777" w:rsidR="00DF5EC3" w:rsidRPr="00DE1CAD" w:rsidRDefault="00DF5EC3" w:rsidP="00986710">
      <w:pPr>
        <w:pStyle w:val="ListBullet"/>
        <w:numPr>
          <w:ilvl w:val="0"/>
          <w:numId w:val="25"/>
        </w:numPr>
        <w:spacing w:after="60"/>
        <w:ind w:left="360"/>
        <w:rPr>
          <w:szCs w:val="22"/>
        </w:rPr>
      </w:pPr>
      <w:r>
        <w:rPr>
          <w:rFonts w:ascii="Calibri" w:eastAsia="Microsoft JhengHei" w:hAnsi="Calibri"/>
          <w:szCs w:val="22"/>
        </w:rPr>
        <w:t>Maritime services;</w:t>
      </w:r>
    </w:p>
    <w:p w14:paraId="29006121" w14:textId="77777777" w:rsidR="00DF5EC3" w:rsidRDefault="00DF5EC3" w:rsidP="00986710">
      <w:pPr>
        <w:pStyle w:val="ListBullet"/>
        <w:numPr>
          <w:ilvl w:val="0"/>
          <w:numId w:val="25"/>
        </w:numPr>
        <w:spacing w:after="60"/>
        <w:ind w:left="360"/>
        <w:rPr>
          <w:szCs w:val="22"/>
        </w:rPr>
      </w:pPr>
      <w:r>
        <w:rPr>
          <w:szCs w:val="22"/>
        </w:rPr>
        <w:t>Ships’ crew;</w:t>
      </w:r>
    </w:p>
    <w:p w14:paraId="0E9AF9B2" w14:textId="77777777" w:rsidR="00DF5EC3" w:rsidRDefault="00DF5EC3" w:rsidP="00DF5EC3">
      <w:pPr>
        <w:pStyle w:val="ListBullet"/>
        <w:numPr>
          <w:ilvl w:val="0"/>
          <w:numId w:val="25"/>
        </w:numPr>
        <w:spacing w:after="60"/>
        <w:ind w:left="360"/>
        <w:rPr>
          <w:szCs w:val="22"/>
        </w:rPr>
      </w:pPr>
      <w:r>
        <w:rPr>
          <w:szCs w:val="22"/>
        </w:rPr>
        <w:t>BAE Systems Subcontract staff and Other permanent contract staff;</w:t>
      </w:r>
    </w:p>
    <w:p w14:paraId="6A69D8CF" w14:textId="77777777" w:rsidR="00DF5EC3" w:rsidRPr="00DE1CAD" w:rsidRDefault="00DF5EC3" w:rsidP="00E70F74">
      <w:pPr>
        <w:pStyle w:val="ListBullet"/>
        <w:numPr>
          <w:ilvl w:val="0"/>
          <w:numId w:val="25"/>
        </w:numPr>
        <w:spacing w:after="120"/>
        <w:ind w:left="360"/>
        <w:rPr>
          <w:szCs w:val="22"/>
        </w:rPr>
      </w:pPr>
      <w:r>
        <w:rPr>
          <w:szCs w:val="22"/>
        </w:rPr>
        <w:t>Heritage (those employed running and maintaining attractions).</w:t>
      </w:r>
    </w:p>
    <w:p w14:paraId="79AF7169" w14:textId="77777777" w:rsidR="0031484C" w:rsidRDefault="0050210E" w:rsidP="00DE1CAD">
      <w:pPr>
        <w:pStyle w:val="ListBullet"/>
        <w:rPr>
          <w:rFonts w:ascii="Calibri" w:eastAsia="Microsoft JhengHei" w:hAnsi="Calibri"/>
          <w:szCs w:val="22"/>
        </w:rPr>
      </w:pPr>
      <w:r>
        <w:rPr>
          <w:rFonts w:ascii="Calibri" w:eastAsia="Microsoft JhengHei" w:hAnsi="Calibri"/>
          <w:szCs w:val="22"/>
        </w:rPr>
        <w:t>It was previously estimated that Portsmouth Naval Base directly contributed £959 million in GVA and 11,900 jobs in 2011;</w:t>
      </w:r>
      <w:r w:rsidRPr="00DE1CAD">
        <w:rPr>
          <w:vertAlign w:val="superscript"/>
        </w:rPr>
        <w:footnoteReference w:id="35"/>
      </w:r>
      <w:r w:rsidRPr="00DE1CAD">
        <w:rPr>
          <w:rFonts w:ascii="Calibri" w:eastAsia="Microsoft JhengHei" w:hAnsi="Calibri"/>
          <w:szCs w:val="22"/>
          <w:vertAlign w:val="superscript"/>
        </w:rPr>
        <w:t xml:space="preserve"> </w:t>
      </w:r>
      <w:r>
        <w:rPr>
          <w:rFonts w:ascii="Calibri" w:eastAsia="Microsoft JhengHei" w:hAnsi="Calibri"/>
          <w:szCs w:val="22"/>
        </w:rPr>
        <w:t xml:space="preserve">the wider contribution was £1,682 million in GVA and just under 19,800 jobs. These estimates feature as part of the economic impact analysis featured in this report. In order to capture the GVA generated and employment supported by Portsmouth Naval Base in the years following 2011, Cebr has projected forward the 2011 estimates by augmenting these with </w:t>
      </w:r>
      <w:r w:rsidR="0031484C">
        <w:rPr>
          <w:rFonts w:ascii="Calibri" w:eastAsia="Microsoft JhengHei" w:hAnsi="Calibri"/>
          <w:szCs w:val="22"/>
        </w:rPr>
        <w:t>the following two key sources:</w:t>
      </w:r>
    </w:p>
    <w:p w14:paraId="5A9EBEC8" w14:textId="62E01D93" w:rsidR="0031484C" w:rsidRDefault="0031484C" w:rsidP="00D43D48">
      <w:pPr>
        <w:pStyle w:val="ListBullet"/>
        <w:numPr>
          <w:ilvl w:val="0"/>
          <w:numId w:val="25"/>
        </w:numPr>
        <w:spacing w:after="60"/>
        <w:ind w:left="360"/>
        <w:rPr>
          <w:szCs w:val="22"/>
        </w:rPr>
      </w:pPr>
      <w:r>
        <w:rPr>
          <w:rFonts w:ascii="Calibri" w:eastAsia="Microsoft JhengHei" w:hAnsi="Calibri"/>
          <w:szCs w:val="22"/>
        </w:rPr>
        <w:t>For MOD service and civilian staff, employment estimates for 2010 and 2012-201</w:t>
      </w:r>
      <w:r w:rsidR="003D5E11">
        <w:rPr>
          <w:rFonts w:ascii="Calibri" w:eastAsia="Microsoft JhengHei" w:hAnsi="Calibri"/>
          <w:szCs w:val="22"/>
        </w:rPr>
        <w:t>7</w:t>
      </w:r>
      <w:r>
        <w:rPr>
          <w:rFonts w:ascii="Calibri" w:eastAsia="Microsoft JhengHei" w:hAnsi="Calibri"/>
          <w:szCs w:val="22"/>
        </w:rPr>
        <w:t xml:space="preserve"> have been estimated by using the MOD Quarterly </w:t>
      </w:r>
      <w:r w:rsidR="00D43D48">
        <w:rPr>
          <w:rFonts w:ascii="Calibri" w:eastAsia="Microsoft JhengHei" w:hAnsi="Calibri"/>
          <w:szCs w:val="22"/>
        </w:rPr>
        <w:t>Location</w:t>
      </w:r>
      <w:r>
        <w:rPr>
          <w:rFonts w:ascii="Calibri" w:eastAsia="Microsoft JhengHei" w:hAnsi="Calibri"/>
          <w:szCs w:val="22"/>
        </w:rPr>
        <w:t xml:space="preserve"> Statistics;</w:t>
      </w:r>
      <w:r w:rsidRPr="004639CB">
        <w:rPr>
          <w:vertAlign w:val="superscript"/>
        </w:rPr>
        <w:footnoteReference w:id="36"/>
      </w:r>
    </w:p>
    <w:p w14:paraId="1709DF64" w14:textId="60E622E8" w:rsidR="00986710" w:rsidRPr="00D43D48" w:rsidRDefault="0031484C" w:rsidP="005053EA">
      <w:pPr>
        <w:pStyle w:val="ListBullet"/>
        <w:numPr>
          <w:ilvl w:val="0"/>
          <w:numId w:val="25"/>
        </w:numPr>
        <w:spacing w:after="0"/>
        <w:ind w:left="360"/>
        <w:rPr>
          <w:szCs w:val="22"/>
        </w:rPr>
      </w:pPr>
      <w:r>
        <w:rPr>
          <w:szCs w:val="22"/>
        </w:rPr>
        <w:t xml:space="preserve">For non-MOD staff, </w:t>
      </w:r>
      <w:r w:rsidR="0050210E" w:rsidRPr="0031484C">
        <w:rPr>
          <w:rFonts w:ascii="Calibri" w:eastAsia="Microsoft JhengHei" w:hAnsi="Calibri"/>
          <w:szCs w:val="22"/>
        </w:rPr>
        <w:t xml:space="preserve">statistics for employment </w:t>
      </w:r>
      <w:r>
        <w:rPr>
          <w:rFonts w:ascii="Calibri" w:eastAsia="Microsoft JhengHei" w:hAnsi="Calibri"/>
          <w:szCs w:val="22"/>
        </w:rPr>
        <w:t>have been projected for the years 2010 and 2012-1</w:t>
      </w:r>
      <w:r w:rsidR="003D5E11">
        <w:rPr>
          <w:rFonts w:ascii="Calibri" w:eastAsia="Microsoft JhengHei" w:hAnsi="Calibri"/>
          <w:szCs w:val="22"/>
        </w:rPr>
        <w:t>7</w:t>
      </w:r>
      <w:r>
        <w:rPr>
          <w:rFonts w:ascii="Calibri" w:eastAsia="Microsoft JhengHei" w:hAnsi="Calibri"/>
          <w:szCs w:val="22"/>
        </w:rPr>
        <w:t xml:space="preserve"> using</w:t>
      </w:r>
      <w:r w:rsidRPr="0031484C">
        <w:rPr>
          <w:rFonts w:ascii="Calibri" w:eastAsia="Microsoft JhengHei" w:hAnsi="Calibri"/>
          <w:szCs w:val="22"/>
        </w:rPr>
        <w:t xml:space="preserve"> </w:t>
      </w:r>
      <w:r w:rsidR="0050210E" w:rsidRPr="0031484C">
        <w:rPr>
          <w:rFonts w:ascii="Calibri" w:eastAsia="Microsoft JhengHei" w:hAnsi="Calibri"/>
          <w:szCs w:val="22"/>
        </w:rPr>
        <w:t>BRES</w:t>
      </w:r>
      <w:r>
        <w:rPr>
          <w:rFonts w:ascii="Calibri" w:eastAsia="Microsoft JhengHei" w:hAnsi="Calibri"/>
          <w:szCs w:val="22"/>
        </w:rPr>
        <w:t xml:space="preserve"> statistics</w:t>
      </w:r>
      <w:r w:rsidR="0050210E" w:rsidRPr="0031484C">
        <w:rPr>
          <w:rFonts w:ascii="Calibri" w:eastAsia="Microsoft JhengHei" w:hAnsi="Calibri"/>
          <w:szCs w:val="22"/>
        </w:rPr>
        <w:t xml:space="preserve">. </w:t>
      </w:r>
    </w:p>
    <w:p w14:paraId="70CBC5E8" w14:textId="77777777" w:rsidR="00E62A1E" w:rsidRDefault="00956DDD" w:rsidP="00E62A1E">
      <w:pPr>
        <w:pStyle w:val="Heading1"/>
      </w:pPr>
      <w:bookmarkStart w:id="87" w:name="_Ref499880218"/>
      <w:bookmarkStart w:id="88" w:name="_Ref499880778"/>
      <w:bookmarkStart w:id="89" w:name="_Toc20139743"/>
      <w:r>
        <w:lastRenderedPageBreak/>
        <w:t>The direct impact</w:t>
      </w:r>
      <w:r w:rsidR="00E62A1E">
        <w:t xml:space="preserve"> of the </w:t>
      </w:r>
      <w:r w:rsidR="000753CE">
        <w:t xml:space="preserve">Solent-based </w:t>
      </w:r>
      <w:r w:rsidR="008348B2">
        <w:t>M</w:t>
      </w:r>
      <w:r w:rsidR="00E62A1E">
        <w:t xml:space="preserve">aritime </w:t>
      </w:r>
      <w:r w:rsidR="008348B2">
        <w:t>sector</w:t>
      </w:r>
      <w:r>
        <w:t xml:space="preserve"> and Portsmouth Naval Base</w:t>
      </w:r>
      <w:bookmarkEnd w:id="87"/>
      <w:bookmarkEnd w:id="88"/>
      <w:bookmarkEnd w:id="89"/>
    </w:p>
    <w:p w14:paraId="54745987" w14:textId="5B3A8CBB" w:rsidR="003C6C02" w:rsidRDefault="00EE4899" w:rsidP="008A4022">
      <w:pPr>
        <w:spacing w:after="120"/>
      </w:pPr>
      <w:r>
        <w:t>In this section we set</w:t>
      </w:r>
      <w:r w:rsidR="00F56145">
        <w:t xml:space="preserve"> out estimates </w:t>
      </w:r>
      <w:r w:rsidR="00F649B8">
        <w:t xml:space="preserve">for the </w:t>
      </w:r>
      <w:r w:rsidR="00F56145">
        <w:t>direct contribution</w:t>
      </w:r>
      <w:r w:rsidR="00F649B8">
        <w:t xml:space="preserve"> of the Solent-based </w:t>
      </w:r>
      <w:r w:rsidR="00864DE9">
        <w:t xml:space="preserve">Maritime </w:t>
      </w:r>
      <w:r w:rsidR="00CA1932">
        <w:t>S</w:t>
      </w:r>
      <w:r w:rsidR="00864DE9">
        <w:t xml:space="preserve">ector </w:t>
      </w:r>
      <w:r w:rsidR="00F56145">
        <w:t xml:space="preserve">to </w:t>
      </w:r>
      <w:r w:rsidR="008E78D1">
        <w:t xml:space="preserve">five </w:t>
      </w:r>
      <w:r w:rsidR="00F649B8">
        <w:t>key macro</w:t>
      </w:r>
      <w:r w:rsidR="00F56145">
        <w:t>economic indicators</w:t>
      </w:r>
      <w:r w:rsidR="00F649B8">
        <w:t xml:space="preserve">: </w:t>
      </w:r>
      <w:r w:rsidR="008E78D1">
        <w:t xml:space="preserve">turnover, </w:t>
      </w:r>
      <w:r w:rsidR="00F649B8">
        <w:t xml:space="preserve">GVA, </w:t>
      </w:r>
      <w:r w:rsidR="008C1DC5">
        <w:t>e</w:t>
      </w:r>
      <w:r w:rsidR="00F649B8">
        <w:t>mployment</w:t>
      </w:r>
      <w:r w:rsidR="00C84209">
        <w:t xml:space="preserve">, </w:t>
      </w:r>
      <w:r w:rsidR="00224777">
        <w:t xml:space="preserve">the </w:t>
      </w:r>
      <w:r w:rsidR="008C1DC5">
        <w:t>c</w:t>
      </w:r>
      <w:r w:rsidR="00F649B8">
        <w:t xml:space="preserve">ompensation of </w:t>
      </w:r>
      <w:r w:rsidR="008C1DC5">
        <w:t>e</w:t>
      </w:r>
      <w:r w:rsidR="00F649B8">
        <w:t>mployees</w:t>
      </w:r>
      <w:r w:rsidR="00CC23D2" w:rsidRPr="004639CB">
        <w:rPr>
          <w:vertAlign w:val="superscript"/>
        </w:rPr>
        <w:footnoteReference w:id="37"/>
      </w:r>
      <w:r w:rsidR="00C84209" w:rsidRPr="004639CB">
        <w:t>,</w:t>
      </w:r>
      <w:r w:rsidR="00C84209">
        <w:t xml:space="preserve"> and the Exchequer contribution through tax revenues raised</w:t>
      </w:r>
      <w:r w:rsidR="00F56145">
        <w:t xml:space="preserve">. </w:t>
      </w:r>
      <w:r w:rsidR="00696CAF">
        <w:t xml:space="preserve">After quantifying </w:t>
      </w:r>
      <w:r w:rsidR="00C84209">
        <w:t xml:space="preserve">the </w:t>
      </w:r>
      <w:r w:rsidR="00696CAF">
        <w:t>direct contributions</w:t>
      </w:r>
      <w:r w:rsidR="009738DA">
        <w:t xml:space="preserve"> made through </w:t>
      </w:r>
      <w:r w:rsidR="00C84209">
        <w:t>these activities</w:t>
      </w:r>
      <w:r w:rsidR="00696CAF">
        <w:t xml:space="preserve">, the contribution that the Solent-based </w:t>
      </w:r>
      <w:r w:rsidR="00C84209">
        <w:t xml:space="preserve">Maritime sector </w:t>
      </w:r>
      <w:r w:rsidR="00575848">
        <w:t xml:space="preserve">makes </w:t>
      </w:r>
      <w:r w:rsidR="00696CAF">
        <w:t xml:space="preserve">to the wider UK </w:t>
      </w:r>
      <w:r w:rsidR="000D2719">
        <w:t>sector</w:t>
      </w:r>
      <w:r w:rsidR="00696CAF">
        <w:t xml:space="preserve"> is then examined.</w:t>
      </w:r>
      <w:r w:rsidR="0020407D">
        <w:t xml:space="preserve"> D</w:t>
      </w:r>
      <w:r w:rsidR="003C6C02">
        <w:t xml:space="preserve">irect </w:t>
      </w:r>
      <w:r w:rsidR="002F0688">
        <w:t xml:space="preserve">economic impacts </w:t>
      </w:r>
      <w:r w:rsidR="003C6C02">
        <w:t xml:space="preserve">are </w:t>
      </w:r>
      <w:r w:rsidR="00636491">
        <w:t>separated</w:t>
      </w:r>
      <w:r w:rsidR="003C6C02">
        <w:t xml:space="preserve"> by </w:t>
      </w:r>
      <w:r w:rsidR="0020407D">
        <w:t xml:space="preserve">Maritime </w:t>
      </w:r>
      <w:r w:rsidR="002F0688">
        <w:t>industry</w:t>
      </w:r>
      <w:r w:rsidR="009738DA">
        <w:t xml:space="preserve"> (shipping, p</w:t>
      </w:r>
      <w:r w:rsidR="00636491">
        <w:t xml:space="preserve">orts, </w:t>
      </w:r>
      <w:r w:rsidR="009738DA">
        <w:t>leisure m</w:t>
      </w:r>
      <w:r w:rsidR="00636491">
        <w:t>arine</w:t>
      </w:r>
      <w:r w:rsidR="009738DA">
        <w:t>, marine engineering and maritime business s</w:t>
      </w:r>
      <w:r w:rsidR="00636491">
        <w:t>ervices) and from those associated with Portsmouth Naval Base</w:t>
      </w:r>
      <w:r w:rsidR="00B02159">
        <w:t xml:space="preserve"> (PNB)</w:t>
      </w:r>
      <w:r w:rsidR="00B304C1">
        <w:t>.</w:t>
      </w:r>
    </w:p>
    <w:p w14:paraId="24C4ED77" w14:textId="77777777" w:rsidR="008E78D1" w:rsidRDefault="008E78D1" w:rsidP="008E78D1">
      <w:pPr>
        <w:pStyle w:val="Heading2"/>
      </w:pPr>
      <w:bookmarkStart w:id="90" w:name="_Toc20139744"/>
      <w:r>
        <w:t>The direct impact through turnover</w:t>
      </w:r>
      <w:bookmarkEnd w:id="90"/>
      <w:r>
        <w:t xml:space="preserve"> </w:t>
      </w:r>
    </w:p>
    <w:p w14:paraId="31D6BD95" w14:textId="3BC13BAC" w:rsidR="008E78D1" w:rsidRDefault="008E78D1" w:rsidP="008E78D1">
      <w:pPr>
        <w:spacing w:after="120"/>
      </w:pPr>
      <w:r>
        <w:t xml:space="preserve">This subsection outlines the direct turnover impact from the Solent-based Maritime Sector and Portsmouth Naval Base. </w:t>
      </w:r>
      <w:r w:rsidR="00822425">
        <w:fldChar w:fldCharType="begin"/>
      </w:r>
      <w:r w:rsidR="00822425">
        <w:instrText xml:space="preserve"> REF _Ref16595833 \h </w:instrText>
      </w:r>
      <w:r w:rsidR="00822425">
        <w:fldChar w:fldCharType="separate"/>
      </w:r>
      <w:r w:rsidR="00D17FEA">
        <w:t xml:space="preserve">Figure </w:t>
      </w:r>
      <w:r w:rsidR="00D17FEA">
        <w:rPr>
          <w:noProof/>
        </w:rPr>
        <w:t>13</w:t>
      </w:r>
      <w:r w:rsidR="00822425">
        <w:fldChar w:fldCharType="end"/>
      </w:r>
      <w:r w:rsidR="00822425">
        <w:t xml:space="preserve"> </w:t>
      </w:r>
      <w:r>
        <w:t>below shows the estimated direct turnover impact from the Solent-based shipping, ports, leisure marine, marine engineering and maritime business services industries, as well as the Portsmouth Naval Base, in the years 2010 to 2017.</w:t>
      </w:r>
    </w:p>
    <w:p w14:paraId="1633BE52" w14:textId="0298B52A" w:rsidR="008E78D1" w:rsidRDefault="008E78D1" w:rsidP="008E78D1">
      <w:pPr>
        <w:pStyle w:val="Caption"/>
        <w:keepNext/>
      </w:pPr>
      <w:bookmarkStart w:id="91" w:name="_Ref16595833"/>
      <w:r>
        <w:t xml:space="preserve">Figure </w:t>
      </w:r>
      <w:r>
        <w:rPr>
          <w:noProof/>
        </w:rPr>
        <w:fldChar w:fldCharType="begin"/>
      </w:r>
      <w:r>
        <w:rPr>
          <w:noProof/>
        </w:rPr>
        <w:instrText xml:space="preserve"> SEQ Figure \* ARABIC </w:instrText>
      </w:r>
      <w:r>
        <w:rPr>
          <w:noProof/>
        </w:rPr>
        <w:fldChar w:fldCharType="separate"/>
      </w:r>
      <w:r w:rsidR="00D17FEA">
        <w:rPr>
          <w:noProof/>
        </w:rPr>
        <w:t>13</w:t>
      </w:r>
      <w:r>
        <w:rPr>
          <w:noProof/>
        </w:rPr>
        <w:fldChar w:fldCharType="end"/>
      </w:r>
      <w:bookmarkEnd w:id="91"/>
      <w:r>
        <w:t xml:space="preserve">: </w:t>
      </w:r>
      <w:r w:rsidRPr="00927A19">
        <w:t xml:space="preserve">The direct contribution of the Solent-based Maritime industries and Portsmouth Naval Base to </w:t>
      </w:r>
      <w:r>
        <w:t>turnover</w:t>
      </w:r>
      <w:r w:rsidRPr="00927A19">
        <w:t>, and the Solent shar</w:t>
      </w:r>
      <w:r>
        <w:t>e of the total direct Maritime S</w:t>
      </w:r>
      <w:r w:rsidRPr="00927A19">
        <w:t>ector cont</w:t>
      </w:r>
      <w:r>
        <w:t>ribution to UK Turnover, 2010 to 2017</w:t>
      </w:r>
    </w:p>
    <w:p w14:paraId="5A190450" w14:textId="51301D76" w:rsidR="008E78D1" w:rsidRDefault="005434FD" w:rsidP="008E78D1">
      <w:pPr>
        <w:spacing w:after="120"/>
      </w:pPr>
      <w:r>
        <w:rPr>
          <w:noProof/>
          <w:lang w:eastAsia="en-GB"/>
        </w:rPr>
        <w:drawing>
          <wp:inline distT="0" distB="0" distL="0" distR="0" wp14:anchorId="3DE72317" wp14:editId="6FAE3023">
            <wp:extent cx="6120130" cy="311023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DADCB5" w14:textId="77777777" w:rsidR="00B64681" w:rsidRDefault="008E78D1" w:rsidP="00B64681">
      <w:r>
        <w:t xml:space="preserve">The Solent-based Maritime Sector and Portsmouth Naval Base directly contributed £5.3 billion to turnover in 2017. The direct impact reached its highest level in 2017, increasing by more than 35% from 2015. </w:t>
      </w:r>
      <w:r w:rsidR="007B5746">
        <w:t>Most of this increase was driven by the turnover generated in the shipping industry, which increased by 91% in the period 2015-17.</w:t>
      </w:r>
    </w:p>
    <w:p w14:paraId="7618EF40" w14:textId="674DD5A4" w:rsidR="00B64681" w:rsidRDefault="00B64681" w:rsidP="00B64681">
      <w:r>
        <w:t>This is consistent with very solid growth in the global cruise industry this decade, with The Cruise Lines International Association reporting growth of over 20% from 2011 to 2016.</w:t>
      </w:r>
      <w:r w:rsidRPr="00B64681">
        <w:rPr>
          <w:vertAlign w:val="superscript"/>
        </w:rPr>
        <w:footnoteReference w:id="38"/>
      </w:r>
      <w:r w:rsidRPr="00B64681">
        <w:rPr>
          <w:vertAlign w:val="superscript"/>
        </w:rPr>
        <w:t xml:space="preserve"> </w:t>
      </w:r>
      <w:r>
        <w:rPr>
          <w:vertAlign w:val="superscript"/>
        </w:rPr>
        <w:t xml:space="preserve"> </w:t>
      </w:r>
      <w:r>
        <w:t xml:space="preserve">Carnival Cruise, which makes </w:t>
      </w:r>
      <w:r>
        <w:lastRenderedPageBreak/>
        <w:t>up approximately 50% of the global market</w:t>
      </w:r>
      <w:r w:rsidRPr="00865224">
        <w:rPr>
          <w:vertAlign w:val="superscript"/>
        </w:rPr>
        <w:footnoteReference w:id="39"/>
      </w:r>
      <w:r>
        <w:t xml:space="preserve"> operates P&amp;O cruises, primarily out of Southampton. 2017 alone saw 800,000 individuals travel on UK P&amp;O cruises</w:t>
      </w:r>
      <w:r w:rsidRPr="00865224">
        <w:rPr>
          <w:vertAlign w:val="superscript"/>
        </w:rPr>
        <w:footnoteReference w:id="40"/>
      </w:r>
      <w:r>
        <w:t xml:space="preserve">, supporting the reported high levels of turnover. </w:t>
      </w:r>
    </w:p>
    <w:p w14:paraId="13A7BB30" w14:textId="59BC4D1F" w:rsidR="008E78D1" w:rsidRPr="00F56145" w:rsidRDefault="008E78D1" w:rsidP="008E78D1">
      <w:r>
        <w:t xml:space="preserve">The shipping industry contributed 59% of the total turnover in 2017, contributing £3.1 billion to the direct impacts. The Portsmouth Naval Base and the ports industry represented the second and third highest contributions to turnover, contributing 14.1% and 12.6% respectively. The leisure marine industry contributed £511 million to turnover, equivalent to 9.6% of the direct impact. The marine engineering industry contributed 2.3% whereas Solent’s maritime business services contributed 3.0% to the direct impact in 2017. </w:t>
      </w:r>
    </w:p>
    <w:p w14:paraId="0E9B80D0" w14:textId="77777777" w:rsidR="008B7438" w:rsidRDefault="00B652B2" w:rsidP="008B7438">
      <w:pPr>
        <w:pStyle w:val="Heading2"/>
      </w:pPr>
      <w:bookmarkStart w:id="92" w:name="_Toc20139745"/>
      <w:r>
        <w:t xml:space="preserve">The direct </w:t>
      </w:r>
      <w:r w:rsidR="00C709B5">
        <w:t>impact through GVA</w:t>
      </w:r>
      <w:bookmarkEnd w:id="92"/>
    </w:p>
    <w:p w14:paraId="7EA96D32" w14:textId="300BF375" w:rsidR="008B7438" w:rsidRDefault="008B7438" w:rsidP="003B082C">
      <w:r>
        <w:t xml:space="preserve">This </w:t>
      </w:r>
      <w:r w:rsidR="00575848">
        <w:t>sub</w:t>
      </w:r>
      <w:r>
        <w:t xml:space="preserve">section </w:t>
      </w:r>
      <w:r w:rsidR="00575848">
        <w:t xml:space="preserve">firstly </w:t>
      </w:r>
      <w:r>
        <w:t xml:space="preserve">illustrates the contributions in terms of the GVA from </w:t>
      </w:r>
      <w:r w:rsidR="00D4398B">
        <w:t>the Mar</w:t>
      </w:r>
      <w:r w:rsidR="008E78D1">
        <w:t>itime S</w:t>
      </w:r>
      <w:r w:rsidR="00D4398B">
        <w:t>ector</w:t>
      </w:r>
      <w:r>
        <w:t xml:space="preserve"> to </w:t>
      </w:r>
      <w:r w:rsidR="00D4398B">
        <w:t xml:space="preserve">the </w:t>
      </w:r>
      <w:r w:rsidR="0052627D">
        <w:t xml:space="preserve">Solent </w:t>
      </w:r>
      <w:r w:rsidR="00D4398B">
        <w:t xml:space="preserve">LEP region </w:t>
      </w:r>
      <w:r w:rsidR="0052627D">
        <w:t xml:space="preserve">and UK </w:t>
      </w:r>
      <w:r>
        <w:t>GDP.</w:t>
      </w:r>
      <w:r w:rsidR="0052627D">
        <w:t xml:space="preserve"> </w:t>
      </w:r>
      <w:r w:rsidR="003B082C">
        <w:fldChar w:fldCharType="begin"/>
      </w:r>
      <w:r w:rsidR="003B082C">
        <w:instrText xml:space="preserve"> REF _Ref499907455 \h </w:instrText>
      </w:r>
      <w:r w:rsidR="003B082C">
        <w:fldChar w:fldCharType="separate"/>
      </w:r>
      <w:r w:rsidR="00D17FEA">
        <w:t xml:space="preserve">Figure </w:t>
      </w:r>
      <w:r w:rsidR="00D17FEA">
        <w:rPr>
          <w:noProof/>
        </w:rPr>
        <w:t>14</w:t>
      </w:r>
      <w:r w:rsidR="003B082C">
        <w:fldChar w:fldCharType="end"/>
      </w:r>
      <w:r w:rsidR="003B082C">
        <w:t xml:space="preserve"> </w:t>
      </w:r>
      <w:r w:rsidR="0052627D">
        <w:t>below shows th</w:t>
      </w:r>
      <w:r w:rsidR="00D4398B">
        <w:t>is direct impact, disaggregated by</w:t>
      </w:r>
      <w:r w:rsidR="0052627D">
        <w:t xml:space="preserve"> the </w:t>
      </w:r>
      <w:r w:rsidR="00D4398B">
        <w:t>f</w:t>
      </w:r>
      <w:r w:rsidR="008E78D1">
        <w:t>ive</w:t>
      </w:r>
      <w:r w:rsidR="00D4398B">
        <w:t xml:space="preserve"> </w:t>
      </w:r>
      <w:r w:rsidR="0052627D">
        <w:t xml:space="preserve">Solent-based </w:t>
      </w:r>
      <w:r w:rsidR="00C97B56">
        <w:t xml:space="preserve">Maritime </w:t>
      </w:r>
      <w:r w:rsidR="0052627D">
        <w:t>industries</w:t>
      </w:r>
      <w:r w:rsidR="00C97B56">
        <w:t xml:space="preserve"> and the Portsmouth Naval Base</w:t>
      </w:r>
      <w:r w:rsidR="00114EEA">
        <w:t xml:space="preserve"> in the years 2010 to 2017</w:t>
      </w:r>
      <w:r w:rsidR="0052627D">
        <w:t>.</w:t>
      </w:r>
    </w:p>
    <w:p w14:paraId="44CF1BDD" w14:textId="4E649E91" w:rsidR="003B082C" w:rsidRDefault="003B082C" w:rsidP="003B082C">
      <w:pPr>
        <w:pStyle w:val="Caption"/>
        <w:keepNext/>
      </w:pPr>
      <w:bookmarkStart w:id="93" w:name="_Ref499907455"/>
      <w:r>
        <w:t xml:space="preserve">Figure </w:t>
      </w:r>
      <w:r w:rsidR="00F604FD">
        <w:rPr>
          <w:noProof/>
        </w:rPr>
        <w:fldChar w:fldCharType="begin"/>
      </w:r>
      <w:r w:rsidR="00F604FD">
        <w:rPr>
          <w:noProof/>
        </w:rPr>
        <w:instrText xml:space="preserve"> SEQ Figure \* ARABIC </w:instrText>
      </w:r>
      <w:r w:rsidR="00F604FD">
        <w:rPr>
          <w:noProof/>
        </w:rPr>
        <w:fldChar w:fldCharType="separate"/>
      </w:r>
      <w:r w:rsidR="00D17FEA">
        <w:rPr>
          <w:noProof/>
        </w:rPr>
        <w:t>14</w:t>
      </w:r>
      <w:r w:rsidR="00F604FD">
        <w:rPr>
          <w:noProof/>
        </w:rPr>
        <w:fldChar w:fldCharType="end"/>
      </w:r>
      <w:bookmarkEnd w:id="93"/>
      <w:r>
        <w:t xml:space="preserve">: </w:t>
      </w:r>
      <w:r w:rsidRPr="00927A19">
        <w:t>The direct contribution of the Solent-based Maritime industries and Portsmouth Naval Base to GVA, and the Solent shar</w:t>
      </w:r>
      <w:r w:rsidR="008E78D1">
        <w:t>e of the total direct Maritime S</w:t>
      </w:r>
      <w:r w:rsidRPr="00927A19">
        <w:t>ector cont</w:t>
      </w:r>
      <w:r w:rsidR="00114EEA">
        <w:t>ribution to UK GVA, 2010 to 2017</w:t>
      </w:r>
    </w:p>
    <w:p w14:paraId="586CBB22" w14:textId="279E3FF8" w:rsidR="008B7438" w:rsidRDefault="008E78D1" w:rsidP="00496A7A">
      <w:r>
        <w:rPr>
          <w:noProof/>
          <w:lang w:eastAsia="en-GB"/>
        </w:rPr>
        <w:drawing>
          <wp:inline distT="0" distB="0" distL="0" distR="0" wp14:anchorId="7D08D672" wp14:editId="3D3BF7DE">
            <wp:extent cx="6120130" cy="311023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53FCFD" w14:textId="77777777" w:rsidR="00B86153" w:rsidRPr="000A706F" w:rsidRDefault="00B86153" w:rsidP="00117B5C">
      <w:pPr>
        <w:keepNext/>
        <w:keepLines/>
        <w:spacing w:before="60" w:after="120"/>
        <w:jc w:val="right"/>
        <w:rPr>
          <w:i/>
          <w:color w:val="404040" w:themeColor="text1" w:themeTint="BF"/>
          <w:sz w:val="18"/>
        </w:rPr>
      </w:pPr>
      <w:r w:rsidRPr="000A706F">
        <w:rPr>
          <w:i/>
          <w:color w:val="404040" w:themeColor="text1" w:themeTint="BF"/>
          <w:sz w:val="18"/>
        </w:rPr>
        <w:t>Source: ONS, FAME, Cebr analysis</w:t>
      </w:r>
    </w:p>
    <w:p w14:paraId="571D567E" w14:textId="721D4BD9" w:rsidR="005413A8" w:rsidRDefault="00444973" w:rsidP="008B7438">
      <w:r>
        <w:t>It is estimated that Solent-based Maritime sector and Portsmouth Naval Base directl</w:t>
      </w:r>
      <w:r w:rsidR="00114EEA">
        <w:t>y contributed just under £2.2</w:t>
      </w:r>
      <w:r w:rsidR="004F626B">
        <w:t xml:space="preserve"> </w:t>
      </w:r>
      <w:r w:rsidR="00F76BDC">
        <w:t>bi</w:t>
      </w:r>
      <w:r w:rsidR="00114EEA">
        <w:t>llion to GVA in 2017</w:t>
      </w:r>
      <w:r>
        <w:t xml:space="preserve">. </w:t>
      </w:r>
      <w:r w:rsidR="006E7BD7">
        <w:t>T</w:t>
      </w:r>
      <w:r w:rsidR="00B857A5">
        <w:t xml:space="preserve">he </w:t>
      </w:r>
      <w:r w:rsidR="008E78D1">
        <w:t>s</w:t>
      </w:r>
      <w:r w:rsidR="00221CA0">
        <w:t>hipping</w:t>
      </w:r>
      <w:r w:rsidR="008E78D1">
        <w:t xml:space="preserve"> industry</w:t>
      </w:r>
      <w:r w:rsidR="000D6833">
        <w:t xml:space="preserve"> and </w:t>
      </w:r>
      <w:r w:rsidR="008E78D1">
        <w:t>Portsmouth Naval Base</w:t>
      </w:r>
      <w:r w:rsidR="00221CA0">
        <w:t xml:space="preserve"> </w:t>
      </w:r>
      <w:r w:rsidR="00B857A5">
        <w:t>contributed the largest share of GVA in</w:t>
      </w:r>
      <w:r w:rsidR="00967330">
        <w:t xml:space="preserve"> almost</w:t>
      </w:r>
      <w:r w:rsidR="00B857A5">
        <w:t xml:space="preserve"> all of the years considered</w:t>
      </w:r>
      <w:r w:rsidR="001515D2">
        <w:t xml:space="preserve">, on average around </w:t>
      </w:r>
      <w:r w:rsidR="006E7BD7">
        <w:t>35</w:t>
      </w:r>
      <w:r w:rsidR="000D6833">
        <w:t xml:space="preserve">% </w:t>
      </w:r>
      <w:r w:rsidR="00221CA0">
        <w:t xml:space="preserve">and </w:t>
      </w:r>
      <w:r w:rsidR="006E7BD7">
        <w:t>37</w:t>
      </w:r>
      <w:r w:rsidR="00221CA0">
        <w:t>%</w:t>
      </w:r>
      <w:r w:rsidR="000D6833">
        <w:t>, respectively</w:t>
      </w:r>
      <w:r w:rsidR="00B857A5">
        <w:t xml:space="preserve">. </w:t>
      </w:r>
      <w:r w:rsidR="00967330">
        <w:t xml:space="preserve"> </w:t>
      </w:r>
      <w:r w:rsidR="005413A8">
        <w:t>Around £</w:t>
      </w:r>
      <w:r w:rsidR="006E7BD7">
        <w:t>230</w:t>
      </w:r>
      <w:r w:rsidR="001515D2">
        <w:t xml:space="preserve"> million </w:t>
      </w:r>
      <w:r w:rsidR="005413A8">
        <w:t xml:space="preserve">of GVA was directly contributed by the </w:t>
      </w:r>
      <w:r w:rsidR="00CA48E9">
        <w:t xml:space="preserve">Solent-based </w:t>
      </w:r>
      <w:r w:rsidR="008E78D1">
        <w:t>p</w:t>
      </w:r>
      <w:r w:rsidR="006E7BD7">
        <w:t>orts industry in 2017</w:t>
      </w:r>
      <w:r w:rsidR="005413A8">
        <w:t xml:space="preserve">, representing </w:t>
      </w:r>
      <w:r w:rsidR="000D6833">
        <w:t>1</w:t>
      </w:r>
      <w:r w:rsidR="006E7BD7">
        <w:t>1</w:t>
      </w:r>
      <w:r w:rsidR="005413A8">
        <w:t>% of the total</w:t>
      </w:r>
      <w:r w:rsidR="000A2830">
        <w:t xml:space="preserve">. </w:t>
      </w:r>
    </w:p>
    <w:p w14:paraId="64BA24C8" w14:textId="5E6A1775" w:rsidR="00967330" w:rsidRDefault="0037740E" w:rsidP="00C01CC6">
      <w:r>
        <w:t>After c</w:t>
      </w:r>
      <w:r w:rsidR="008E78D1">
        <w:t>ombining the shipping, p</w:t>
      </w:r>
      <w:r w:rsidR="001515D2">
        <w:t xml:space="preserve">orts, </w:t>
      </w:r>
      <w:r w:rsidR="008E78D1">
        <w:t>l</w:t>
      </w:r>
      <w:r w:rsidR="00CD7DEA">
        <w:t xml:space="preserve">eisure </w:t>
      </w:r>
      <w:r w:rsidR="008E78D1">
        <w:t>m</w:t>
      </w:r>
      <w:r w:rsidR="00CD7DEA">
        <w:t>arin</w:t>
      </w:r>
      <w:r w:rsidR="008E78D1">
        <w:t>e</w:t>
      </w:r>
      <w:r w:rsidR="00CD7DEA">
        <w:t xml:space="preserve">, </w:t>
      </w:r>
      <w:r w:rsidR="008E78D1">
        <w:t>m</w:t>
      </w:r>
      <w:r w:rsidR="001515D2">
        <w:t>arine</w:t>
      </w:r>
      <w:r w:rsidR="00CD7DEA">
        <w:t xml:space="preserve"> </w:t>
      </w:r>
      <w:r w:rsidR="008E78D1">
        <w:t>e</w:t>
      </w:r>
      <w:r w:rsidR="00CD7DEA">
        <w:t>ngineering</w:t>
      </w:r>
      <w:r w:rsidR="008E78D1">
        <w:t xml:space="preserve"> and maritime business s</w:t>
      </w:r>
      <w:r w:rsidR="001515D2">
        <w:t>ervices industries, i</w:t>
      </w:r>
      <w:r w:rsidR="00B857A5">
        <w:t xml:space="preserve">t is estimated that the </w:t>
      </w:r>
      <w:r w:rsidR="00444973">
        <w:t xml:space="preserve">direct GVA impact of the </w:t>
      </w:r>
      <w:r w:rsidR="00B857A5">
        <w:t xml:space="preserve">Solent-based </w:t>
      </w:r>
      <w:r w:rsidR="00DA6C88">
        <w:t>Maritime S</w:t>
      </w:r>
      <w:r w:rsidR="00885B6F">
        <w:t xml:space="preserve">ector </w:t>
      </w:r>
      <w:r w:rsidR="00B857A5">
        <w:t xml:space="preserve">represented </w:t>
      </w:r>
      <w:r w:rsidR="000A2830">
        <w:t>9.2</w:t>
      </w:r>
      <w:r w:rsidR="00B857A5">
        <w:t>% of the direct GVA impact of the entire UK</w:t>
      </w:r>
      <w:r w:rsidR="00967330">
        <w:t xml:space="preserve"> Maritime </w:t>
      </w:r>
      <w:r w:rsidR="00885B6F">
        <w:t xml:space="preserve">sector </w:t>
      </w:r>
      <w:r w:rsidR="00B857A5">
        <w:t xml:space="preserve">in </w:t>
      </w:r>
      <w:r w:rsidR="00F42AE7">
        <w:t>201</w:t>
      </w:r>
      <w:r w:rsidR="000A2830">
        <w:t>7</w:t>
      </w:r>
      <w:r w:rsidR="00C01CC6">
        <w:t>.</w:t>
      </w:r>
    </w:p>
    <w:p w14:paraId="5421FC99" w14:textId="77777777" w:rsidR="00C709B5" w:rsidRDefault="00C709B5" w:rsidP="00C709B5">
      <w:pPr>
        <w:pStyle w:val="Heading2"/>
      </w:pPr>
      <w:bookmarkStart w:id="94" w:name="_Toc20139746"/>
      <w:r>
        <w:lastRenderedPageBreak/>
        <w:t>The direct impact through employment</w:t>
      </w:r>
      <w:bookmarkEnd w:id="94"/>
    </w:p>
    <w:p w14:paraId="36E461A9" w14:textId="2B57C04D" w:rsidR="004C61AB" w:rsidRDefault="007D7702" w:rsidP="003B082C">
      <w:pPr>
        <w:spacing w:after="120"/>
      </w:pPr>
      <w:r>
        <w:t xml:space="preserve">This subsection </w:t>
      </w:r>
      <w:r w:rsidR="007D4727">
        <w:t>outlines</w:t>
      </w:r>
      <w:r>
        <w:t xml:space="preserve"> the </w:t>
      </w:r>
      <w:r w:rsidR="00830B0E">
        <w:t xml:space="preserve">direct </w:t>
      </w:r>
      <w:r>
        <w:t>em</w:t>
      </w:r>
      <w:r w:rsidR="00830B0E">
        <w:t>ployment impact from the Solent-based M</w:t>
      </w:r>
      <w:r>
        <w:t xml:space="preserve">aritime </w:t>
      </w:r>
      <w:r w:rsidR="00DA6C88">
        <w:t>S</w:t>
      </w:r>
      <w:r w:rsidR="008348B2">
        <w:t>ector</w:t>
      </w:r>
      <w:r w:rsidR="00D26A07">
        <w:t xml:space="preserve"> and Portsmouth Naval Base</w:t>
      </w:r>
      <w:r>
        <w:t xml:space="preserve">. </w:t>
      </w:r>
      <w:r w:rsidR="003B082C">
        <w:fldChar w:fldCharType="begin"/>
      </w:r>
      <w:r w:rsidR="003B082C">
        <w:instrText xml:space="preserve"> REF _Ref499907486 \h </w:instrText>
      </w:r>
      <w:r w:rsidR="003B082C">
        <w:fldChar w:fldCharType="separate"/>
      </w:r>
      <w:r w:rsidR="00D17FEA">
        <w:t xml:space="preserve">Figure </w:t>
      </w:r>
      <w:r w:rsidR="00D17FEA">
        <w:rPr>
          <w:noProof/>
        </w:rPr>
        <w:t>15</w:t>
      </w:r>
      <w:r w:rsidR="003B082C">
        <w:fldChar w:fldCharType="end"/>
      </w:r>
      <w:r>
        <w:t xml:space="preserve"> below shows the estimated direct employment impact from t</w:t>
      </w:r>
      <w:r w:rsidR="00DA6C88">
        <w:t>he Solent-based shipping, ports, leisure m</w:t>
      </w:r>
      <w:r w:rsidR="00830B0E">
        <w:t>arine</w:t>
      </w:r>
      <w:r w:rsidR="00DA6C88">
        <w:t>, marine engineering and maritime business s</w:t>
      </w:r>
      <w:r w:rsidR="00830B0E">
        <w:t xml:space="preserve">ervices </w:t>
      </w:r>
      <w:r>
        <w:t>industries</w:t>
      </w:r>
      <w:r w:rsidR="00830B0E">
        <w:t>, as well as the Portsmouth Naval Base,</w:t>
      </w:r>
      <w:r w:rsidR="007E0686">
        <w:t xml:space="preserve"> in the years 2010 to 2017</w:t>
      </w:r>
      <w:r>
        <w:t>.</w:t>
      </w:r>
    </w:p>
    <w:p w14:paraId="72834F55" w14:textId="115AA3C7" w:rsidR="003B082C" w:rsidRDefault="003B082C" w:rsidP="003B082C">
      <w:pPr>
        <w:pStyle w:val="Caption"/>
        <w:keepNext/>
      </w:pPr>
      <w:bookmarkStart w:id="95" w:name="_Ref499907486"/>
      <w:r>
        <w:t xml:space="preserve">Figure </w:t>
      </w:r>
      <w:r w:rsidR="00F604FD">
        <w:rPr>
          <w:noProof/>
        </w:rPr>
        <w:fldChar w:fldCharType="begin"/>
      </w:r>
      <w:r w:rsidR="00F604FD">
        <w:rPr>
          <w:noProof/>
        </w:rPr>
        <w:instrText xml:space="preserve"> SEQ Figure \* ARABIC </w:instrText>
      </w:r>
      <w:r w:rsidR="00F604FD">
        <w:rPr>
          <w:noProof/>
        </w:rPr>
        <w:fldChar w:fldCharType="separate"/>
      </w:r>
      <w:r w:rsidR="00D17FEA">
        <w:rPr>
          <w:noProof/>
        </w:rPr>
        <w:t>15</w:t>
      </w:r>
      <w:r w:rsidR="00F604FD">
        <w:rPr>
          <w:noProof/>
        </w:rPr>
        <w:fldChar w:fldCharType="end"/>
      </w:r>
      <w:bookmarkEnd w:id="95"/>
      <w:r>
        <w:t xml:space="preserve">: </w:t>
      </w:r>
      <w:r w:rsidRPr="0066507E">
        <w:t>The direct contribution of the Solent-based Maritime industries and Portsmouth Naval Base to employment, and the share of the total direct industry contributio</w:t>
      </w:r>
      <w:r w:rsidR="007E0686">
        <w:t>n to UK employment, 2010 to 2017</w:t>
      </w:r>
    </w:p>
    <w:p w14:paraId="51D4627C" w14:textId="79EE0176" w:rsidR="00B86153" w:rsidRPr="000A706F" w:rsidRDefault="00DA6C88" w:rsidP="00A74D2A">
      <w:pPr>
        <w:keepNext/>
        <w:keepLines/>
        <w:spacing w:before="60" w:after="120"/>
        <w:rPr>
          <w:i/>
          <w:color w:val="404040" w:themeColor="text1" w:themeTint="BF"/>
          <w:sz w:val="18"/>
        </w:rPr>
      </w:pPr>
      <w:r>
        <w:rPr>
          <w:noProof/>
          <w:lang w:eastAsia="en-GB"/>
        </w:rPr>
        <w:drawing>
          <wp:inline distT="0" distB="0" distL="0" distR="0" wp14:anchorId="2F1E636A" wp14:editId="5E68681D">
            <wp:extent cx="6120130" cy="28800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C28F2">
        <w:rPr>
          <w:i/>
          <w:color w:val="404040" w:themeColor="text1" w:themeTint="BF"/>
          <w:sz w:val="18"/>
        </w:rPr>
        <w:tab/>
      </w:r>
      <w:r w:rsidR="005C28F2">
        <w:rPr>
          <w:i/>
          <w:color w:val="404040" w:themeColor="text1" w:themeTint="BF"/>
          <w:sz w:val="18"/>
        </w:rPr>
        <w:tab/>
      </w:r>
      <w:r w:rsidR="005C28F2">
        <w:rPr>
          <w:i/>
          <w:color w:val="404040" w:themeColor="text1" w:themeTint="BF"/>
          <w:sz w:val="18"/>
        </w:rPr>
        <w:tab/>
      </w:r>
      <w:r w:rsidR="005C28F2">
        <w:rPr>
          <w:i/>
          <w:color w:val="404040" w:themeColor="text1" w:themeTint="BF"/>
          <w:sz w:val="18"/>
        </w:rPr>
        <w:tab/>
      </w:r>
      <w:r w:rsidR="005C28F2">
        <w:rPr>
          <w:i/>
          <w:color w:val="404040" w:themeColor="text1" w:themeTint="BF"/>
          <w:sz w:val="18"/>
        </w:rPr>
        <w:tab/>
      </w:r>
      <w:r w:rsidR="005C28F2">
        <w:rPr>
          <w:i/>
          <w:color w:val="404040" w:themeColor="text1" w:themeTint="BF"/>
          <w:sz w:val="18"/>
        </w:rPr>
        <w:tab/>
      </w:r>
      <w:r w:rsidR="005C28F2">
        <w:rPr>
          <w:i/>
          <w:color w:val="404040" w:themeColor="text1" w:themeTint="BF"/>
          <w:sz w:val="18"/>
        </w:rPr>
        <w:tab/>
      </w:r>
      <w:r w:rsidR="005C28F2">
        <w:rPr>
          <w:i/>
          <w:color w:val="404040" w:themeColor="text1" w:themeTint="BF"/>
          <w:sz w:val="18"/>
        </w:rPr>
        <w:tab/>
      </w:r>
      <w:r w:rsidR="005C28F2">
        <w:rPr>
          <w:i/>
          <w:color w:val="404040" w:themeColor="text1" w:themeTint="BF"/>
          <w:sz w:val="18"/>
        </w:rPr>
        <w:tab/>
      </w:r>
      <w:r w:rsidR="00B86153" w:rsidRPr="000A706F">
        <w:rPr>
          <w:i/>
          <w:color w:val="404040" w:themeColor="text1" w:themeTint="BF"/>
          <w:sz w:val="18"/>
        </w:rPr>
        <w:t>Source: ONS, FAME, Cebr analysis</w:t>
      </w:r>
    </w:p>
    <w:p w14:paraId="7D2F95D9" w14:textId="00706607" w:rsidR="00A97917" w:rsidRDefault="00B05EC5" w:rsidP="000B1868">
      <w:r>
        <w:t xml:space="preserve">It is estimated that the Solent-based </w:t>
      </w:r>
      <w:r w:rsidR="00AC6B7C">
        <w:t>M</w:t>
      </w:r>
      <w:r>
        <w:t xml:space="preserve">aritime </w:t>
      </w:r>
      <w:r w:rsidR="006525CA">
        <w:t>sector</w:t>
      </w:r>
      <w:r>
        <w:t xml:space="preserve"> </w:t>
      </w:r>
      <w:r w:rsidR="00872F60">
        <w:t xml:space="preserve">and Portsmouth Naval Base </w:t>
      </w:r>
      <w:r>
        <w:t xml:space="preserve">directly employed </w:t>
      </w:r>
      <w:r w:rsidR="00DA6C88">
        <w:t>28,800</w:t>
      </w:r>
      <w:r w:rsidR="000B1230">
        <w:t xml:space="preserve"> people in 2017</w:t>
      </w:r>
      <w:r w:rsidR="00DA6C88">
        <w:t>, an increase from 25,900</w:t>
      </w:r>
      <w:r w:rsidR="000B1230">
        <w:t xml:space="preserve"> people in 2010</w:t>
      </w:r>
      <w:r>
        <w:t xml:space="preserve">. </w:t>
      </w:r>
      <w:r w:rsidR="00AE6231">
        <w:t xml:space="preserve"> </w:t>
      </w:r>
      <w:r w:rsidR="00F76BDC">
        <w:t xml:space="preserve">The largest contributions to the </w:t>
      </w:r>
      <w:r w:rsidR="00DA6C88">
        <w:t>direct employment impact in 2017</w:t>
      </w:r>
      <w:r w:rsidR="00F76BDC">
        <w:t xml:space="preserve"> came from </w:t>
      </w:r>
      <w:r w:rsidR="00A27305">
        <w:t xml:space="preserve">the </w:t>
      </w:r>
      <w:r w:rsidR="00DE2DD7">
        <w:t>Shipping</w:t>
      </w:r>
      <w:r w:rsidR="00A27305">
        <w:t xml:space="preserve"> industry</w:t>
      </w:r>
      <w:r w:rsidR="00F76BDC">
        <w:t xml:space="preserve"> (</w:t>
      </w:r>
      <w:r w:rsidR="00DE2DD7">
        <w:t>9,700 jobs</w:t>
      </w:r>
      <w:r w:rsidR="00F76BDC">
        <w:t xml:space="preserve">) and Portsmouth Naval Base (around </w:t>
      </w:r>
      <w:r w:rsidR="00C03444">
        <w:t>9</w:t>
      </w:r>
      <w:r w:rsidR="003612C6">
        <w:t>,</w:t>
      </w:r>
      <w:r w:rsidR="00DE2DD7">
        <w:t>3</w:t>
      </w:r>
      <w:r w:rsidR="00C03444">
        <w:t xml:space="preserve">00 </w:t>
      </w:r>
      <w:r w:rsidR="00F76BDC">
        <w:t xml:space="preserve">jobs). </w:t>
      </w:r>
      <w:r w:rsidR="00F6652F">
        <w:t>The overall level of employ</w:t>
      </w:r>
      <w:r w:rsidR="00DA6C88">
        <w:t>ment directly supported by the m</w:t>
      </w:r>
      <w:r w:rsidR="00F6652F">
        <w:t xml:space="preserve">arine industry in the Solent LEP region increased by </w:t>
      </w:r>
      <w:r w:rsidR="00DE2DD7">
        <w:t>1.5</w:t>
      </w:r>
      <w:r w:rsidR="00F6652F">
        <w:t xml:space="preserve">% during </w:t>
      </w:r>
      <w:r w:rsidR="00D22082">
        <w:t xml:space="preserve">the </w:t>
      </w:r>
      <w:r w:rsidR="00F6652F">
        <w:t>period</w:t>
      </w:r>
      <w:r w:rsidR="00DE2DD7">
        <w:t xml:space="preserve"> 2010 to 2017</w:t>
      </w:r>
      <w:r w:rsidR="00F6652F">
        <w:t>.</w:t>
      </w:r>
    </w:p>
    <w:p w14:paraId="2D2B1156" w14:textId="6F1BF78A" w:rsidR="00F6652F" w:rsidRDefault="00AE6231" w:rsidP="00825449">
      <w:r>
        <w:t>T</w:t>
      </w:r>
      <w:r w:rsidR="00F6652F">
        <w:t xml:space="preserve">here is estimated to have been a decline in employment </w:t>
      </w:r>
      <w:r>
        <w:t xml:space="preserve">at Portsmouth Naval Base </w:t>
      </w:r>
      <w:r w:rsidR="00F6652F">
        <w:t xml:space="preserve">of around </w:t>
      </w:r>
      <w:r w:rsidR="00C03444">
        <w:t>35</w:t>
      </w:r>
      <w:r w:rsidR="00DE2DD7">
        <w:t>% since 2011</w:t>
      </w:r>
      <w:r>
        <w:t xml:space="preserve"> (from </w:t>
      </w:r>
      <w:r w:rsidR="00C03444">
        <w:t>1</w:t>
      </w:r>
      <w:r w:rsidR="00DE2DD7">
        <w:t xml:space="preserve">1,900 </w:t>
      </w:r>
      <w:r>
        <w:t xml:space="preserve">jobs to </w:t>
      </w:r>
      <w:r w:rsidR="00C03444">
        <w:t>9,</w:t>
      </w:r>
      <w:r w:rsidR="00DE2DD7">
        <w:t>353</w:t>
      </w:r>
      <w:r w:rsidR="008F1EB8">
        <w:t xml:space="preserve"> jobs)</w:t>
      </w:r>
      <w:r w:rsidR="008D399F">
        <w:t>.</w:t>
      </w:r>
      <w:r w:rsidR="000C451B">
        <w:t xml:space="preserve"> </w:t>
      </w:r>
      <w:r w:rsidR="00F6652F">
        <w:t>The decline in employment directly supported by Portsmouth Naval Base can be attributed to the steady reductions in Shipbuilding activity since 2012, as ide</w:t>
      </w:r>
      <w:r w:rsidR="00825449">
        <w:t>ntified through BRES statistics</w:t>
      </w:r>
    </w:p>
    <w:p w14:paraId="5B4A0318" w14:textId="77777777" w:rsidR="00C709B5" w:rsidRDefault="00C709B5" w:rsidP="00C709B5">
      <w:pPr>
        <w:pStyle w:val="Heading2"/>
      </w:pPr>
      <w:bookmarkStart w:id="96" w:name="_Toc20139747"/>
      <w:r>
        <w:t>The direct impact through the compensation of employees</w:t>
      </w:r>
      <w:bookmarkEnd w:id="96"/>
    </w:p>
    <w:p w14:paraId="416599BE" w14:textId="2C16137D" w:rsidR="00470A5B" w:rsidRDefault="00470A5B" w:rsidP="00470A5B">
      <w:r>
        <w:t xml:space="preserve">This section considers </w:t>
      </w:r>
      <w:r w:rsidR="00662393">
        <w:t xml:space="preserve">the </w:t>
      </w:r>
      <w:r>
        <w:t xml:space="preserve">compensation of employees which is directly supported by the </w:t>
      </w:r>
      <w:r w:rsidR="00EF3D2C">
        <w:t xml:space="preserve">Solent-based </w:t>
      </w:r>
      <w:r w:rsidR="00FB0F9F">
        <w:t xml:space="preserve">Maritime </w:t>
      </w:r>
      <w:r w:rsidR="00DA6C88">
        <w:t>S</w:t>
      </w:r>
      <w:r w:rsidR="003A0DE9">
        <w:t>ector</w:t>
      </w:r>
      <w:r w:rsidR="0062184F">
        <w:t xml:space="preserve"> and Portsmouth Naval Base</w:t>
      </w:r>
      <w:r>
        <w:t>.</w:t>
      </w:r>
      <w:r w:rsidR="00EF3D2C">
        <w:t xml:space="preserve"> As </w:t>
      </w:r>
      <w:r w:rsidR="00EF3D2C" w:rsidRPr="00EF3D2C">
        <w:t xml:space="preserve">noted in </w:t>
      </w:r>
      <w:r w:rsidR="00EF3D2C">
        <w:t>Footnote</w:t>
      </w:r>
      <w:r w:rsidR="00EF3D2C" w:rsidRPr="00EF3D2C">
        <w:t xml:space="preserve"> 1</w:t>
      </w:r>
      <w:r w:rsidR="00EF3D2C">
        <w:t xml:space="preserve"> earlier in this report</w:t>
      </w:r>
      <w:r w:rsidR="00EF3D2C" w:rsidRPr="00EF3D2C">
        <w:t>, GVA is commonly known as income from production and that the princip</w:t>
      </w:r>
      <w:r w:rsidR="00662393">
        <w:t xml:space="preserve">al recipients of this income are </w:t>
      </w:r>
      <w:r w:rsidR="00EF3D2C" w:rsidRPr="00EF3D2C">
        <w:t>labour (through employee compensation), capital (shareholders, financiers, depreciation etc.) and governme</w:t>
      </w:r>
      <w:r w:rsidR="00EF3D2C">
        <w:t>nt (through taxes on production, chiefly B</w:t>
      </w:r>
      <w:r w:rsidR="00EF3D2C" w:rsidRPr="00EF3D2C">
        <w:t xml:space="preserve">usiness </w:t>
      </w:r>
      <w:r w:rsidR="00EF3D2C">
        <w:t>R</w:t>
      </w:r>
      <w:r w:rsidR="00EF3D2C" w:rsidRPr="00EF3D2C">
        <w:t xml:space="preserve">ates). The principal beneficiary in most businesses and in most sectors of the economy are </w:t>
      </w:r>
      <w:r w:rsidR="00FB1D61">
        <w:t xml:space="preserve">typically </w:t>
      </w:r>
      <w:r w:rsidR="00EF3D2C" w:rsidRPr="00EF3D2C">
        <w:t>employees.</w:t>
      </w:r>
    </w:p>
    <w:p w14:paraId="71C7E8AF" w14:textId="7E39292F" w:rsidR="00185A37" w:rsidRPr="00470A5B" w:rsidRDefault="003B082C" w:rsidP="00A868D5">
      <w:pPr>
        <w:spacing w:after="120"/>
      </w:pPr>
      <w:r>
        <w:fldChar w:fldCharType="begin"/>
      </w:r>
      <w:r>
        <w:instrText xml:space="preserve"> REF _Ref499907510 \h </w:instrText>
      </w:r>
      <w:r>
        <w:fldChar w:fldCharType="separate"/>
      </w:r>
      <w:r w:rsidR="00D17FEA">
        <w:t xml:space="preserve">Figure </w:t>
      </w:r>
      <w:r w:rsidR="00D17FEA">
        <w:rPr>
          <w:noProof/>
        </w:rPr>
        <w:t>16</w:t>
      </w:r>
      <w:r>
        <w:fldChar w:fldCharType="end"/>
      </w:r>
      <w:r>
        <w:t xml:space="preserve"> </w:t>
      </w:r>
      <w:r w:rsidR="00185A37">
        <w:t xml:space="preserve">below shows the direct impact </w:t>
      </w:r>
      <w:r w:rsidR="0062184F">
        <w:t>through</w:t>
      </w:r>
      <w:r w:rsidR="00185A37">
        <w:t xml:space="preserve"> the compensation of employees in the years 20</w:t>
      </w:r>
      <w:r w:rsidR="008D13FF">
        <w:t>10 to 2017</w:t>
      </w:r>
      <w:r w:rsidR="00185A37">
        <w:t xml:space="preserve">, disaggregated by </w:t>
      </w:r>
      <w:r w:rsidR="00CF3E99">
        <w:t xml:space="preserve">each </w:t>
      </w:r>
      <w:r w:rsidR="0062184F">
        <w:t xml:space="preserve">Solent-based Maritime </w:t>
      </w:r>
      <w:r w:rsidR="007D2660">
        <w:t>industry and Portsmouth Naval Base</w:t>
      </w:r>
      <w:r w:rsidR="00185A37">
        <w:t>.</w:t>
      </w:r>
    </w:p>
    <w:p w14:paraId="1D367989" w14:textId="509D8029" w:rsidR="003B082C" w:rsidRDefault="003B082C" w:rsidP="003B082C">
      <w:pPr>
        <w:pStyle w:val="Caption"/>
        <w:keepNext/>
      </w:pPr>
      <w:bookmarkStart w:id="97" w:name="_Ref499907510"/>
      <w:r>
        <w:lastRenderedPageBreak/>
        <w:t xml:space="preserve">Figure </w:t>
      </w:r>
      <w:r w:rsidR="00F604FD">
        <w:rPr>
          <w:noProof/>
        </w:rPr>
        <w:fldChar w:fldCharType="begin"/>
      </w:r>
      <w:r w:rsidR="00F604FD">
        <w:rPr>
          <w:noProof/>
        </w:rPr>
        <w:instrText xml:space="preserve"> SEQ Figure \* ARABIC </w:instrText>
      </w:r>
      <w:r w:rsidR="00F604FD">
        <w:rPr>
          <w:noProof/>
        </w:rPr>
        <w:fldChar w:fldCharType="separate"/>
      </w:r>
      <w:r w:rsidR="00D17FEA">
        <w:rPr>
          <w:noProof/>
        </w:rPr>
        <w:t>16</w:t>
      </w:r>
      <w:r w:rsidR="00F604FD">
        <w:rPr>
          <w:noProof/>
        </w:rPr>
        <w:fldChar w:fldCharType="end"/>
      </w:r>
      <w:bookmarkEnd w:id="97"/>
      <w:r>
        <w:t xml:space="preserve">: </w:t>
      </w:r>
      <w:r w:rsidRPr="00FE00AC">
        <w:t xml:space="preserve">The direct contribution of the Solent-based Maritime industries and Portsmouth Naval Base to the compensation of employees, and the combined industries’ share of the total contribution from the </w:t>
      </w:r>
      <w:r w:rsidR="008D13FF">
        <w:t>UK Maritime sector, 2010 to 2017</w:t>
      </w:r>
    </w:p>
    <w:p w14:paraId="4DE14F44" w14:textId="54D6647B" w:rsidR="00496A7A" w:rsidRDefault="0095018A" w:rsidP="00496A7A">
      <w:pPr>
        <w:pStyle w:val="Caption"/>
        <w:keepNext/>
        <w:spacing w:after="120"/>
      </w:pPr>
      <w:r>
        <w:rPr>
          <w:noProof/>
          <w:lang w:eastAsia="en-GB"/>
        </w:rPr>
        <w:drawing>
          <wp:inline distT="0" distB="0" distL="0" distR="0" wp14:anchorId="64EBC2E2" wp14:editId="2F5C5A94">
            <wp:extent cx="6120130" cy="311023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223013" w14:textId="12B0840C" w:rsidR="00662393" w:rsidRPr="009F3D7C" w:rsidRDefault="00B86153" w:rsidP="009F3D7C">
      <w:pPr>
        <w:keepNext/>
        <w:keepLines/>
        <w:spacing w:before="60" w:after="120"/>
        <w:jc w:val="right"/>
        <w:rPr>
          <w:i/>
          <w:color w:val="404040" w:themeColor="text1" w:themeTint="BF"/>
        </w:rPr>
      </w:pPr>
      <w:r w:rsidRPr="000A706F">
        <w:rPr>
          <w:i/>
          <w:color w:val="404040" w:themeColor="text1" w:themeTint="BF"/>
          <w:sz w:val="18"/>
        </w:rPr>
        <w:t>Source: ONS, FAME, Cebr analysis</w:t>
      </w:r>
    </w:p>
    <w:p w14:paraId="569B18C6" w14:textId="6787B569" w:rsidR="00662393" w:rsidRDefault="00662393" w:rsidP="00470A5B">
      <w:r>
        <w:t xml:space="preserve">The Solent-based Maritime </w:t>
      </w:r>
      <w:r w:rsidR="00F84B1F">
        <w:t>S</w:t>
      </w:r>
      <w:r>
        <w:t>ector and Portsmouth Naval Base directly contributed £</w:t>
      </w:r>
      <w:r w:rsidR="008D13FF">
        <w:t>1</w:t>
      </w:r>
      <w:r w:rsidR="00477C93">
        <w:t>.1 b</w:t>
      </w:r>
      <w:r>
        <w:t>illion to the compensation of employe</w:t>
      </w:r>
      <w:r w:rsidR="008D13FF">
        <w:t>es in 2017</w:t>
      </w:r>
      <w:r w:rsidR="009D3D20">
        <w:t>.</w:t>
      </w:r>
      <w:r w:rsidR="008D13FF">
        <w:t xml:space="preserve"> The</w:t>
      </w:r>
      <w:r w:rsidR="00477C93">
        <w:t xml:space="preserve"> direct impact reached its highest level in 2017, increasing by 3.7% from the previous year. </w:t>
      </w:r>
    </w:p>
    <w:p w14:paraId="6844D77F" w14:textId="7B56CF7F" w:rsidR="00324EAB" w:rsidRDefault="006966CF" w:rsidP="00A74D2A">
      <w:r w:rsidRPr="006966CF">
        <w:t xml:space="preserve">The </w:t>
      </w:r>
      <w:r w:rsidR="00880F8B" w:rsidRPr="006966CF">
        <w:t xml:space="preserve">direct contribution of Portsmouth Naval Base </w:t>
      </w:r>
      <w:r w:rsidRPr="006966CF">
        <w:t>increased from £456 million in 2016</w:t>
      </w:r>
      <w:r w:rsidR="00880F8B" w:rsidRPr="006966CF">
        <w:t xml:space="preserve"> to £</w:t>
      </w:r>
      <w:r w:rsidRPr="006966CF">
        <w:t>468</w:t>
      </w:r>
      <w:r w:rsidR="00906423" w:rsidRPr="006966CF">
        <w:t xml:space="preserve"> </w:t>
      </w:r>
      <w:r w:rsidRPr="006966CF">
        <w:t xml:space="preserve">million in 2017 and contributed 43% to the overall direct impact in 2017. </w:t>
      </w:r>
      <w:r>
        <w:t xml:space="preserve"> </w:t>
      </w:r>
      <w:r w:rsidR="0095018A">
        <w:t>The p</w:t>
      </w:r>
      <w:r w:rsidR="009D3D20">
        <w:t xml:space="preserve">orts industry contributed </w:t>
      </w:r>
      <w:r>
        <w:t>13.4</w:t>
      </w:r>
      <w:r w:rsidR="00E270DE">
        <w:t>% of the direct impact in 2017</w:t>
      </w:r>
      <w:r w:rsidR="00324EAB">
        <w:t xml:space="preserve">, an increase from </w:t>
      </w:r>
      <w:r>
        <w:t>5.2</w:t>
      </w:r>
      <w:r w:rsidR="00324EAB">
        <w:t>% in 2010. Indeed, the compensation of employees with</w:t>
      </w:r>
      <w:r w:rsidR="00880F8B">
        <w:t>in</w:t>
      </w:r>
      <w:r w:rsidR="0095018A">
        <w:t xml:space="preserve"> the Solent’s p</w:t>
      </w:r>
      <w:r w:rsidR="00324EAB">
        <w:t xml:space="preserve">orts industry grew by </w:t>
      </w:r>
      <w:r w:rsidR="0095018A">
        <w:t>3</w:t>
      </w:r>
      <w:r>
        <w:t>50</w:t>
      </w:r>
      <w:r w:rsidR="00324EAB">
        <w:t xml:space="preserve">% over this period. </w:t>
      </w:r>
      <w:r w:rsidR="0095018A">
        <w:t>The leisure m</w:t>
      </w:r>
      <w:r>
        <w:t>arine industry contributed £117 million to the compensation of employees, equivalent to 10.7% of the direct impact. T</w:t>
      </w:r>
      <w:r w:rsidR="0095018A">
        <w:t>he shipping industry and m</w:t>
      </w:r>
      <w:r w:rsidR="00324EAB">
        <w:t xml:space="preserve">arine </w:t>
      </w:r>
      <w:r w:rsidR="0095018A">
        <w:t xml:space="preserve">engineering </w:t>
      </w:r>
      <w:r w:rsidR="00324EAB">
        <w:t xml:space="preserve">contributed </w:t>
      </w:r>
      <w:r>
        <w:t>27.5</w:t>
      </w:r>
      <w:r w:rsidR="00324EAB">
        <w:t xml:space="preserve">% and </w:t>
      </w:r>
      <w:r>
        <w:t>3.1</w:t>
      </w:r>
      <w:r w:rsidR="00324EAB">
        <w:t>%, r</w:t>
      </w:r>
      <w:r w:rsidR="0095018A">
        <w:t>espectively. Finally, Solent’s maritime b</w:t>
      </w:r>
      <w:r w:rsidR="00324EAB">
        <w:t xml:space="preserve">usiness services contributed </w:t>
      </w:r>
      <w:r>
        <w:t>2.4% to the direct impact in 2017</w:t>
      </w:r>
      <w:r w:rsidR="00324EAB">
        <w:t xml:space="preserve">, an increase from </w:t>
      </w:r>
      <w:r>
        <w:t>0.8</w:t>
      </w:r>
      <w:r w:rsidR="00324EAB">
        <w:t>% in 2010.</w:t>
      </w:r>
    </w:p>
    <w:p w14:paraId="552639BD" w14:textId="70BAAF3E" w:rsidR="00324EAB" w:rsidRDefault="00324EAB" w:rsidP="00324EAB">
      <w:pPr>
        <w:spacing w:after="0"/>
      </w:pPr>
      <w:r>
        <w:t>Over</w:t>
      </w:r>
      <w:r w:rsidR="0095018A">
        <w:t>all, the Solent-based Maritime S</w:t>
      </w:r>
      <w:r>
        <w:t>ector (excluding Portsmouth Naval Base) is estimated to have contributed 7.</w:t>
      </w:r>
      <w:r w:rsidR="00A63E38">
        <w:t>4</w:t>
      </w:r>
      <w:r>
        <w:t>% of the compensation of employees directly supported b</w:t>
      </w:r>
      <w:r w:rsidR="0095018A">
        <w:t>y the UK Maritime S</w:t>
      </w:r>
      <w:r w:rsidR="00A63E38">
        <w:t>ector in 2017</w:t>
      </w:r>
      <w:r>
        <w:t>; as with GVA, this proportion has increased, rising from around 5.</w:t>
      </w:r>
      <w:r w:rsidR="00A63E38">
        <w:t>6</w:t>
      </w:r>
      <w:r>
        <w:t xml:space="preserve">% in 2010. </w:t>
      </w:r>
    </w:p>
    <w:p w14:paraId="3681E459" w14:textId="77777777" w:rsidR="00A36C15" w:rsidRDefault="00A36C15">
      <w:pPr>
        <w:spacing w:after="0"/>
      </w:pPr>
    </w:p>
    <w:p w14:paraId="3021F842" w14:textId="77777777" w:rsidR="002671F0" w:rsidRDefault="002671F0" w:rsidP="002671F0">
      <w:pPr>
        <w:pStyle w:val="Heading2"/>
      </w:pPr>
      <w:bookmarkStart w:id="98" w:name="_Toc20139748"/>
      <w:r>
        <w:t xml:space="preserve">The </w:t>
      </w:r>
      <w:r w:rsidR="00A36C15">
        <w:t xml:space="preserve">direct Exchequer </w:t>
      </w:r>
      <w:r>
        <w:t>contribution</w:t>
      </w:r>
      <w:bookmarkEnd w:id="98"/>
    </w:p>
    <w:p w14:paraId="223DD239" w14:textId="73C6CBC8" w:rsidR="008322F7" w:rsidRDefault="003634CA" w:rsidP="008322F7">
      <w:r>
        <w:t>Here</w:t>
      </w:r>
      <w:r w:rsidR="00A048EF">
        <w:t xml:space="preserve"> </w:t>
      </w:r>
      <w:r w:rsidR="002671F0">
        <w:t>we examine</w:t>
      </w:r>
      <w:r w:rsidR="00C92320">
        <w:t xml:space="preserve"> </w:t>
      </w:r>
      <w:r w:rsidR="00A048EF">
        <w:t>the contribution of</w:t>
      </w:r>
      <w:r w:rsidR="00D45790">
        <w:t xml:space="preserve"> the</w:t>
      </w:r>
      <w:r w:rsidR="00A048EF">
        <w:t xml:space="preserve"> </w:t>
      </w:r>
      <w:r w:rsidR="002671F0">
        <w:t xml:space="preserve">Solent-based Maritime </w:t>
      </w:r>
      <w:r w:rsidR="00FE2717">
        <w:t>sector</w:t>
      </w:r>
      <w:r w:rsidR="00A048EF">
        <w:t xml:space="preserve"> </w:t>
      </w:r>
      <w:r w:rsidR="00650B85">
        <w:t xml:space="preserve">and Portsmouth Naval Base </w:t>
      </w:r>
      <w:r w:rsidR="00A048EF">
        <w:t xml:space="preserve">to the UK </w:t>
      </w:r>
      <w:r w:rsidR="002671F0">
        <w:t xml:space="preserve">Exchequer, through tax revenues raised from </w:t>
      </w:r>
      <w:r w:rsidR="00650B85">
        <w:t xml:space="preserve">Maritime-related </w:t>
      </w:r>
      <w:r w:rsidR="002671F0">
        <w:t>activities</w:t>
      </w:r>
      <w:r w:rsidR="00A048EF">
        <w:t xml:space="preserve">. </w:t>
      </w:r>
      <w:r w:rsidR="00235452">
        <w:t>In order to capture the incidence of taxation on the direct activities</w:t>
      </w:r>
      <w:r w:rsidR="00650B85">
        <w:t xml:space="preserve">, </w:t>
      </w:r>
      <w:r w:rsidR="00235452">
        <w:t xml:space="preserve">(rather than indirect), </w:t>
      </w:r>
      <w:r w:rsidR="002C334C">
        <w:t>Cebr has measured the</w:t>
      </w:r>
      <w:r w:rsidR="00A048EF">
        <w:t xml:space="preserve"> </w:t>
      </w:r>
      <w:r w:rsidR="006E6942">
        <w:t xml:space="preserve">direct </w:t>
      </w:r>
      <w:r w:rsidR="00A048EF">
        <w:t>contribution</w:t>
      </w:r>
      <w:r w:rsidR="00235452">
        <w:t xml:space="preserve"> through revenues raised from</w:t>
      </w:r>
      <w:r w:rsidR="001A7AC9">
        <w:t xml:space="preserve"> the tax heads listed below:</w:t>
      </w:r>
    </w:p>
    <w:p w14:paraId="38B68ACE" w14:textId="77777777" w:rsidR="00A048EF" w:rsidRDefault="00A048EF" w:rsidP="00A048EF">
      <w:pPr>
        <w:pStyle w:val="ListParagraph"/>
        <w:numPr>
          <w:ilvl w:val="0"/>
          <w:numId w:val="22"/>
        </w:numPr>
      </w:pPr>
      <w:r>
        <w:t xml:space="preserve">Income </w:t>
      </w:r>
      <w:r w:rsidR="006E6942">
        <w:t>T</w:t>
      </w:r>
      <w:r>
        <w:t>ax;</w:t>
      </w:r>
    </w:p>
    <w:p w14:paraId="4DF7E038" w14:textId="77777777" w:rsidR="00A048EF" w:rsidRDefault="00A048EF" w:rsidP="00A048EF">
      <w:pPr>
        <w:pStyle w:val="ListParagraph"/>
        <w:numPr>
          <w:ilvl w:val="0"/>
          <w:numId w:val="22"/>
        </w:numPr>
      </w:pPr>
      <w:r>
        <w:t xml:space="preserve">National </w:t>
      </w:r>
      <w:r w:rsidR="00650B85">
        <w:t>I</w:t>
      </w:r>
      <w:r>
        <w:t xml:space="preserve">nsurance </w:t>
      </w:r>
      <w:r w:rsidR="006E6942">
        <w:t>C</w:t>
      </w:r>
      <w:r>
        <w:t>ontributions</w:t>
      </w:r>
      <w:r w:rsidR="006E6942">
        <w:t xml:space="preserve"> (NICs)</w:t>
      </w:r>
      <w:r>
        <w:t xml:space="preserve"> – from both </w:t>
      </w:r>
      <w:r w:rsidR="006E6942">
        <w:t>Employer and Employee contributions</w:t>
      </w:r>
      <w:r>
        <w:t>;</w:t>
      </w:r>
    </w:p>
    <w:p w14:paraId="3961A6F3" w14:textId="77777777" w:rsidR="00A048EF" w:rsidRDefault="006E6942" w:rsidP="00A048EF">
      <w:pPr>
        <w:pStyle w:val="ListParagraph"/>
        <w:numPr>
          <w:ilvl w:val="0"/>
          <w:numId w:val="22"/>
        </w:numPr>
      </w:pPr>
      <w:r>
        <w:t>Value-Added Tax (</w:t>
      </w:r>
      <w:r w:rsidR="00A048EF">
        <w:t>VAT</w:t>
      </w:r>
      <w:r>
        <w:t>)</w:t>
      </w:r>
      <w:r w:rsidR="002301EC">
        <w:t xml:space="preserve"> as paid by businesses operating in the Maritime </w:t>
      </w:r>
      <w:r w:rsidR="00A54616">
        <w:t>sector</w:t>
      </w:r>
      <w:r w:rsidR="00A048EF">
        <w:t>;</w:t>
      </w:r>
    </w:p>
    <w:p w14:paraId="724E939D" w14:textId="77777777" w:rsidR="00A048EF" w:rsidRDefault="00A048EF" w:rsidP="00A048EF">
      <w:pPr>
        <w:pStyle w:val="ListParagraph"/>
        <w:numPr>
          <w:ilvl w:val="0"/>
          <w:numId w:val="22"/>
        </w:numPr>
      </w:pPr>
      <w:r>
        <w:t xml:space="preserve">Corporation </w:t>
      </w:r>
      <w:r w:rsidR="006E6942">
        <w:t>Tax</w:t>
      </w:r>
      <w:r>
        <w:t>;</w:t>
      </w:r>
    </w:p>
    <w:p w14:paraId="4B81D7FC" w14:textId="77777777" w:rsidR="00A048EF" w:rsidRDefault="006E6942" w:rsidP="00A048EF">
      <w:pPr>
        <w:pStyle w:val="ListParagraph"/>
        <w:numPr>
          <w:ilvl w:val="0"/>
          <w:numId w:val="22"/>
        </w:numPr>
      </w:pPr>
      <w:r>
        <w:t>National Non-Domestic Rates (</w:t>
      </w:r>
      <w:r w:rsidR="00A048EF">
        <w:t xml:space="preserve">Business </w:t>
      </w:r>
      <w:r>
        <w:t>R</w:t>
      </w:r>
      <w:r w:rsidR="00A048EF">
        <w:t>ates</w:t>
      </w:r>
      <w:r>
        <w:t>)</w:t>
      </w:r>
      <w:r w:rsidR="00A048EF">
        <w:t>.</w:t>
      </w:r>
    </w:p>
    <w:p w14:paraId="4F47B264" w14:textId="24BF7FE1" w:rsidR="00C221F3" w:rsidRDefault="00AE2402" w:rsidP="008322F7">
      <w:r>
        <w:t xml:space="preserve">For the personal taxes listed above, </w:t>
      </w:r>
      <w:r w:rsidR="00C221F3">
        <w:t xml:space="preserve">Income Tax and NICs revenues have been calculated by applying </w:t>
      </w:r>
      <w:r w:rsidR="00F445AA">
        <w:t>tax rates to the estimated wages and salaries paid to employees</w:t>
      </w:r>
      <w:r w:rsidR="003F125E">
        <w:t xml:space="preserve"> operating</w:t>
      </w:r>
      <w:r w:rsidR="00F445AA">
        <w:t xml:space="preserve"> in the Solent-based maritime </w:t>
      </w:r>
      <w:r w:rsidR="00650B85">
        <w:t>sector</w:t>
      </w:r>
      <w:r w:rsidR="000D0432">
        <w:t xml:space="preserve"> </w:t>
      </w:r>
      <w:r w:rsidR="000D0432">
        <w:lastRenderedPageBreak/>
        <w:t>and Portsmouth Naval Base</w:t>
      </w:r>
      <w:r>
        <w:t xml:space="preserve">; rates </w:t>
      </w:r>
      <w:r w:rsidR="00F445AA">
        <w:t xml:space="preserve">and thresholds have been sourced from HMRC for </w:t>
      </w:r>
      <w:r w:rsidR="000D0432">
        <w:t>the</w:t>
      </w:r>
      <w:r w:rsidR="00B81150">
        <w:t xml:space="preserve"> years 2010 to 2017</w:t>
      </w:r>
      <w:r w:rsidR="00F445AA">
        <w:t>.</w:t>
      </w:r>
      <w:r>
        <w:t xml:space="preserve"> Wages and salaries for employees have been sourced from the Annual Survey for Hours and Earnings (ASHE)</w:t>
      </w:r>
      <w:r w:rsidR="000C451B" w:rsidRPr="000C451B">
        <w:rPr>
          <w:vertAlign w:val="superscript"/>
        </w:rPr>
        <w:footnoteReference w:id="41"/>
      </w:r>
      <w:r w:rsidR="000C451B" w:rsidRPr="000C451B">
        <w:rPr>
          <w:vertAlign w:val="superscript"/>
        </w:rPr>
        <w:t xml:space="preserve"> </w:t>
      </w:r>
      <w:r>
        <w:t xml:space="preserve">and adjusted for wage differentials in the Solent region. </w:t>
      </w:r>
      <w:r w:rsidR="00D52DF5">
        <w:t xml:space="preserve">For the business taxes listed above, </w:t>
      </w:r>
      <w:r w:rsidR="00F445AA">
        <w:t xml:space="preserve">Corporation Tax revenues have been estimated by applying HMRC estimates for Average Effective Tax Rates (AETRs) to the estimated Gross Profit of each </w:t>
      </w:r>
      <w:r w:rsidR="000D0432">
        <w:t>M</w:t>
      </w:r>
      <w:r w:rsidR="00F445AA">
        <w:t>aritime industry</w:t>
      </w:r>
      <w:r w:rsidR="0095018A">
        <w:t xml:space="preserve"> and the s</w:t>
      </w:r>
      <w:r w:rsidR="00D52DF5">
        <w:t>hipbuilding activities taking place at Portsmouth Naval Base</w:t>
      </w:r>
      <w:r w:rsidR="00F445AA">
        <w:t xml:space="preserve">. Business Rates have been estimated using the average level of Business Rates paid as a proportion of </w:t>
      </w:r>
      <w:r w:rsidR="000C7C3B">
        <w:t xml:space="preserve">Maritime </w:t>
      </w:r>
      <w:r w:rsidR="00560B71">
        <w:t>sector</w:t>
      </w:r>
      <w:r w:rsidR="000C7C3B">
        <w:t xml:space="preserve"> </w:t>
      </w:r>
      <w:r w:rsidR="00F445AA">
        <w:t xml:space="preserve">GVA, drawing upon </w:t>
      </w:r>
      <w:r w:rsidR="007E2537">
        <w:t xml:space="preserve">the </w:t>
      </w:r>
      <w:r w:rsidR="00F445AA">
        <w:t>ONS Annual Business Survey (ABS).</w:t>
      </w:r>
    </w:p>
    <w:p w14:paraId="0C9389FC" w14:textId="2378C46E" w:rsidR="004C61AB" w:rsidRDefault="003B082C" w:rsidP="003B082C">
      <w:pPr>
        <w:spacing w:after="120"/>
      </w:pPr>
      <w:r>
        <w:fldChar w:fldCharType="begin"/>
      </w:r>
      <w:r>
        <w:instrText xml:space="preserve"> REF _Ref499907534 \h </w:instrText>
      </w:r>
      <w:r>
        <w:fldChar w:fldCharType="separate"/>
      </w:r>
      <w:r w:rsidR="00D17FEA">
        <w:t xml:space="preserve">Figure </w:t>
      </w:r>
      <w:r w:rsidR="00D17FEA">
        <w:rPr>
          <w:noProof/>
        </w:rPr>
        <w:t>17</w:t>
      </w:r>
      <w:r>
        <w:fldChar w:fldCharType="end"/>
      </w:r>
      <w:r>
        <w:t xml:space="preserve"> </w:t>
      </w:r>
      <w:r w:rsidR="00B85DEA">
        <w:t xml:space="preserve">below </w:t>
      </w:r>
      <w:r w:rsidR="00547D2A">
        <w:t xml:space="preserve">shows the direct contribution of the Solent-based Maritime </w:t>
      </w:r>
      <w:r w:rsidR="0095018A">
        <w:t>S</w:t>
      </w:r>
      <w:r w:rsidR="007E2537">
        <w:t xml:space="preserve">ector and Portsmouth Naval Base </w:t>
      </w:r>
      <w:r w:rsidR="00547D2A">
        <w:t>to the UK Exc</w:t>
      </w:r>
      <w:r w:rsidR="00B81150">
        <w:t xml:space="preserve">hequer in the years 2010 to </w:t>
      </w:r>
      <w:proofErr w:type="gramStart"/>
      <w:r w:rsidR="00B81150">
        <w:t>2017</w:t>
      </w:r>
      <w:r w:rsidR="00547D2A">
        <w:t>, and</w:t>
      </w:r>
      <w:proofErr w:type="gramEnd"/>
      <w:r w:rsidR="00547D2A">
        <w:t xml:space="preserve"> </w:t>
      </w:r>
      <w:r w:rsidR="007E2537">
        <w:t xml:space="preserve">expressed as a share </w:t>
      </w:r>
      <w:r w:rsidR="00547D2A">
        <w:t xml:space="preserve">of </w:t>
      </w:r>
      <w:r w:rsidR="007E2537">
        <w:t xml:space="preserve">the </w:t>
      </w:r>
      <w:r w:rsidR="00547D2A">
        <w:t xml:space="preserve">total Exchequer contribution </w:t>
      </w:r>
      <w:r w:rsidR="007E2537">
        <w:t xml:space="preserve">from </w:t>
      </w:r>
      <w:r w:rsidR="00547D2A">
        <w:t>the UK</w:t>
      </w:r>
      <w:r w:rsidR="00F915F0">
        <w:t>-wide</w:t>
      </w:r>
      <w:r w:rsidR="00547D2A">
        <w:t xml:space="preserve"> Maritime </w:t>
      </w:r>
      <w:r w:rsidR="0095018A">
        <w:t>S</w:t>
      </w:r>
      <w:r w:rsidR="007E2537">
        <w:t>ector</w:t>
      </w:r>
      <w:r w:rsidR="00547D2A">
        <w:t>.</w:t>
      </w:r>
      <w:r>
        <w:t xml:space="preserve"> </w:t>
      </w:r>
    </w:p>
    <w:p w14:paraId="1321525B" w14:textId="4F98E425" w:rsidR="003B082C" w:rsidRDefault="003B082C" w:rsidP="003B082C">
      <w:pPr>
        <w:pStyle w:val="Caption"/>
        <w:keepNext/>
      </w:pPr>
      <w:bookmarkStart w:id="99" w:name="_Ref499907534"/>
      <w:r>
        <w:t xml:space="preserve">Figure </w:t>
      </w:r>
      <w:r w:rsidR="00F604FD">
        <w:rPr>
          <w:noProof/>
        </w:rPr>
        <w:fldChar w:fldCharType="begin"/>
      </w:r>
      <w:r w:rsidR="00F604FD">
        <w:rPr>
          <w:noProof/>
        </w:rPr>
        <w:instrText xml:space="preserve"> SEQ Figure \* ARABIC </w:instrText>
      </w:r>
      <w:r w:rsidR="00F604FD">
        <w:rPr>
          <w:noProof/>
        </w:rPr>
        <w:fldChar w:fldCharType="separate"/>
      </w:r>
      <w:r w:rsidR="00D17FEA">
        <w:rPr>
          <w:noProof/>
        </w:rPr>
        <w:t>17</w:t>
      </w:r>
      <w:r w:rsidR="00F604FD">
        <w:rPr>
          <w:noProof/>
        </w:rPr>
        <w:fldChar w:fldCharType="end"/>
      </w:r>
      <w:bookmarkEnd w:id="99"/>
      <w:r>
        <w:t xml:space="preserve">: </w:t>
      </w:r>
      <w:r w:rsidRPr="008A63DC">
        <w:t>The direct UK Exchequer contribution of the Solent-based Maritime industries and Por</w:t>
      </w:r>
      <w:r w:rsidR="00B81150">
        <w:t>tsmouth Naval Base, 2010 to 2017</w:t>
      </w:r>
    </w:p>
    <w:p w14:paraId="00611D51" w14:textId="52668EFD" w:rsidR="000C7C3B" w:rsidRPr="000C7C3B" w:rsidRDefault="0095018A" w:rsidP="00496A7A">
      <w:r>
        <w:rPr>
          <w:noProof/>
          <w:lang w:eastAsia="en-GB"/>
        </w:rPr>
        <w:drawing>
          <wp:inline distT="0" distB="0" distL="0" distR="0" wp14:anchorId="43886E94" wp14:editId="0D623317">
            <wp:extent cx="6120000" cy="3024186"/>
            <wp:effectExtent l="0" t="0" r="0" b="508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AE5F01" w14:textId="77777777" w:rsidR="00B86153" w:rsidRPr="00B86153" w:rsidRDefault="00B86153" w:rsidP="00EC5A63">
      <w:pPr>
        <w:tabs>
          <w:tab w:val="left" w:pos="5387"/>
          <w:tab w:val="left" w:pos="5529"/>
        </w:tabs>
        <w:spacing w:before="60" w:after="120"/>
        <w:jc w:val="right"/>
        <w:rPr>
          <w:i/>
        </w:rPr>
      </w:pPr>
      <w:r w:rsidRPr="00BD3EB8">
        <w:rPr>
          <w:rStyle w:val="SubtleEmphasis"/>
          <w:sz w:val="18"/>
        </w:rPr>
        <w:t>Source: ONS, FAME, Cebr analysis</w:t>
      </w:r>
    </w:p>
    <w:p w14:paraId="447F7425" w14:textId="1610888B" w:rsidR="00324EAB" w:rsidRDefault="00324EAB" w:rsidP="005053EA">
      <w:pPr>
        <w:spacing w:after="0"/>
      </w:pPr>
      <w:r>
        <w:t>The total Exchequer contribution</w:t>
      </w:r>
      <w:r w:rsidR="00BF0F80">
        <w:t xml:space="preserve"> of the Solent-based Maritime sector and Portsmouth Naval Base</w:t>
      </w:r>
      <w:r>
        <w:t xml:space="preserve"> is estimated to have been £</w:t>
      </w:r>
      <w:r w:rsidR="00256B52">
        <w:t>524</w:t>
      </w:r>
      <w:r w:rsidR="002A40BC">
        <w:t xml:space="preserve"> </w:t>
      </w:r>
      <w:r w:rsidR="00B81150">
        <w:t>million in 2017.</w:t>
      </w:r>
      <w:r w:rsidR="000973F9">
        <w:t xml:space="preserve"> The </w:t>
      </w:r>
      <w:r>
        <w:t>direct</w:t>
      </w:r>
      <w:r w:rsidR="000973F9">
        <w:t xml:space="preserve"> exchequer</w:t>
      </w:r>
      <w:r>
        <w:t xml:space="preserve"> contribution is </w:t>
      </w:r>
      <w:r w:rsidR="00B81150">
        <w:t>estimated to have peaked in 2013</w:t>
      </w:r>
      <w:r>
        <w:t xml:space="preserve"> at £</w:t>
      </w:r>
      <w:r w:rsidR="002A40BC">
        <w:t>5</w:t>
      </w:r>
      <w:r w:rsidR="00B81150">
        <w:t>56</w:t>
      </w:r>
      <w:r w:rsidR="002A40BC">
        <w:t xml:space="preserve"> </w:t>
      </w:r>
      <w:r>
        <w:t>million.</w:t>
      </w:r>
    </w:p>
    <w:p w14:paraId="6FC783B9" w14:textId="77777777" w:rsidR="00F81883" w:rsidRDefault="00F81883" w:rsidP="005053EA">
      <w:pPr>
        <w:spacing w:after="0"/>
      </w:pPr>
    </w:p>
    <w:p w14:paraId="1314E80F" w14:textId="7FA7E3B8" w:rsidR="00E566BD" w:rsidRDefault="00F81883" w:rsidP="005053EA">
      <w:pPr>
        <w:spacing w:after="0"/>
      </w:pPr>
      <w:r>
        <w:t xml:space="preserve">The Exchequer contribution </w:t>
      </w:r>
      <w:r w:rsidR="00256B52">
        <w:t>from the Solent-based Maritime S</w:t>
      </w:r>
      <w:r>
        <w:t xml:space="preserve">ector (excluding Portsmouth Naval Base) accounted for </w:t>
      </w:r>
      <w:r w:rsidR="000973F9">
        <w:t xml:space="preserve">almost </w:t>
      </w:r>
      <w:r w:rsidR="00B61B98">
        <w:t>8.1</w:t>
      </w:r>
      <w:r>
        <w:t xml:space="preserve">% of </w:t>
      </w:r>
      <w:r w:rsidR="000973F9">
        <w:t>the direct Exchequer contribution</w:t>
      </w:r>
      <w:r>
        <w:t xml:space="preserve"> from the</w:t>
      </w:r>
      <w:r w:rsidR="00BD7E95">
        <w:t xml:space="preserve"> UK Maritime sector as a whole.</w:t>
      </w:r>
    </w:p>
    <w:p w14:paraId="66D81402" w14:textId="77777777" w:rsidR="00BD7E95" w:rsidRPr="00AC12E9" w:rsidRDefault="00BD7E95" w:rsidP="005053EA">
      <w:pPr>
        <w:spacing w:after="0"/>
      </w:pPr>
    </w:p>
    <w:p w14:paraId="3A522722" w14:textId="2A3D91B8" w:rsidR="004C61AB" w:rsidRDefault="003B082C" w:rsidP="003B082C">
      <w:pPr>
        <w:spacing w:after="120"/>
      </w:pPr>
      <w:r>
        <w:fldChar w:fldCharType="begin"/>
      </w:r>
      <w:r>
        <w:instrText xml:space="preserve"> REF _Ref499907559 \h </w:instrText>
      </w:r>
      <w:r>
        <w:fldChar w:fldCharType="separate"/>
      </w:r>
      <w:r w:rsidR="00D17FEA">
        <w:t xml:space="preserve">Figure </w:t>
      </w:r>
      <w:r w:rsidR="00D17FEA">
        <w:rPr>
          <w:noProof/>
        </w:rPr>
        <w:t>18</w:t>
      </w:r>
      <w:r>
        <w:fldChar w:fldCharType="end"/>
      </w:r>
      <w:r>
        <w:t xml:space="preserve"> </w:t>
      </w:r>
      <w:r w:rsidR="009147D0">
        <w:t>below</w:t>
      </w:r>
      <w:r w:rsidR="000F5C85" w:rsidRPr="00AC12E9">
        <w:t xml:space="preserve"> disaggregates the direct contribution by tax he</w:t>
      </w:r>
      <w:r w:rsidR="00B61B98">
        <w:t>ad across the years 2010 to 2017</w:t>
      </w:r>
      <w:r w:rsidR="000F5C85" w:rsidRPr="00AC12E9">
        <w:t>.</w:t>
      </w:r>
      <w:r w:rsidR="000C451B" w:rsidRPr="000C451B">
        <w:t xml:space="preserve"> </w:t>
      </w:r>
    </w:p>
    <w:p w14:paraId="7CB40882" w14:textId="41CCF397" w:rsidR="003B082C" w:rsidRDefault="003B082C" w:rsidP="003B082C">
      <w:pPr>
        <w:pStyle w:val="Caption"/>
        <w:keepNext/>
      </w:pPr>
      <w:bookmarkStart w:id="100" w:name="_Ref499907559"/>
      <w:r>
        <w:lastRenderedPageBreak/>
        <w:t xml:space="preserve">Figure </w:t>
      </w:r>
      <w:r w:rsidR="00F604FD">
        <w:rPr>
          <w:noProof/>
        </w:rPr>
        <w:fldChar w:fldCharType="begin"/>
      </w:r>
      <w:r w:rsidR="00F604FD">
        <w:rPr>
          <w:noProof/>
        </w:rPr>
        <w:instrText xml:space="preserve"> SEQ Figure \* ARABIC </w:instrText>
      </w:r>
      <w:r w:rsidR="00F604FD">
        <w:rPr>
          <w:noProof/>
        </w:rPr>
        <w:fldChar w:fldCharType="separate"/>
      </w:r>
      <w:r w:rsidR="00D17FEA">
        <w:rPr>
          <w:noProof/>
        </w:rPr>
        <w:t>18</w:t>
      </w:r>
      <w:r w:rsidR="00F604FD">
        <w:rPr>
          <w:noProof/>
        </w:rPr>
        <w:fldChar w:fldCharType="end"/>
      </w:r>
      <w:bookmarkEnd w:id="100"/>
      <w:r>
        <w:t xml:space="preserve">: </w:t>
      </w:r>
      <w:r w:rsidRPr="0021086F">
        <w:t>The direct contribution of the Solent-based Maritime sector and PNB to the UK Excheq</w:t>
      </w:r>
      <w:r w:rsidR="00B61B98">
        <w:t>uer by tax head, 2010 to 2017</w:t>
      </w:r>
    </w:p>
    <w:p w14:paraId="21B7562B" w14:textId="0B42CB15" w:rsidR="006C66ED" w:rsidRDefault="00256B52" w:rsidP="005053EA">
      <w:pPr>
        <w:spacing w:after="0"/>
      </w:pPr>
      <w:r>
        <w:rPr>
          <w:noProof/>
          <w:lang w:eastAsia="en-GB"/>
        </w:rPr>
        <w:drawing>
          <wp:inline distT="0" distB="0" distL="0" distR="0" wp14:anchorId="1C75909D" wp14:editId="26AE9AA8">
            <wp:extent cx="6120000" cy="28800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717BAD" w14:textId="77777777" w:rsidR="00B86153" w:rsidRPr="00B86153" w:rsidRDefault="00B86153" w:rsidP="007F025E">
      <w:pPr>
        <w:spacing w:before="60" w:after="120"/>
        <w:jc w:val="right"/>
        <w:rPr>
          <w:i/>
        </w:rPr>
      </w:pPr>
      <w:r w:rsidRPr="002B5AEB">
        <w:rPr>
          <w:i/>
          <w:sz w:val="18"/>
        </w:rPr>
        <w:t>Source: ONS, FAME, Cebr analysis</w:t>
      </w:r>
    </w:p>
    <w:p w14:paraId="49A25D56" w14:textId="720683A5" w:rsidR="00DB13EC" w:rsidRDefault="00DB13EC" w:rsidP="00DB13EC">
      <w:pPr>
        <w:spacing w:after="120"/>
      </w:pPr>
      <w:r>
        <w:t>For</w:t>
      </w:r>
      <w:r w:rsidR="002B1ABE">
        <w:t xml:space="preserve"> each of</w:t>
      </w:r>
      <w:r>
        <w:t xml:space="preserve"> the years 2010 to </w:t>
      </w:r>
      <w:r w:rsidR="002B1ABE">
        <w:t>201</w:t>
      </w:r>
      <w:r w:rsidR="00B61B98">
        <w:t>7</w:t>
      </w:r>
      <w:r w:rsidR="00B92D63">
        <w:t>,</w:t>
      </w:r>
      <w:r w:rsidR="002B1ABE">
        <w:t xml:space="preserve"> </w:t>
      </w:r>
      <w:r w:rsidR="005A72F4">
        <w:t>the</w:t>
      </w:r>
      <w:r w:rsidRPr="00AC12E9">
        <w:t xml:space="preserve"> </w:t>
      </w:r>
      <w:r w:rsidR="005A72F4">
        <w:t>majority of the</w:t>
      </w:r>
      <w:r>
        <w:t xml:space="preserve"> direct </w:t>
      </w:r>
      <w:r w:rsidRPr="00AC12E9">
        <w:t>Exchequer contribution was derived from the Personal Taxes: Income Taxes and NICs.</w:t>
      </w:r>
      <w:r>
        <w:t xml:space="preserve"> </w:t>
      </w:r>
      <w:r w:rsidRPr="00A74D2A">
        <w:t>However, as the number of employees operating at Portsmouth Naval Base is estimated to have fallen in recent years,</w:t>
      </w:r>
      <w:r w:rsidR="002B1ABE" w:rsidRPr="00A74D2A">
        <w:t xml:space="preserve"> the percentage share of tax revenue from these sources fell from </w:t>
      </w:r>
      <w:r w:rsidR="00637DDB" w:rsidRPr="00A74D2A">
        <w:t>58</w:t>
      </w:r>
      <w:r w:rsidR="002B1ABE" w:rsidRPr="00A74D2A">
        <w:t>%</w:t>
      </w:r>
      <w:r w:rsidR="00B92D63" w:rsidRPr="00A74D2A">
        <w:t xml:space="preserve"> (£</w:t>
      </w:r>
      <w:r w:rsidR="00637DDB" w:rsidRPr="00A74D2A">
        <w:t xml:space="preserve">256 </w:t>
      </w:r>
      <w:r w:rsidR="00B92D63" w:rsidRPr="00A74D2A">
        <w:t>million) in 201</w:t>
      </w:r>
      <w:r w:rsidR="00637DDB" w:rsidRPr="00A74D2A">
        <w:t>0</w:t>
      </w:r>
      <w:r w:rsidR="002B1ABE" w:rsidRPr="00A74D2A">
        <w:t xml:space="preserve"> to </w:t>
      </w:r>
      <w:r w:rsidR="00637DDB" w:rsidRPr="00A74D2A">
        <w:t>53</w:t>
      </w:r>
      <w:r w:rsidR="002B1ABE" w:rsidRPr="00A74D2A">
        <w:t>%</w:t>
      </w:r>
      <w:r w:rsidR="00B92D63" w:rsidRPr="00A74D2A">
        <w:t xml:space="preserve"> (£2</w:t>
      </w:r>
      <w:r w:rsidR="00637DDB" w:rsidRPr="00A74D2A">
        <w:t>77</w:t>
      </w:r>
      <w:r w:rsidR="00B92D63" w:rsidRPr="00A74D2A">
        <w:t xml:space="preserve"> million) in 201</w:t>
      </w:r>
      <w:r w:rsidR="00637DDB" w:rsidRPr="00A74D2A">
        <w:t>7</w:t>
      </w:r>
      <w:r w:rsidR="002B1ABE" w:rsidRPr="00A74D2A">
        <w:t xml:space="preserve">. Contrastingly, the share of exchequer revenue from business taxes, albeit lower, increased from </w:t>
      </w:r>
      <w:r w:rsidR="00637DDB" w:rsidRPr="00A74D2A">
        <w:t>42</w:t>
      </w:r>
      <w:r w:rsidR="002B1ABE" w:rsidRPr="00A74D2A">
        <w:t>% in 2010 (</w:t>
      </w:r>
      <w:r w:rsidR="00B92D63" w:rsidRPr="00A74D2A">
        <w:t>£</w:t>
      </w:r>
      <w:r w:rsidR="00637DDB" w:rsidRPr="00A74D2A">
        <w:t>184</w:t>
      </w:r>
      <w:r w:rsidR="00B92D63" w:rsidRPr="00A74D2A">
        <w:t xml:space="preserve"> million</w:t>
      </w:r>
      <w:r w:rsidR="002B1ABE" w:rsidRPr="00A74D2A">
        <w:t>) to 4</w:t>
      </w:r>
      <w:r w:rsidR="00637DDB" w:rsidRPr="00A74D2A">
        <w:t>7</w:t>
      </w:r>
      <w:r w:rsidR="002B1ABE" w:rsidRPr="00A74D2A">
        <w:t>% in 201</w:t>
      </w:r>
      <w:r w:rsidR="00637DDB" w:rsidRPr="00A74D2A">
        <w:t>7</w:t>
      </w:r>
      <w:r w:rsidR="00B92D63" w:rsidRPr="00A74D2A">
        <w:t xml:space="preserve"> (£</w:t>
      </w:r>
      <w:r w:rsidR="00637DDB" w:rsidRPr="00A74D2A">
        <w:t>246</w:t>
      </w:r>
      <w:r w:rsidR="00B92D63" w:rsidRPr="00A74D2A">
        <w:t xml:space="preserve"> million)</w:t>
      </w:r>
      <w:r w:rsidRPr="00A74D2A">
        <w:t>.</w:t>
      </w:r>
    </w:p>
    <w:p w14:paraId="74E37CA3" w14:textId="32EFB02F" w:rsidR="002C334C" w:rsidRDefault="002C334C" w:rsidP="002C334C">
      <w:pPr>
        <w:pStyle w:val="Heading2"/>
      </w:pPr>
      <w:bookmarkStart w:id="101" w:name="_Toc20139749"/>
      <w:r>
        <w:t>The direct contribution</w:t>
      </w:r>
      <w:r w:rsidR="005226AC">
        <w:t xml:space="preserve"> </w:t>
      </w:r>
      <w:r w:rsidR="00A812F4">
        <w:t>through</w:t>
      </w:r>
      <w:r w:rsidR="005226AC">
        <w:t xml:space="preserve"> </w:t>
      </w:r>
      <w:r w:rsidR="00A812F4">
        <w:t>exports</w:t>
      </w:r>
      <w:bookmarkEnd w:id="101"/>
    </w:p>
    <w:p w14:paraId="19ACFE47" w14:textId="19B8A42D" w:rsidR="001610E3" w:rsidRDefault="005558E6" w:rsidP="006D715F">
      <w:pPr>
        <w:spacing w:before="60"/>
      </w:pPr>
      <w:r>
        <w:t>Finally, the Solent-base</w:t>
      </w:r>
      <w:r w:rsidR="00256B52">
        <w:t>d Maritime S</w:t>
      </w:r>
      <w:r>
        <w:t>ector and Portsmouth Naval Base are also estimated to make a substantive contribution to UK economic activity through the exports of goods and services.</w:t>
      </w:r>
      <w:r w:rsidR="003539E3">
        <w:t xml:space="preserve"> These figures are conceptually different to the</w:t>
      </w:r>
      <w:r w:rsidR="001610E3">
        <w:t xml:space="preserve"> downstream</w:t>
      </w:r>
      <w:r w:rsidR="003539E3">
        <w:t xml:space="preserve"> export figures derived as part of Section 3. </w:t>
      </w:r>
      <w:r w:rsidR="006C2733">
        <w:t xml:space="preserve">While </w:t>
      </w:r>
      <w:r w:rsidR="007C3753">
        <w:t xml:space="preserve">the downstream impacts </w:t>
      </w:r>
      <w:r w:rsidR="001610E3">
        <w:t>considered</w:t>
      </w:r>
      <w:r w:rsidR="007C3753">
        <w:t xml:space="preserve"> the total </w:t>
      </w:r>
      <w:r w:rsidR="001610E3">
        <w:t>value of the goods traded, the figures below estimate the turnover generated by the Maritime Sector by export activities.</w:t>
      </w:r>
      <w:r>
        <w:t xml:space="preserve"> </w:t>
      </w:r>
    </w:p>
    <w:p w14:paraId="56317598" w14:textId="3C10BCB8" w:rsidR="00D32CB2" w:rsidRDefault="003B082C" w:rsidP="00D32CB2">
      <w:pPr>
        <w:spacing w:before="60" w:after="0"/>
      </w:pPr>
      <w:r>
        <w:fldChar w:fldCharType="begin"/>
      </w:r>
      <w:r>
        <w:instrText xml:space="preserve"> REF _Ref499907585 \h </w:instrText>
      </w:r>
      <w:r w:rsidR="006D715F">
        <w:instrText xml:space="preserve"> \* MERGEFORMAT </w:instrText>
      </w:r>
      <w:r>
        <w:fldChar w:fldCharType="separate"/>
      </w:r>
      <w:r w:rsidR="00D17FEA">
        <w:t>Figure 19</w:t>
      </w:r>
      <w:r>
        <w:fldChar w:fldCharType="end"/>
      </w:r>
      <w:r w:rsidR="001A649D">
        <w:t xml:space="preserve"> below shows the total estimated value </w:t>
      </w:r>
      <w:r w:rsidR="005A72F4">
        <w:t>of exports between 2010 and 2017</w:t>
      </w:r>
      <w:r w:rsidR="00D32CB2">
        <w:t xml:space="preserve">; a total value of </w:t>
      </w:r>
      <w:r w:rsidR="001F48B2">
        <w:t xml:space="preserve">almost </w:t>
      </w:r>
      <w:r w:rsidR="00D32CB2">
        <w:t>£</w:t>
      </w:r>
      <w:r w:rsidR="005A72F4">
        <w:t>1.5 billion</w:t>
      </w:r>
      <w:r w:rsidR="00D32CB2">
        <w:t xml:space="preserve"> of goods an</w:t>
      </w:r>
      <w:r w:rsidR="005A72F4">
        <w:t>d services were exported in 2017. This represents an in</w:t>
      </w:r>
      <w:r w:rsidR="00D32CB2">
        <w:t>crease of 21% relative to the 2010 level</w:t>
      </w:r>
      <w:r w:rsidR="001F48B2">
        <w:t xml:space="preserve"> of £</w:t>
      </w:r>
      <w:r w:rsidR="005A72F4">
        <w:t xml:space="preserve">1.2 billion. </w:t>
      </w:r>
    </w:p>
    <w:p w14:paraId="42793624" w14:textId="77777777" w:rsidR="002957A6" w:rsidRDefault="002957A6" w:rsidP="002957A6">
      <w:pPr>
        <w:pStyle w:val="Caption"/>
        <w:keepNext/>
        <w:spacing w:after="120"/>
      </w:pPr>
    </w:p>
    <w:p w14:paraId="3F1EC876" w14:textId="411943DB" w:rsidR="003B082C" w:rsidRDefault="003B082C" w:rsidP="003B082C">
      <w:pPr>
        <w:pStyle w:val="Caption"/>
        <w:keepNext/>
      </w:pPr>
      <w:bookmarkStart w:id="102" w:name="_Ref499907585"/>
      <w:r>
        <w:t xml:space="preserve">Figure </w:t>
      </w:r>
      <w:r w:rsidR="00F604FD">
        <w:rPr>
          <w:noProof/>
        </w:rPr>
        <w:fldChar w:fldCharType="begin"/>
      </w:r>
      <w:r w:rsidR="00F604FD">
        <w:rPr>
          <w:noProof/>
        </w:rPr>
        <w:instrText xml:space="preserve"> SEQ Figure \* ARABIC </w:instrText>
      </w:r>
      <w:r w:rsidR="00F604FD">
        <w:rPr>
          <w:noProof/>
        </w:rPr>
        <w:fldChar w:fldCharType="separate"/>
      </w:r>
      <w:r w:rsidR="00D17FEA">
        <w:rPr>
          <w:noProof/>
        </w:rPr>
        <w:t>19</w:t>
      </w:r>
      <w:r w:rsidR="00F604FD">
        <w:rPr>
          <w:noProof/>
        </w:rPr>
        <w:fldChar w:fldCharType="end"/>
      </w:r>
      <w:bookmarkEnd w:id="102"/>
      <w:r>
        <w:t xml:space="preserve">: </w:t>
      </w:r>
      <w:r w:rsidRPr="00A24884">
        <w:t>The direct contribution of the Solent-based Maritime sector and PNB through exports of goods and services</w:t>
      </w:r>
    </w:p>
    <w:p w14:paraId="1AFD385A" w14:textId="74103102" w:rsidR="00EF65BE" w:rsidRPr="00EF65BE" w:rsidRDefault="00256B52" w:rsidP="001C572C">
      <w:r>
        <w:rPr>
          <w:noProof/>
          <w:lang w:eastAsia="en-GB"/>
        </w:rPr>
        <w:drawing>
          <wp:inline distT="0" distB="0" distL="0" distR="0" wp14:anchorId="2C351D01" wp14:editId="1A8FA18F">
            <wp:extent cx="6120000" cy="28800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F67943B" w14:textId="77777777" w:rsidR="001A649D" w:rsidRDefault="001A649D" w:rsidP="005053EA">
      <w:pPr>
        <w:spacing w:before="60" w:after="0"/>
        <w:jc w:val="right"/>
        <w:rPr>
          <w:i/>
          <w:sz w:val="18"/>
        </w:rPr>
      </w:pPr>
      <w:r w:rsidRPr="002B5AEB">
        <w:rPr>
          <w:i/>
          <w:sz w:val="18"/>
        </w:rPr>
        <w:t>Source: ONS, FAME, Cebr analysis</w:t>
      </w:r>
    </w:p>
    <w:p w14:paraId="43AE9CD6" w14:textId="77777777" w:rsidR="00BF0F80" w:rsidRDefault="00BF0F80" w:rsidP="00BF0F80">
      <w:pPr>
        <w:spacing w:after="0"/>
      </w:pPr>
    </w:p>
    <w:p w14:paraId="1CC38BE5" w14:textId="1045EB83" w:rsidR="00D32CB2" w:rsidRDefault="00D32CB2" w:rsidP="00BF0F80">
      <w:pPr>
        <w:spacing w:before="60" w:after="0"/>
      </w:pPr>
      <w:r>
        <w:t>The export</w:t>
      </w:r>
      <w:r w:rsidR="00256B52">
        <w:t>s of the Solent-based Maritime S</w:t>
      </w:r>
      <w:r>
        <w:t>ector (</w:t>
      </w:r>
      <w:r w:rsidR="001F48B2">
        <w:t xml:space="preserve">i.e. </w:t>
      </w:r>
      <w:r>
        <w:t>excluding Portsmou</w:t>
      </w:r>
      <w:r w:rsidR="005A72F4">
        <w:t>th Naval Base) accounted for 12.3</w:t>
      </w:r>
      <w:r>
        <w:t xml:space="preserve">% of the exports </w:t>
      </w:r>
      <w:r w:rsidR="008C0C0C">
        <w:t xml:space="preserve">from the </w:t>
      </w:r>
      <w:r>
        <w:t>UK Ma</w:t>
      </w:r>
      <w:r w:rsidR="005A72F4">
        <w:t>ritime sector as a whole in 2017</w:t>
      </w:r>
      <w:r>
        <w:t xml:space="preserve">. This compares favourably with </w:t>
      </w:r>
      <w:r w:rsidR="001F48B2">
        <w:t>the</w:t>
      </w:r>
      <w:r w:rsidR="005A72F4">
        <w:t xml:space="preserve"> 8.1</w:t>
      </w:r>
      <w:r>
        <w:t xml:space="preserve">% </w:t>
      </w:r>
      <w:r w:rsidR="001F48B2">
        <w:t xml:space="preserve">estimated </w:t>
      </w:r>
      <w:r>
        <w:t>share in 2010.</w:t>
      </w:r>
    </w:p>
    <w:p w14:paraId="14DA94FB" w14:textId="77777777" w:rsidR="00D32CB2" w:rsidRDefault="00D32CB2" w:rsidP="00BF0F80">
      <w:pPr>
        <w:spacing w:before="60" w:after="0"/>
      </w:pPr>
    </w:p>
    <w:p w14:paraId="20920AEC" w14:textId="77777777" w:rsidR="00D32CB2" w:rsidRDefault="00D32CB2" w:rsidP="00BF0F80">
      <w:pPr>
        <w:spacing w:before="60" w:after="0"/>
      </w:pPr>
    </w:p>
    <w:p w14:paraId="1DB9B9E2" w14:textId="77777777" w:rsidR="00D32CB2" w:rsidRDefault="00D32CB2" w:rsidP="00BF0F80">
      <w:pPr>
        <w:spacing w:before="60" w:after="0"/>
      </w:pPr>
    </w:p>
    <w:p w14:paraId="791CC4C7" w14:textId="17D3EC80" w:rsidR="00291A61" w:rsidRDefault="00ED6C32" w:rsidP="00291A61">
      <w:pPr>
        <w:pStyle w:val="Heading1"/>
      </w:pPr>
      <w:bookmarkStart w:id="103" w:name="_Toc485302015"/>
      <w:bookmarkStart w:id="104" w:name="_Ref499880231"/>
      <w:bookmarkStart w:id="105" w:name="_Ref499880799"/>
      <w:bookmarkStart w:id="106" w:name="_Toc20139750"/>
      <w:r>
        <w:lastRenderedPageBreak/>
        <w:t>The wider</w:t>
      </w:r>
      <w:r w:rsidR="00291A61">
        <w:t xml:space="preserve"> </w:t>
      </w:r>
      <w:r>
        <w:t>impact</w:t>
      </w:r>
      <w:r w:rsidR="00291A61">
        <w:t xml:space="preserve"> of the </w:t>
      </w:r>
      <w:bookmarkEnd w:id="103"/>
      <w:r w:rsidR="00291A61">
        <w:t xml:space="preserve">Solent-based Maritime </w:t>
      </w:r>
      <w:r w:rsidR="00896479">
        <w:t>S</w:t>
      </w:r>
      <w:r w:rsidR="008C0685">
        <w:t>ector</w:t>
      </w:r>
      <w:r w:rsidR="00DA5ACB">
        <w:t xml:space="preserve"> and Portsmouth Naval Base</w:t>
      </w:r>
      <w:bookmarkEnd w:id="104"/>
      <w:bookmarkEnd w:id="105"/>
      <w:bookmarkEnd w:id="106"/>
    </w:p>
    <w:p w14:paraId="5FB5F08A" w14:textId="0FE34E5C" w:rsidR="00291A61" w:rsidRDefault="00291A61" w:rsidP="00291A61">
      <w:r>
        <w:t xml:space="preserve">This </w:t>
      </w:r>
      <w:r w:rsidR="00F41A06">
        <w:t xml:space="preserve">final </w:t>
      </w:r>
      <w:r>
        <w:t>section</w:t>
      </w:r>
      <w:r w:rsidR="00F41A06">
        <w:t xml:space="preserve"> of the report</w:t>
      </w:r>
      <w:r>
        <w:t xml:space="preserve"> sets out the wider economic impacts of the Maritime </w:t>
      </w:r>
      <w:r w:rsidR="00814D6E">
        <w:t xml:space="preserve">sector </w:t>
      </w:r>
      <w:r w:rsidR="00F41A06">
        <w:t xml:space="preserve">and Portsmouth Naval Base </w:t>
      </w:r>
      <w:r>
        <w:t xml:space="preserve">within the Solent LEP region, by taking into account the indirect (or supply chain) and induced (employee spending) impacts that arise from the activities of firms </w:t>
      </w:r>
      <w:r w:rsidR="00FB0F9F">
        <w:t xml:space="preserve">operating </w:t>
      </w:r>
      <w:r>
        <w:t xml:space="preserve">within the </w:t>
      </w:r>
      <w:r w:rsidR="00FB0F9F">
        <w:t>sector</w:t>
      </w:r>
      <w:r>
        <w:t>.</w:t>
      </w:r>
    </w:p>
    <w:p w14:paraId="61D9CDD9" w14:textId="11668F84" w:rsidR="00291A61" w:rsidRDefault="00564E87" w:rsidP="00291A61">
      <w:pPr>
        <w:pStyle w:val="Heading2"/>
      </w:pPr>
      <w:bookmarkStart w:id="107" w:name="_Toc485302016"/>
      <w:bookmarkStart w:id="108" w:name="_Toc20139751"/>
      <w:r>
        <w:t xml:space="preserve">The wider economic </w:t>
      </w:r>
      <w:r w:rsidR="00291A61">
        <w:t>impacts</w:t>
      </w:r>
      <w:bookmarkEnd w:id="107"/>
      <w:r>
        <w:t xml:space="preserve"> through GVA</w:t>
      </w:r>
      <w:bookmarkEnd w:id="108"/>
    </w:p>
    <w:p w14:paraId="7BBAF75D" w14:textId="7425BF71" w:rsidR="009E3BB1" w:rsidRDefault="003B082C" w:rsidP="007B5565">
      <w:r>
        <w:fldChar w:fldCharType="begin"/>
      </w:r>
      <w:r>
        <w:instrText xml:space="preserve"> REF _Ref499907613 \h </w:instrText>
      </w:r>
      <w:r>
        <w:fldChar w:fldCharType="separate"/>
      </w:r>
      <w:r w:rsidR="00D17FEA">
        <w:t xml:space="preserve">Figure </w:t>
      </w:r>
      <w:r w:rsidR="00D17FEA">
        <w:rPr>
          <w:noProof/>
        </w:rPr>
        <w:t>20</w:t>
      </w:r>
      <w:r>
        <w:fldChar w:fldCharType="end"/>
      </w:r>
      <w:r>
        <w:t xml:space="preserve"> </w:t>
      </w:r>
      <w:r w:rsidR="00291A61">
        <w:t xml:space="preserve">below illustrates the GVA multipliers for the Solent-based Maritime </w:t>
      </w:r>
      <w:r w:rsidR="00896479">
        <w:t>S</w:t>
      </w:r>
      <w:r w:rsidR="00936F3E">
        <w:t>ector</w:t>
      </w:r>
      <w:r w:rsidR="00564E87">
        <w:t>, disaggregated by industry,</w:t>
      </w:r>
      <w:r w:rsidR="00E31A52">
        <w:t xml:space="preserve"> and Portsmouth Naval Base</w:t>
      </w:r>
      <w:r w:rsidR="00291A61">
        <w:t xml:space="preserve">. </w:t>
      </w:r>
      <w:r w:rsidR="009E3BB1">
        <w:t xml:space="preserve">These estimates have been generated from </w:t>
      </w:r>
      <w:proofErr w:type="spellStart"/>
      <w:r w:rsidR="009E3BB1">
        <w:t>Cebr’s</w:t>
      </w:r>
      <w:proofErr w:type="spellEnd"/>
      <w:r w:rsidR="009E3BB1">
        <w:t xml:space="preserve"> regional economic impact model for the Solent LEP region.</w:t>
      </w:r>
    </w:p>
    <w:p w14:paraId="5207D30F" w14:textId="0E3EE27C" w:rsidR="00575BDB" w:rsidRDefault="00575BDB" w:rsidP="007B5565">
      <w:r>
        <w:t xml:space="preserve">Collectively, the five Solent-based Maritime industries and Portsmouth Naval Base directly contributed £2.1 billion towards the Solent’s GDP in 2017; whereas £2.2 billion worth of GVA is </w:t>
      </w:r>
      <w:r w:rsidR="003A459B">
        <w:t>supported</w:t>
      </w:r>
      <w:r>
        <w:t xml:space="preserve"> in the supply chains and £1.4 billion worth of GVA in the wider economy when direct and indirect (supply chain) employees spend their earnings. Once the indirect and induced economic channels are taken into consideration the industries </w:t>
      </w:r>
      <w:r w:rsidR="00A73109">
        <w:t>supported</w:t>
      </w:r>
      <w:r>
        <w:t xml:space="preserve"> approximately £5.7 billion to the local economy.</w:t>
      </w:r>
    </w:p>
    <w:p w14:paraId="4EB09C73" w14:textId="4066F0F2" w:rsidR="00291A61" w:rsidRDefault="00575BDB" w:rsidP="003B082C">
      <w:pPr>
        <w:spacing w:after="120"/>
      </w:pPr>
      <w:r w:rsidRPr="00575BDB">
        <w:rPr>
          <w:b/>
        </w:rPr>
        <w:t>Alternatively, this can be interpreted as</w:t>
      </w:r>
      <w:r w:rsidR="00291A61" w:rsidRPr="00575BDB">
        <w:rPr>
          <w:b/>
        </w:rPr>
        <w:t xml:space="preserve"> fo</w:t>
      </w:r>
      <w:r w:rsidR="00291A61" w:rsidRPr="00E31A52">
        <w:rPr>
          <w:b/>
        </w:rPr>
        <w:t xml:space="preserve">r every £1 of </w:t>
      </w:r>
      <w:r w:rsidR="000B472F">
        <w:rPr>
          <w:b/>
        </w:rPr>
        <w:t>GVA initially generated</w:t>
      </w:r>
      <w:r w:rsidR="00E31A52" w:rsidRPr="00E31A52">
        <w:rPr>
          <w:b/>
        </w:rPr>
        <w:t xml:space="preserve"> by </w:t>
      </w:r>
      <w:r w:rsidR="006963EE">
        <w:rPr>
          <w:b/>
        </w:rPr>
        <w:t>these entities</w:t>
      </w:r>
      <w:r w:rsidR="00907B6E">
        <w:rPr>
          <w:b/>
        </w:rPr>
        <w:t xml:space="preserve"> in 2017</w:t>
      </w:r>
      <w:r w:rsidR="00291A61" w:rsidRPr="00E31A52">
        <w:rPr>
          <w:b/>
        </w:rPr>
        <w:t xml:space="preserve">, </w:t>
      </w:r>
      <w:r w:rsidR="00A73109">
        <w:rPr>
          <w:b/>
        </w:rPr>
        <w:t xml:space="preserve">a total of £2.71 in </w:t>
      </w:r>
      <w:r w:rsidR="000B472F">
        <w:rPr>
          <w:b/>
        </w:rPr>
        <w:t>GVA is contributed</w:t>
      </w:r>
      <w:r w:rsidR="00B43C18">
        <w:rPr>
          <w:b/>
        </w:rPr>
        <w:t xml:space="preserve"> across the Solent LEP as a whole</w:t>
      </w:r>
      <w:r w:rsidR="00291A61" w:rsidRPr="00E31A52">
        <w:rPr>
          <w:b/>
        </w:rPr>
        <w:t>.</w:t>
      </w:r>
    </w:p>
    <w:bookmarkStart w:id="109" w:name="_Ref499907613"/>
    <w:p w14:paraId="686ED6BE" w14:textId="1A8B467D" w:rsidR="003B082C" w:rsidRDefault="00B16126" w:rsidP="003B082C">
      <w:pPr>
        <w:pStyle w:val="Caption"/>
        <w:keepNext/>
      </w:pPr>
      <w:r w:rsidRPr="002C5486">
        <w:rPr>
          <w:noProof/>
          <w:color w:val="404040" w:themeColor="text1" w:themeTint="BF"/>
          <w:lang w:eastAsia="en-GB"/>
        </w:rPr>
        <mc:AlternateContent>
          <mc:Choice Requires="wpg">
            <w:drawing>
              <wp:anchor distT="0" distB="0" distL="114300" distR="114300" simplePos="0" relativeHeight="251660288" behindDoc="0" locked="0" layoutInCell="1" allowOverlap="1" wp14:anchorId="69FFC36B" wp14:editId="5F508BDD">
                <wp:simplePos x="0" y="0"/>
                <wp:positionH relativeFrom="margin">
                  <wp:posOffset>3809</wp:posOffset>
                </wp:positionH>
                <wp:positionV relativeFrom="paragraph">
                  <wp:posOffset>196851</wp:posOffset>
                </wp:positionV>
                <wp:extent cx="6042025" cy="2222500"/>
                <wp:effectExtent l="0" t="0" r="0" b="6350"/>
                <wp:wrapNone/>
                <wp:docPr id="8" name="Group 3"/>
                <wp:cNvGraphicFramePr/>
                <a:graphic xmlns:a="http://schemas.openxmlformats.org/drawingml/2006/main">
                  <a:graphicData uri="http://schemas.microsoft.com/office/word/2010/wordprocessingGroup">
                    <wpg:wgp>
                      <wpg:cNvGrpSpPr/>
                      <wpg:grpSpPr>
                        <a:xfrm>
                          <a:off x="0" y="0"/>
                          <a:ext cx="6042025" cy="2222500"/>
                          <a:chOff x="0" y="0"/>
                          <a:chExt cx="6508545" cy="1930620"/>
                        </a:xfrm>
                      </wpg:grpSpPr>
                      <wps:wsp>
                        <wps:cNvPr id="10" name="Down Arrow 10"/>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2495" y="1584320"/>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322B7" w14:textId="77777777" w:rsidR="00D17FEA" w:rsidRDefault="00D17FEA" w:rsidP="002C5486">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£5.8bn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3D909" w14:textId="77777777" w:rsidR="00D17FEA" w:rsidRDefault="00D17FEA" w:rsidP="002C5486">
                              <w:pPr>
                                <w:pStyle w:val="NormalWeb"/>
                                <w:spacing w:before="0" w:beforeAutospacing="0" w:after="0" w:afterAutospacing="0"/>
                                <w:jc w:val="center"/>
                                <w:rPr>
                                  <w:rFonts w:asciiTheme="minorHAnsi" w:hAnsi="+mn-ea" w:cstheme="minorBidi"/>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w:t>
                              </w:r>
                            </w:p>
                            <w:p w14:paraId="5EEFAC58" w14:textId="2589E6D8" w:rsidR="00D17FEA" w:rsidRDefault="00D17FEA" w:rsidP="002C5486">
                              <w:pPr>
                                <w:pStyle w:val="NormalWeb"/>
                                <w:spacing w:before="0" w:beforeAutospacing="0" w:after="0" w:afterAutospacing="0"/>
                                <w:jc w:val="center"/>
                              </w:pPr>
                              <w:r>
                                <w:rPr>
                                  <w:rFonts w:asciiTheme="minorHAnsi" w:hAnsi="+mn-ea" w:cstheme="minorBidi"/>
                                  <w:b/>
                                  <w:bCs/>
                                  <w:color w:val="FFFFFF" w:themeColor="background1"/>
                                  <w:kern w:val="24"/>
                                  <w:sz w:val="26"/>
                                  <w:szCs w:val="26"/>
                                </w:rPr>
                                <w:t xml:space="preserve"> </w:t>
                              </w:r>
                            </w:p>
                            <w:p w14:paraId="2BB39C96" w14:textId="77777777" w:rsidR="00D17FEA" w:rsidRDefault="00D17FEA" w:rsidP="002C5486">
                              <w:pPr>
                                <w:pStyle w:val="NormalWeb"/>
                                <w:spacing w:before="0" w:beforeAutospacing="0" w:after="0" w:afterAutospacing="0"/>
                                <w:jc w:val="center"/>
                              </w:pPr>
                              <w:r>
                                <w:rPr>
                                  <w:rFonts w:asciiTheme="minorHAnsi" w:hAnsi="Calibri" w:cstheme="minorBidi"/>
                                  <w:color w:val="FFFFFF" w:themeColor="background1"/>
                                  <w:kern w:val="24"/>
                                  <w:sz w:val="48"/>
                                  <w:szCs w:val="48"/>
                                </w:rPr>
                                <w:t>£2.1bn</w:t>
                              </w:r>
                            </w:p>
                          </w:txbxContent>
                        </wps:txbx>
                        <wps:bodyPr rtlCol="0" anchor="t" anchorCtr="0"/>
                      </wps:wsp>
                      <wps:wsp>
                        <wps:cNvPr id="33" name="Rounded Rectangle 33"/>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12E2B" w14:textId="77777777" w:rsidR="00D17FEA" w:rsidRDefault="00D17FEA" w:rsidP="002C5486">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rPr>
                                <w:t>)</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£2.2bn</w:t>
                              </w:r>
                            </w:p>
                          </w:txbxContent>
                        </wps:txbx>
                        <wps:bodyPr rtlCol="0" anchor="t" anchorCtr="0"/>
                      </wps:wsp>
                      <wps:wsp>
                        <wps:cNvPr id="34" name="Rounded Rectangle 34"/>
                        <wps:cNvSpPr/>
                        <wps:spPr>
                          <a:xfrm>
                            <a:off x="4648616" y="466961"/>
                            <a:ext cx="1584176" cy="96026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1A95DE" w14:textId="4B1EE962" w:rsidR="00D17FEA" w:rsidRDefault="00D17FEA" w:rsidP="002C5486">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 </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rPr>
                                <w:t>)</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£1.4bn</w:t>
                              </w:r>
                            </w:p>
                          </w:txbxContent>
                        </wps:txbx>
                        <wps:bodyPr rtlCol="0" anchor="t" anchorCtr="0"/>
                      </wps:wsp>
                      <wps:wsp>
                        <wps:cNvPr id="35" name="Rectangle 35"/>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427890" w14:textId="77777777" w:rsidR="00D17FEA" w:rsidRDefault="00D17FEA" w:rsidP="002C5486">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Gross Value Added (GVA)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FC36B" id="Group 3" o:spid="_x0000_s1026" style="position:absolute;margin-left:.3pt;margin-top:15.5pt;width:475.75pt;height:175pt;z-index:251660288;mso-position-horizontal-relative:margin;mso-width-relative:margin;mso-height-relative:margin"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7"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YZsEA&#10;AADbAAAADwAAAGRycy9kb3ducmV2LnhtbESPQW/CMAyF75P4D5GRdhspSBujEBBMmrTrYJfdvMa0&#10;FbVTNQHCv58PSNxsvef3Pq82mTtzoSG2QRxMJwUYkir4VmoHP4fPl3cwMaF47IKQgxtF2KxHTyss&#10;fbjKN132qTYaIrFEB01KfWltrBpijJPQk6h2DANj0nWorR/wquHc2VlRvFnGVrShwZ4+GqpO+zM7&#10;kAVzjotA/W983bV8+8u77dy553HeLsEkyulhvl9/ecVXev1FB7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bWGbBAAAA2wAAAA8AAAAAAAAAAAAAAAAAmAIAAGRycy9kb3du&#10;cmV2LnhtbFBLBQYAAAAABAAEAPUAAACGAwAAAAA=&#10;" adj="10800" fillcolor="#c4c4c6 [1302]" stroked="f" strokeweight="2pt"/>
                <v:shape id="Down Arrow 20" o:spid="_x0000_s1028"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270A&#10;AADbAAAADwAAAGRycy9kb3ducmV2LnhtbERPS4vCMBC+C/sfwix403QFdVuNooLg1cdlb7PNbFvs&#10;TEqT1fjvzUHw+PG9l+vIrbpR7xsnBr7GGSiS0tlGKgOX8370DcoHFIutEzLwIA/r1cdgiYV1dznS&#10;7RQqlULEF2igDqErtPZlTYx+7DqSxP25njEk2Ffa9nhP4dzqSZbNNGMjqaHGjnY1ldfTPxuQnDn6&#10;3FH346fbhh+/cbuZGzP8jJsFqEAxvMUv98EamKT16Uv6AXr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eS270AAADbAAAADwAAAAAAAAAAAAAAAACYAgAAZHJzL2Rvd25yZXYu&#10;eG1sUEsFBgAAAAAEAAQA9QAAAIIDAAAAAA==&#10;" adj="10800" fillcolor="#c4c4c6 [1302]" stroked="f" strokeweight="2pt"/>
                <v:rect id="Rectangle 26" o:spid="_x0000_s1029"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dwcEA&#10;AADbAAAADwAAAGRycy9kb3ducmV2LnhtbESPQWvCQBSE7wX/w/IEb3WjkFBSVwkBwR5Nm54f2WcS&#10;3H0bsqtJ/fVuodDjMDPfMLvDbI240+h7xwo26wQEceN0z62Cr8/j6xsIH5A1Gsek4Ic8HPaLlx3m&#10;2k18pnsVWhEh7HNU0IUw5FL6piOLfu0G4uhd3GgxRDm2Uo84Rbg1cpskmbTYc1zocKCyo+Za3ayC&#10;lOkjDdXDlHVRXG7Y1OW3N0qtlnPxDiLQHP7Df+2TVrDN4Pd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rncHBAAAA2wAAAA8AAAAAAAAAAAAAAAAAmAIAAGRycy9kb3du&#10;cmV2LnhtbFBLBQYAAAAABAAEAPUAAACGAwAAAAA=&#10;" fillcolor="#6d6e71 [3206]" stroked="f" strokeweight="2pt">
                  <v:textbox>
                    <w:txbxContent>
                      <w:p w14:paraId="038322B7" w14:textId="77777777" w:rsidR="00D17FEA" w:rsidRDefault="00D17FEA" w:rsidP="002C5486">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£5.8bn</w:t>
                        </w:r>
                      </w:p>
                    </w:txbxContent>
                  </v:textbox>
                </v:rect>
                <v:roundrect id="Rounded Rectangle 31" o:spid="_x0000_s1030"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YCsMA&#10;AADbAAAADwAAAGRycy9kb3ducmV2LnhtbESPzWrDMBCE74G+g9hALyGWU0MwbpQQCqG91u0DbKz1&#10;Ty2tjKXaTp++KhRyHGbmG+ZwWqwRE42+c6xgl6QgiCunO24UfH5ctjkIH5A1Gsek4EYeTseH1QEL&#10;7WZ+p6kMjYgQ9gUqaEMYCil91ZJFn7iBOHq1Gy2GKMdG6hHnCLdGPqXpXlrsOC60ONBLS1VfflsF&#10;P3jJ6pt5HbrrtOmdmfP5q6+Uelwv52cQgZZwD/+337SCbAd/X+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VYCsMAAADbAAAADwAAAAAAAAAAAAAAAACYAgAAZHJzL2Rv&#10;d25yZXYueG1sUEsFBgAAAAAEAAQA9QAAAIgDAAAAAA==&#10;" fillcolor="#008c9b [3204]" stroked="f" strokeweight="2pt">
                  <v:textbox>
                    <w:txbxContent>
                      <w:p w14:paraId="2463D909" w14:textId="77777777" w:rsidR="00D17FEA" w:rsidRDefault="00D17FEA" w:rsidP="002C5486">
                        <w:pPr>
                          <w:pStyle w:val="NormalWeb"/>
                          <w:spacing w:before="0" w:beforeAutospacing="0" w:after="0" w:afterAutospacing="0"/>
                          <w:jc w:val="center"/>
                          <w:rPr>
                            <w:rFonts w:asciiTheme="minorHAnsi" w:hAnsi="+mn-ea" w:cstheme="minorBidi"/>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w:t>
                        </w:r>
                      </w:p>
                      <w:p w14:paraId="5EEFAC58" w14:textId="2589E6D8" w:rsidR="00D17FEA" w:rsidRDefault="00D17FEA" w:rsidP="002C5486">
                        <w:pPr>
                          <w:pStyle w:val="NormalWeb"/>
                          <w:spacing w:before="0" w:beforeAutospacing="0" w:after="0" w:afterAutospacing="0"/>
                          <w:jc w:val="center"/>
                        </w:pPr>
                        <w:r>
                          <w:rPr>
                            <w:rFonts w:asciiTheme="minorHAnsi" w:hAnsi="+mn-ea" w:cstheme="minorBidi"/>
                            <w:b/>
                            <w:bCs/>
                            <w:color w:val="FFFFFF" w:themeColor="background1"/>
                            <w:kern w:val="24"/>
                            <w:sz w:val="26"/>
                            <w:szCs w:val="26"/>
                          </w:rPr>
                          <w:t xml:space="preserve"> </w:t>
                        </w:r>
                      </w:p>
                      <w:p w14:paraId="2BB39C96" w14:textId="77777777" w:rsidR="00D17FEA" w:rsidRDefault="00D17FEA" w:rsidP="002C5486">
                        <w:pPr>
                          <w:pStyle w:val="NormalWeb"/>
                          <w:spacing w:before="0" w:beforeAutospacing="0" w:after="0" w:afterAutospacing="0"/>
                          <w:jc w:val="center"/>
                        </w:pPr>
                        <w:r>
                          <w:rPr>
                            <w:rFonts w:asciiTheme="minorHAnsi" w:hAnsi="Calibri" w:cstheme="minorBidi"/>
                            <w:color w:val="FFFFFF" w:themeColor="background1"/>
                            <w:kern w:val="24"/>
                            <w:sz w:val="48"/>
                            <w:szCs w:val="48"/>
                          </w:rPr>
                          <w:t>£2.1bn</w:t>
                        </w:r>
                      </w:p>
                    </w:txbxContent>
                  </v:textbox>
                </v:roundrect>
                <v:roundrect id="Rounded Rectangle 33" o:spid="_x0000_s1031"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tMEA&#10;AADbAAAADwAAAGRycy9kb3ducmV2LnhtbESPQYvCMBSE74L/ITzBm6ZrRbRrFBEXvLhg1fujeduW&#10;bV5qktX6782C4HGYmW+Y5bozjbiR87VlBR/jBARxYXXNpYLz6Ws0B+EDssbGMil4kIf1qt9bYqbt&#10;nY90y0MpIoR9hgqqENpMSl9UZNCPbUscvR/rDIYoXSm1w3uEm0ZOkmQmDdYcFypsaVtR8Zv/GQVJ&#10;u7H++zFN09PucgjXqXb1Qis1HHSbTxCBuvAOv9p7rSBN4f9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v7TBAAAA2wAAAA8AAAAAAAAAAAAAAAAAmAIAAGRycy9kb3du&#10;cmV2LnhtbFBLBQYAAAAABAAEAPUAAACGAwAAAAA=&#10;" fillcolor="#0070c0" stroked="f" strokeweight="2pt">
                  <v:textbox>
                    <w:txbxContent>
                      <w:p w14:paraId="03A12E2B" w14:textId="77777777" w:rsidR="00D17FEA" w:rsidRDefault="00D17FEA" w:rsidP="002C5486">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proofErr w:type="gramStart"/>
                        <w:r>
                          <w:rPr>
                            <w:rFonts w:asciiTheme="minorHAnsi" w:hAnsi="Calibri" w:cstheme="minorBidi"/>
                            <w:b/>
                            <w:bCs/>
                            <w:color w:val="FFFFFF" w:themeColor="background1"/>
                            <w:kern w:val="24"/>
                          </w:rPr>
                          <w:t>)</w:t>
                        </w:r>
                        <w:proofErr w:type="gramEnd"/>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£2.2bn</w:t>
                        </w:r>
                      </w:p>
                    </w:txbxContent>
                  </v:textbox>
                </v:roundrect>
                <v:roundrect id="Rounded Rectangle 34" o:spid="_x0000_s1032" style="position:absolute;left:46486;top:4669;width:15841;height:96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Qb8UA&#10;AADbAAAADwAAAGRycy9kb3ducmV2LnhtbESPQWvCQBSE7wX/w/KEXopuUq2E6BpKQSj10sbm/sw+&#10;k2D2bZrdavTXuwWhx2FmvmFW2WBacaLeNZYVxNMIBHFpdcOVgu/dZpKAcB5ZY2uZFFzIQbYePaww&#10;1fbMX3TKfSUChF2KCmrvu1RKV9Zk0E1tRxy8g+0N+iD7SuoezwFuWvkcRQtpsOGwUGNHbzWVx/zX&#10;KGg+FnbzNPvZ7ZOCP3O5ja8vx0Kpx/HwugThafD/4Xv7XSuYzeH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09BvxQAAANsAAAAPAAAAAAAAAAAAAAAAAJgCAABkcnMv&#10;ZG93bnJldi54bWxQSwUGAAAAAAQABAD1AAAAigMAAAAA&#10;" fillcolor="#7030a0" stroked="f" strokeweight="2pt">
                  <v:textbox>
                    <w:txbxContent>
                      <w:p w14:paraId="711A95DE" w14:textId="4B1EE962" w:rsidR="00D17FEA" w:rsidRDefault="00D17FEA" w:rsidP="002C5486">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 </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proofErr w:type="gramStart"/>
                        <w:r>
                          <w:rPr>
                            <w:rFonts w:asciiTheme="minorHAnsi" w:hAnsi="Calibri" w:cstheme="minorBidi"/>
                            <w:b/>
                            <w:bCs/>
                            <w:color w:val="FFFFFF" w:themeColor="background1"/>
                            <w:kern w:val="24"/>
                          </w:rPr>
                          <w:t>)</w:t>
                        </w:r>
                        <w:proofErr w:type="gramEnd"/>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£1.4bn</w:t>
                        </w:r>
                      </w:p>
                    </w:txbxContent>
                  </v:textbox>
                </v:roundrect>
                <v:rect id="Rectangle 35" o:spid="_x0000_s1033"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a8EA&#10;AADbAAAADwAAAGRycy9kb3ducmV2LnhtbESPT4vCMBTE7wt+h/AEb2u6Spela5RSEPRo/XN+NM+2&#10;bPJSmqjVT28EYY/DzPyGWawGa8SVet86VvA1TUAQV063XCs47NefPyB8QNZoHJOCO3lYLUcfC8y0&#10;u/GOrmWoRYSwz1BBE0KXSemrhiz6qeuIo3d2vcUQZV9L3eMtwq2RsyT5lhZbjgsNdlQ0VP2VF6sg&#10;ZdqmoXyY4pjn5wtWx+LkjVKT8ZD/ggg0hP/wu73RCuYpvL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glWvBAAAA2wAAAA8AAAAAAAAAAAAAAAAAmAIAAGRycy9kb3du&#10;cmV2LnhtbFBLBQYAAAAABAAEAPUAAACGAwAAAAA=&#10;" fillcolor="#6d6e71 [3206]" stroked="f" strokeweight="2pt">
                  <v:textbox>
                    <w:txbxContent>
                      <w:p w14:paraId="6E427890" w14:textId="77777777" w:rsidR="00D17FEA" w:rsidRDefault="00D17FEA" w:rsidP="002C5486">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Gross Value Added (GVA)</w:t>
                        </w:r>
                      </w:p>
                    </w:txbxContent>
                  </v:textbox>
                </v:rect>
                <w10:wrap anchorx="margin"/>
              </v:group>
            </w:pict>
          </mc:Fallback>
        </mc:AlternateContent>
      </w:r>
      <w:r w:rsidR="003B082C">
        <w:t xml:space="preserve">Figure </w:t>
      </w:r>
      <w:r w:rsidR="00F604FD">
        <w:rPr>
          <w:noProof/>
        </w:rPr>
        <w:fldChar w:fldCharType="begin"/>
      </w:r>
      <w:r w:rsidR="00F604FD">
        <w:rPr>
          <w:noProof/>
        </w:rPr>
        <w:instrText xml:space="preserve"> SEQ Figure \* ARABIC </w:instrText>
      </w:r>
      <w:r w:rsidR="00F604FD">
        <w:rPr>
          <w:noProof/>
        </w:rPr>
        <w:fldChar w:fldCharType="separate"/>
      </w:r>
      <w:r w:rsidR="00D17FEA">
        <w:rPr>
          <w:noProof/>
        </w:rPr>
        <w:t>20</w:t>
      </w:r>
      <w:r w:rsidR="00F604FD">
        <w:rPr>
          <w:noProof/>
        </w:rPr>
        <w:fldChar w:fldCharType="end"/>
      </w:r>
      <w:bookmarkEnd w:id="109"/>
      <w:r w:rsidR="003B082C">
        <w:t xml:space="preserve">: </w:t>
      </w:r>
      <w:r w:rsidR="003B082C" w:rsidRPr="003A247B">
        <w:t>GVA multiplier impacts of the Solent-based Maritime sector</w:t>
      </w:r>
      <w:r w:rsidR="00907B6E">
        <w:t xml:space="preserve"> and Portsmouth Naval Base, 2017</w:t>
      </w:r>
    </w:p>
    <w:p w14:paraId="32B36812" w14:textId="25A8CF10" w:rsidR="002E0525" w:rsidRDefault="002E0525" w:rsidP="002E0525">
      <w:pPr>
        <w:spacing w:before="60" w:after="120"/>
        <w:rPr>
          <w:rStyle w:val="SubtleEmphasis"/>
          <w:iCs w:val="0"/>
          <w:sz w:val="18"/>
        </w:rPr>
      </w:pPr>
    </w:p>
    <w:p w14:paraId="50ADB585" w14:textId="22CEF40E" w:rsidR="002C5486" w:rsidRDefault="002C5486" w:rsidP="002E0525">
      <w:pPr>
        <w:spacing w:before="60" w:after="120"/>
        <w:rPr>
          <w:rStyle w:val="SubtleEmphasis"/>
          <w:iCs w:val="0"/>
          <w:sz w:val="18"/>
        </w:rPr>
      </w:pPr>
    </w:p>
    <w:p w14:paraId="00CA92B8" w14:textId="77777777" w:rsidR="002C5486" w:rsidRDefault="002C5486" w:rsidP="002E0525">
      <w:pPr>
        <w:spacing w:before="60" w:after="120"/>
        <w:rPr>
          <w:rStyle w:val="SubtleEmphasis"/>
          <w:iCs w:val="0"/>
          <w:sz w:val="18"/>
        </w:rPr>
      </w:pPr>
    </w:p>
    <w:p w14:paraId="68DC2BC4" w14:textId="77777777" w:rsidR="002C5486" w:rsidRDefault="002C5486" w:rsidP="002E0525">
      <w:pPr>
        <w:spacing w:before="60" w:after="120"/>
        <w:rPr>
          <w:rStyle w:val="SubtleEmphasis"/>
          <w:iCs w:val="0"/>
          <w:sz w:val="18"/>
        </w:rPr>
      </w:pPr>
    </w:p>
    <w:p w14:paraId="5DCFC60B" w14:textId="77777777" w:rsidR="002C5486" w:rsidRDefault="002C5486" w:rsidP="002E0525">
      <w:pPr>
        <w:spacing w:before="60" w:after="120"/>
        <w:rPr>
          <w:rStyle w:val="SubtleEmphasis"/>
          <w:iCs w:val="0"/>
          <w:sz w:val="18"/>
        </w:rPr>
      </w:pPr>
    </w:p>
    <w:p w14:paraId="48A55901" w14:textId="77777777" w:rsidR="002C5486" w:rsidRDefault="002C5486" w:rsidP="002E0525">
      <w:pPr>
        <w:spacing w:before="60" w:after="120"/>
        <w:rPr>
          <w:rStyle w:val="SubtleEmphasis"/>
          <w:iCs w:val="0"/>
          <w:sz w:val="18"/>
        </w:rPr>
      </w:pPr>
    </w:p>
    <w:p w14:paraId="490EC381" w14:textId="77777777" w:rsidR="002C5486" w:rsidRDefault="002C5486" w:rsidP="002E0525">
      <w:pPr>
        <w:spacing w:before="60" w:after="120"/>
        <w:rPr>
          <w:rStyle w:val="SubtleEmphasis"/>
          <w:iCs w:val="0"/>
          <w:sz w:val="18"/>
        </w:rPr>
      </w:pPr>
    </w:p>
    <w:p w14:paraId="361E1779" w14:textId="77777777" w:rsidR="002C5486" w:rsidRDefault="002C5486" w:rsidP="002E0525">
      <w:pPr>
        <w:spacing w:before="60" w:after="120"/>
        <w:rPr>
          <w:rStyle w:val="SubtleEmphasis"/>
          <w:iCs w:val="0"/>
          <w:sz w:val="18"/>
        </w:rPr>
      </w:pPr>
    </w:p>
    <w:p w14:paraId="6A813072" w14:textId="77777777" w:rsidR="002C5486" w:rsidRDefault="002C5486" w:rsidP="002E0525">
      <w:pPr>
        <w:spacing w:before="60" w:after="120"/>
        <w:rPr>
          <w:rStyle w:val="SubtleEmphasis"/>
          <w:iCs w:val="0"/>
          <w:sz w:val="18"/>
        </w:rPr>
      </w:pPr>
    </w:p>
    <w:p w14:paraId="2BAF4815" w14:textId="77777777" w:rsidR="002C5486" w:rsidRDefault="002C5486" w:rsidP="00A74D2A">
      <w:pPr>
        <w:spacing w:before="60" w:after="120"/>
        <w:rPr>
          <w:rStyle w:val="SubtleEmphasis"/>
          <w:iCs w:val="0"/>
          <w:sz w:val="18"/>
        </w:rPr>
      </w:pPr>
    </w:p>
    <w:p w14:paraId="1E2EDD19" w14:textId="77777777" w:rsidR="00291A61" w:rsidRPr="00520FF4" w:rsidRDefault="00291A61" w:rsidP="00520FF4">
      <w:pPr>
        <w:spacing w:before="60" w:after="120"/>
        <w:jc w:val="right"/>
        <w:rPr>
          <w:rStyle w:val="SubtleEmphasis"/>
          <w:sz w:val="18"/>
        </w:rPr>
      </w:pPr>
      <w:r w:rsidRPr="00520FF4">
        <w:rPr>
          <w:rStyle w:val="SubtleEmphasis"/>
          <w:iCs w:val="0"/>
          <w:sz w:val="18"/>
        </w:rPr>
        <w:t>Source: ONS, FAME, Cebr analysis</w:t>
      </w:r>
    </w:p>
    <w:p w14:paraId="5D32DDBC" w14:textId="19584361" w:rsidR="002C5486" w:rsidRDefault="003B082C" w:rsidP="003B082C">
      <w:r>
        <w:fldChar w:fldCharType="begin"/>
      </w:r>
      <w:r>
        <w:instrText xml:space="preserve"> REF _Ref499907649 \h </w:instrText>
      </w:r>
      <w:r>
        <w:fldChar w:fldCharType="separate"/>
      </w:r>
      <w:r w:rsidR="00D17FEA">
        <w:t xml:space="preserve">Table </w:t>
      </w:r>
      <w:r w:rsidR="00D17FEA">
        <w:rPr>
          <w:noProof/>
        </w:rPr>
        <w:t>15</w:t>
      </w:r>
      <w:r>
        <w:fldChar w:fldCharType="end"/>
      </w:r>
      <w:r>
        <w:t xml:space="preserve"> </w:t>
      </w:r>
      <w:r w:rsidR="00291A61">
        <w:t>overleaf shows the estimated aggregate GVA impacts from the Solent-based maritime industries</w:t>
      </w:r>
      <w:r w:rsidR="000858D0">
        <w:t xml:space="preserve"> and Portsmouth Naval Base</w:t>
      </w:r>
      <w:r w:rsidR="008911E4">
        <w:t>, taken in isolation</w:t>
      </w:r>
      <w:r w:rsidR="00291A61">
        <w:t>.</w:t>
      </w:r>
      <w:r w:rsidR="00575BDB">
        <w:t xml:space="preserve"> The</w:t>
      </w:r>
      <w:r w:rsidR="00B43C18">
        <w:t xml:space="preserve"> largest total GVA impact came from the </w:t>
      </w:r>
      <w:r w:rsidR="00575BDB">
        <w:t>s</w:t>
      </w:r>
      <w:r w:rsidR="00907B6E">
        <w:t>hipping</w:t>
      </w:r>
      <w:r w:rsidR="00B43C18">
        <w:t xml:space="preserve"> industry, at £2</w:t>
      </w:r>
      <w:r w:rsidR="00907B6E">
        <w:t xml:space="preserve">.8 </w:t>
      </w:r>
      <w:r w:rsidR="00B43C18">
        <w:t>billion. This is followed by Portsmouth Naval base, with a total GVA impact of approximately £1.</w:t>
      </w:r>
      <w:r w:rsidR="00907B6E">
        <w:t>5</w:t>
      </w:r>
      <w:r w:rsidR="00B43C18">
        <w:t xml:space="preserve"> billion.</w:t>
      </w:r>
    </w:p>
    <w:p w14:paraId="3B799590" w14:textId="77777777" w:rsidR="002C5486" w:rsidRDefault="002C5486" w:rsidP="003B082C"/>
    <w:p w14:paraId="0217F7BE" w14:textId="77777777" w:rsidR="002C5486" w:rsidRDefault="002C5486" w:rsidP="003B082C"/>
    <w:p w14:paraId="1E0CFCA0" w14:textId="77777777" w:rsidR="002C5486" w:rsidRDefault="002C5486" w:rsidP="003B082C"/>
    <w:p w14:paraId="5FB8E571" w14:textId="77777777" w:rsidR="002C5486" w:rsidRDefault="002C5486" w:rsidP="003B082C"/>
    <w:p w14:paraId="0371695D" w14:textId="77777777" w:rsidR="00907B6E" w:rsidRDefault="00907B6E" w:rsidP="003B082C"/>
    <w:p w14:paraId="52775035" w14:textId="42245D0C" w:rsidR="00907B6E" w:rsidRDefault="003B082C" w:rsidP="00907B6E">
      <w:pPr>
        <w:pStyle w:val="Caption"/>
        <w:keepNext/>
      </w:pPr>
      <w:bookmarkStart w:id="110" w:name="_Ref499907649"/>
      <w:r>
        <w:lastRenderedPageBreak/>
        <w:t xml:space="preserve">Table </w:t>
      </w:r>
      <w:r w:rsidR="00F604FD">
        <w:rPr>
          <w:noProof/>
        </w:rPr>
        <w:fldChar w:fldCharType="begin"/>
      </w:r>
      <w:r w:rsidR="00F604FD">
        <w:rPr>
          <w:noProof/>
        </w:rPr>
        <w:instrText xml:space="preserve"> SEQ Table \* ARABIC </w:instrText>
      </w:r>
      <w:r w:rsidR="00F604FD">
        <w:rPr>
          <w:noProof/>
        </w:rPr>
        <w:fldChar w:fldCharType="separate"/>
      </w:r>
      <w:r w:rsidR="00D17FEA">
        <w:rPr>
          <w:noProof/>
        </w:rPr>
        <w:t>15</w:t>
      </w:r>
      <w:r w:rsidR="00F604FD">
        <w:rPr>
          <w:noProof/>
        </w:rPr>
        <w:fldChar w:fldCharType="end"/>
      </w:r>
      <w:bookmarkEnd w:id="110"/>
      <w:r>
        <w:t xml:space="preserve">: </w:t>
      </w:r>
      <w:r w:rsidR="00907B6E">
        <w:t>GVA impacts in 2017</w:t>
      </w:r>
      <w:r w:rsidRPr="00CF3066">
        <w:t xml:space="preserve"> disaggregated by industry and Portsmouth Naval Base, £ million</w:t>
      </w:r>
    </w:p>
    <w:tbl>
      <w:tblPr>
        <w:tblW w:w="9470" w:type="dxa"/>
        <w:tblLook w:val="04A0" w:firstRow="1" w:lastRow="0" w:firstColumn="1" w:lastColumn="0" w:noHBand="0" w:noVBand="1"/>
      </w:tblPr>
      <w:tblGrid>
        <w:gridCol w:w="3174"/>
        <w:gridCol w:w="1535"/>
        <w:gridCol w:w="1587"/>
        <w:gridCol w:w="1587"/>
        <w:gridCol w:w="1587"/>
      </w:tblGrid>
      <w:tr w:rsidR="00575BDB" w:rsidRPr="00575BDB" w14:paraId="62BC313B" w14:textId="77777777" w:rsidTr="00575BDB">
        <w:trPr>
          <w:trHeight w:val="487"/>
        </w:trPr>
        <w:tc>
          <w:tcPr>
            <w:tcW w:w="3174" w:type="dxa"/>
            <w:tcBorders>
              <w:top w:val="single" w:sz="8" w:space="0" w:color="FFFFFF"/>
              <w:left w:val="nil"/>
              <w:bottom w:val="single" w:sz="12" w:space="0" w:color="FFFFFF"/>
              <w:right w:val="single" w:sz="8" w:space="0" w:color="FFFFFF"/>
            </w:tcBorders>
            <w:shd w:val="clear" w:color="000000" w:fill="008C9B"/>
            <w:vAlign w:val="center"/>
            <w:hideMark/>
          </w:tcPr>
          <w:p w14:paraId="68CDA650" w14:textId="77777777" w:rsidR="00575BDB" w:rsidRPr="00575BDB" w:rsidRDefault="00575BDB" w:rsidP="00575BDB">
            <w:pPr>
              <w:spacing w:after="0"/>
              <w:rPr>
                <w:rFonts w:ascii="Calibri" w:eastAsia="Times New Roman" w:hAnsi="Calibri"/>
                <w:b/>
                <w:bCs/>
                <w:color w:val="FFFFFF"/>
                <w:sz w:val="20"/>
                <w:lang w:eastAsia="en-GB"/>
              </w:rPr>
            </w:pPr>
            <w:r w:rsidRPr="00575BDB">
              <w:rPr>
                <w:rFonts w:ascii="Calibri" w:eastAsia="Times New Roman" w:hAnsi="Calibri"/>
                <w:b/>
                <w:bCs/>
                <w:color w:val="FFFFFF"/>
                <w:sz w:val="20"/>
                <w:lang w:eastAsia="en-GB"/>
              </w:rPr>
              <w:t>GVA in 2017</w:t>
            </w:r>
          </w:p>
        </w:tc>
        <w:tc>
          <w:tcPr>
            <w:tcW w:w="1535" w:type="dxa"/>
            <w:tcBorders>
              <w:top w:val="single" w:sz="8" w:space="0" w:color="FFFFFF"/>
              <w:left w:val="nil"/>
              <w:bottom w:val="single" w:sz="12" w:space="0" w:color="FFFFFF"/>
              <w:right w:val="single" w:sz="8" w:space="0" w:color="FFFFFF"/>
            </w:tcBorders>
            <w:shd w:val="clear" w:color="000000" w:fill="008C9B"/>
            <w:vAlign w:val="center"/>
            <w:hideMark/>
          </w:tcPr>
          <w:p w14:paraId="34724426" w14:textId="77777777" w:rsidR="00575BDB" w:rsidRPr="00575BDB" w:rsidRDefault="00575BDB" w:rsidP="00575BDB">
            <w:pPr>
              <w:spacing w:after="0"/>
              <w:jc w:val="center"/>
              <w:rPr>
                <w:rFonts w:ascii="Calibri" w:eastAsia="Times New Roman" w:hAnsi="Calibri"/>
                <w:b/>
                <w:bCs/>
                <w:color w:val="FFFFFF"/>
                <w:sz w:val="20"/>
                <w:lang w:eastAsia="en-GB"/>
              </w:rPr>
            </w:pPr>
            <w:r w:rsidRPr="00575BDB">
              <w:rPr>
                <w:rFonts w:ascii="Calibri" w:eastAsia="Times New Roman" w:hAnsi="Calibri"/>
                <w:b/>
                <w:bCs/>
                <w:color w:val="FFFFFF"/>
                <w:sz w:val="20"/>
                <w:lang w:eastAsia="en-GB"/>
              </w:rPr>
              <w:t xml:space="preserve">Direct Impact (£m)    </w:t>
            </w:r>
          </w:p>
        </w:tc>
        <w:tc>
          <w:tcPr>
            <w:tcW w:w="1587" w:type="dxa"/>
            <w:tcBorders>
              <w:top w:val="single" w:sz="8" w:space="0" w:color="FFFFFF"/>
              <w:left w:val="nil"/>
              <w:bottom w:val="single" w:sz="12" w:space="0" w:color="FFFFFF"/>
              <w:right w:val="single" w:sz="8" w:space="0" w:color="FFFFFF"/>
            </w:tcBorders>
            <w:shd w:val="clear" w:color="000000" w:fill="008C9B"/>
            <w:vAlign w:val="center"/>
            <w:hideMark/>
          </w:tcPr>
          <w:p w14:paraId="1EAD2DAA" w14:textId="77777777" w:rsidR="00575BDB" w:rsidRPr="00575BDB" w:rsidRDefault="00575BDB" w:rsidP="00575BDB">
            <w:pPr>
              <w:spacing w:after="0"/>
              <w:jc w:val="center"/>
              <w:rPr>
                <w:rFonts w:ascii="Calibri" w:eastAsia="Times New Roman" w:hAnsi="Calibri"/>
                <w:b/>
                <w:bCs/>
                <w:color w:val="FFFFFF"/>
                <w:sz w:val="20"/>
                <w:lang w:eastAsia="en-GB"/>
              </w:rPr>
            </w:pPr>
            <w:r w:rsidRPr="00575BDB">
              <w:rPr>
                <w:rFonts w:ascii="Calibri" w:eastAsia="Times New Roman" w:hAnsi="Calibri"/>
                <w:b/>
                <w:bCs/>
                <w:color w:val="FFFFFF"/>
                <w:sz w:val="20"/>
                <w:lang w:eastAsia="en-GB"/>
              </w:rPr>
              <w:t xml:space="preserve">Indirect Impact (£m)    </w:t>
            </w:r>
          </w:p>
        </w:tc>
        <w:tc>
          <w:tcPr>
            <w:tcW w:w="1587" w:type="dxa"/>
            <w:tcBorders>
              <w:top w:val="single" w:sz="8" w:space="0" w:color="FFFFFF"/>
              <w:left w:val="nil"/>
              <w:bottom w:val="single" w:sz="12" w:space="0" w:color="FFFFFF"/>
              <w:right w:val="single" w:sz="8" w:space="0" w:color="FFFFFF"/>
            </w:tcBorders>
            <w:shd w:val="clear" w:color="000000" w:fill="008C9B"/>
            <w:vAlign w:val="center"/>
            <w:hideMark/>
          </w:tcPr>
          <w:p w14:paraId="74BD8DA6" w14:textId="77777777" w:rsidR="00575BDB" w:rsidRPr="00575BDB" w:rsidRDefault="00575BDB" w:rsidP="00575BDB">
            <w:pPr>
              <w:spacing w:after="0"/>
              <w:jc w:val="center"/>
              <w:rPr>
                <w:rFonts w:ascii="Calibri" w:eastAsia="Times New Roman" w:hAnsi="Calibri"/>
                <w:b/>
                <w:bCs/>
                <w:color w:val="FFFFFF"/>
                <w:sz w:val="20"/>
                <w:lang w:eastAsia="en-GB"/>
              </w:rPr>
            </w:pPr>
            <w:r w:rsidRPr="00575BDB">
              <w:rPr>
                <w:rFonts w:ascii="Calibri" w:eastAsia="Times New Roman" w:hAnsi="Calibri"/>
                <w:b/>
                <w:bCs/>
                <w:color w:val="FFFFFF"/>
                <w:sz w:val="20"/>
                <w:lang w:eastAsia="en-GB"/>
              </w:rPr>
              <w:t>Induced Impact (£m)</w:t>
            </w:r>
          </w:p>
        </w:tc>
        <w:tc>
          <w:tcPr>
            <w:tcW w:w="1587" w:type="dxa"/>
            <w:tcBorders>
              <w:top w:val="single" w:sz="8" w:space="0" w:color="FFFFFF"/>
              <w:left w:val="nil"/>
              <w:bottom w:val="single" w:sz="12" w:space="0" w:color="FFFFFF"/>
              <w:right w:val="single" w:sz="8" w:space="0" w:color="FFFFFF"/>
            </w:tcBorders>
            <w:shd w:val="clear" w:color="000000" w:fill="008C9B"/>
            <w:vAlign w:val="center"/>
            <w:hideMark/>
          </w:tcPr>
          <w:p w14:paraId="26F010AB" w14:textId="77777777" w:rsidR="00575BDB" w:rsidRPr="00575BDB" w:rsidRDefault="00575BDB" w:rsidP="00575BDB">
            <w:pPr>
              <w:spacing w:after="0"/>
              <w:jc w:val="center"/>
              <w:rPr>
                <w:rFonts w:ascii="Calibri" w:eastAsia="Times New Roman" w:hAnsi="Calibri"/>
                <w:b/>
                <w:bCs/>
                <w:color w:val="FFFFFF"/>
                <w:sz w:val="20"/>
                <w:lang w:eastAsia="en-GB"/>
              </w:rPr>
            </w:pPr>
            <w:r w:rsidRPr="00575BDB">
              <w:rPr>
                <w:rFonts w:ascii="Calibri" w:eastAsia="Times New Roman" w:hAnsi="Calibri"/>
                <w:b/>
                <w:bCs/>
                <w:color w:val="FFFFFF"/>
                <w:sz w:val="20"/>
                <w:lang w:eastAsia="en-GB"/>
              </w:rPr>
              <w:t>Total Impact (£m)</w:t>
            </w:r>
          </w:p>
        </w:tc>
      </w:tr>
      <w:tr w:rsidR="00575BDB" w:rsidRPr="00575BDB" w14:paraId="185C6E4D" w14:textId="77777777" w:rsidTr="00575BDB">
        <w:trPr>
          <w:trHeight w:val="306"/>
        </w:trPr>
        <w:tc>
          <w:tcPr>
            <w:tcW w:w="3174" w:type="dxa"/>
            <w:tcBorders>
              <w:top w:val="nil"/>
              <w:left w:val="single" w:sz="8" w:space="0" w:color="FFFFFF"/>
              <w:bottom w:val="single" w:sz="8" w:space="0" w:color="FFFFFF"/>
              <w:right w:val="single" w:sz="8" w:space="0" w:color="FFFFFF"/>
            </w:tcBorders>
            <w:shd w:val="clear" w:color="000000" w:fill="008C9B"/>
            <w:vAlign w:val="bottom"/>
            <w:hideMark/>
          </w:tcPr>
          <w:p w14:paraId="68B99EB7" w14:textId="77777777" w:rsidR="00575BDB" w:rsidRPr="00575BDB" w:rsidRDefault="00575BDB" w:rsidP="00575BDB">
            <w:pPr>
              <w:spacing w:after="0"/>
              <w:rPr>
                <w:rFonts w:ascii="Calibri" w:eastAsia="Times New Roman" w:hAnsi="Calibri"/>
                <w:b/>
                <w:bCs/>
                <w:color w:val="FFFFFF"/>
                <w:sz w:val="20"/>
                <w:lang w:eastAsia="en-GB"/>
              </w:rPr>
            </w:pPr>
            <w:r w:rsidRPr="00575BDB">
              <w:rPr>
                <w:rFonts w:ascii="Calibri" w:eastAsia="Times New Roman" w:hAnsi="Calibri"/>
                <w:b/>
                <w:bCs/>
                <w:color w:val="FFFFFF"/>
                <w:sz w:val="20"/>
                <w:lang w:eastAsia="en-GB"/>
              </w:rPr>
              <w:t>TOTAL</w:t>
            </w:r>
          </w:p>
        </w:tc>
        <w:tc>
          <w:tcPr>
            <w:tcW w:w="1535" w:type="dxa"/>
            <w:tcBorders>
              <w:top w:val="nil"/>
              <w:left w:val="nil"/>
              <w:bottom w:val="single" w:sz="8" w:space="0" w:color="FFFFFF"/>
              <w:right w:val="single" w:sz="8" w:space="0" w:color="FFFFFF"/>
            </w:tcBorders>
            <w:shd w:val="clear" w:color="000000" w:fill="E7EEEF"/>
            <w:vAlign w:val="center"/>
            <w:hideMark/>
          </w:tcPr>
          <w:p w14:paraId="340ABD1B"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2,130</w:t>
            </w:r>
          </w:p>
        </w:tc>
        <w:tc>
          <w:tcPr>
            <w:tcW w:w="1587" w:type="dxa"/>
            <w:tcBorders>
              <w:top w:val="nil"/>
              <w:left w:val="nil"/>
              <w:bottom w:val="single" w:sz="8" w:space="0" w:color="FFFFFF"/>
              <w:right w:val="single" w:sz="8" w:space="0" w:color="FFFFFF"/>
            </w:tcBorders>
            <w:shd w:val="clear" w:color="000000" w:fill="E7EEEF"/>
            <w:vAlign w:val="center"/>
            <w:hideMark/>
          </w:tcPr>
          <w:p w14:paraId="1B057A7F"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2,246</w:t>
            </w:r>
          </w:p>
        </w:tc>
        <w:tc>
          <w:tcPr>
            <w:tcW w:w="1587" w:type="dxa"/>
            <w:tcBorders>
              <w:top w:val="nil"/>
              <w:left w:val="nil"/>
              <w:bottom w:val="single" w:sz="8" w:space="0" w:color="FFFFFF"/>
              <w:right w:val="single" w:sz="8" w:space="0" w:color="FFFFFF"/>
            </w:tcBorders>
            <w:shd w:val="clear" w:color="000000" w:fill="E7EEEF"/>
            <w:vAlign w:val="center"/>
            <w:hideMark/>
          </w:tcPr>
          <w:p w14:paraId="3C390AC4"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1,403</w:t>
            </w:r>
          </w:p>
        </w:tc>
        <w:tc>
          <w:tcPr>
            <w:tcW w:w="1587" w:type="dxa"/>
            <w:tcBorders>
              <w:top w:val="nil"/>
              <w:left w:val="nil"/>
              <w:bottom w:val="single" w:sz="8" w:space="0" w:color="FFFFFF"/>
              <w:right w:val="single" w:sz="8" w:space="0" w:color="FFFFFF"/>
            </w:tcBorders>
            <w:shd w:val="clear" w:color="000000" w:fill="E7EEEF"/>
            <w:vAlign w:val="center"/>
            <w:hideMark/>
          </w:tcPr>
          <w:p w14:paraId="735ED69E"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5,779</w:t>
            </w:r>
          </w:p>
        </w:tc>
      </w:tr>
      <w:tr w:rsidR="00575BDB" w:rsidRPr="00575BDB" w14:paraId="48E05CA4" w14:textId="77777777" w:rsidTr="00575BDB">
        <w:trPr>
          <w:trHeight w:val="292"/>
        </w:trPr>
        <w:tc>
          <w:tcPr>
            <w:tcW w:w="3174" w:type="dxa"/>
            <w:tcBorders>
              <w:top w:val="nil"/>
              <w:left w:val="single" w:sz="8" w:space="0" w:color="FFFFFF"/>
              <w:bottom w:val="single" w:sz="8" w:space="0" w:color="FFFFFF"/>
              <w:right w:val="single" w:sz="8" w:space="0" w:color="FFFFFF"/>
            </w:tcBorders>
            <w:shd w:val="clear" w:color="000000" w:fill="008C9B"/>
            <w:vAlign w:val="bottom"/>
            <w:hideMark/>
          </w:tcPr>
          <w:p w14:paraId="2D00400A" w14:textId="77777777" w:rsidR="00575BDB" w:rsidRPr="00575BDB" w:rsidRDefault="00575BDB" w:rsidP="00575BDB">
            <w:pPr>
              <w:spacing w:after="0"/>
              <w:rPr>
                <w:rFonts w:ascii="Calibri" w:eastAsia="Times New Roman" w:hAnsi="Calibri"/>
                <w:color w:val="FFFFFF"/>
                <w:sz w:val="20"/>
                <w:lang w:eastAsia="en-GB"/>
              </w:rPr>
            </w:pPr>
            <w:r w:rsidRPr="00575BDB">
              <w:rPr>
                <w:rFonts w:ascii="Calibri" w:eastAsia="Times New Roman" w:hAnsi="Calibri"/>
                <w:color w:val="FFFFFF"/>
                <w:sz w:val="20"/>
                <w:lang w:eastAsia="en-GB"/>
              </w:rPr>
              <w:t>Shipping</w:t>
            </w:r>
          </w:p>
        </w:tc>
        <w:tc>
          <w:tcPr>
            <w:tcW w:w="1535" w:type="dxa"/>
            <w:tcBorders>
              <w:top w:val="nil"/>
              <w:left w:val="nil"/>
              <w:bottom w:val="single" w:sz="8" w:space="0" w:color="FFFFFF"/>
              <w:right w:val="single" w:sz="8" w:space="0" w:color="FFFFFF"/>
            </w:tcBorders>
            <w:shd w:val="clear" w:color="000000" w:fill="D0CECE"/>
            <w:vAlign w:val="center"/>
            <w:hideMark/>
          </w:tcPr>
          <w:p w14:paraId="7DA57EB8"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1,051</w:t>
            </w:r>
          </w:p>
        </w:tc>
        <w:tc>
          <w:tcPr>
            <w:tcW w:w="1587" w:type="dxa"/>
            <w:tcBorders>
              <w:top w:val="nil"/>
              <w:left w:val="nil"/>
              <w:bottom w:val="single" w:sz="8" w:space="0" w:color="FFFFFF"/>
              <w:right w:val="single" w:sz="8" w:space="0" w:color="FFFFFF"/>
            </w:tcBorders>
            <w:shd w:val="clear" w:color="000000" w:fill="D0CECE"/>
            <w:vAlign w:val="center"/>
            <w:hideMark/>
          </w:tcPr>
          <w:p w14:paraId="50FB56CC"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1,157</w:t>
            </w:r>
          </w:p>
        </w:tc>
        <w:tc>
          <w:tcPr>
            <w:tcW w:w="1587" w:type="dxa"/>
            <w:tcBorders>
              <w:top w:val="nil"/>
              <w:left w:val="nil"/>
              <w:bottom w:val="single" w:sz="8" w:space="0" w:color="FFFFFF"/>
              <w:right w:val="single" w:sz="8" w:space="0" w:color="FFFFFF"/>
            </w:tcBorders>
            <w:shd w:val="clear" w:color="000000" w:fill="D0CECE"/>
            <w:vAlign w:val="center"/>
            <w:hideMark/>
          </w:tcPr>
          <w:p w14:paraId="553DB6FC"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666</w:t>
            </w:r>
          </w:p>
        </w:tc>
        <w:tc>
          <w:tcPr>
            <w:tcW w:w="1587" w:type="dxa"/>
            <w:tcBorders>
              <w:top w:val="nil"/>
              <w:left w:val="nil"/>
              <w:bottom w:val="single" w:sz="8" w:space="0" w:color="FFFFFF"/>
              <w:right w:val="single" w:sz="8" w:space="0" w:color="FFFFFF"/>
            </w:tcBorders>
            <w:shd w:val="clear" w:color="000000" w:fill="D0CECE"/>
            <w:vAlign w:val="center"/>
            <w:hideMark/>
          </w:tcPr>
          <w:p w14:paraId="3BA1CA72"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2,874</w:t>
            </w:r>
          </w:p>
        </w:tc>
      </w:tr>
      <w:tr w:rsidR="00575BDB" w:rsidRPr="00575BDB" w14:paraId="22D9BEF2" w14:textId="77777777" w:rsidTr="00575BDB">
        <w:trPr>
          <w:trHeight w:val="292"/>
        </w:trPr>
        <w:tc>
          <w:tcPr>
            <w:tcW w:w="3174" w:type="dxa"/>
            <w:tcBorders>
              <w:top w:val="nil"/>
              <w:left w:val="single" w:sz="8" w:space="0" w:color="FFFFFF"/>
              <w:bottom w:val="single" w:sz="8" w:space="0" w:color="FFFFFF"/>
              <w:right w:val="single" w:sz="8" w:space="0" w:color="FFFFFF"/>
            </w:tcBorders>
            <w:shd w:val="clear" w:color="000000" w:fill="008C9B"/>
            <w:vAlign w:val="bottom"/>
            <w:hideMark/>
          </w:tcPr>
          <w:p w14:paraId="624EE8A0" w14:textId="77777777" w:rsidR="00575BDB" w:rsidRPr="00575BDB" w:rsidRDefault="00575BDB" w:rsidP="00575BDB">
            <w:pPr>
              <w:spacing w:after="0"/>
              <w:rPr>
                <w:rFonts w:ascii="Calibri" w:eastAsia="Times New Roman" w:hAnsi="Calibri"/>
                <w:color w:val="FFFFFF"/>
                <w:sz w:val="20"/>
                <w:lang w:eastAsia="en-GB"/>
              </w:rPr>
            </w:pPr>
            <w:r w:rsidRPr="00575BDB">
              <w:rPr>
                <w:rFonts w:ascii="Calibri" w:eastAsia="Times New Roman" w:hAnsi="Calibri"/>
                <w:color w:val="FFFFFF"/>
                <w:sz w:val="20"/>
                <w:lang w:eastAsia="en-GB"/>
              </w:rPr>
              <w:t>Ports</w:t>
            </w:r>
          </w:p>
        </w:tc>
        <w:tc>
          <w:tcPr>
            <w:tcW w:w="1535" w:type="dxa"/>
            <w:tcBorders>
              <w:top w:val="nil"/>
              <w:left w:val="nil"/>
              <w:bottom w:val="single" w:sz="8" w:space="0" w:color="FFFFFF"/>
              <w:right w:val="single" w:sz="8" w:space="0" w:color="FFFFFF"/>
            </w:tcBorders>
            <w:shd w:val="clear" w:color="000000" w:fill="E7EEEF"/>
            <w:vAlign w:val="center"/>
            <w:hideMark/>
          </w:tcPr>
          <w:p w14:paraId="083F354B"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233</w:t>
            </w:r>
          </w:p>
        </w:tc>
        <w:tc>
          <w:tcPr>
            <w:tcW w:w="1587" w:type="dxa"/>
            <w:tcBorders>
              <w:top w:val="nil"/>
              <w:left w:val="nil"/>
              <w:bottom w:val="single" w:sz="8" w:space="0" w:color="FFFFFF"/>
              <w:right w:val="single" w:sz="8" w:space="0" w:color="FFFFFF"/>
            </w:tcBorders>
            <w:shd w:val="clear" w:color="000000" w:fill="E7EEEF"/>
            <w:vAlign w:val="center"/>
            <w:hideMark/>
          </w:tcPr>
          <w:p w14:paraId="7BEC38B0"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285</w:t>
            </w:r>
          </w:p>
        </w:tc>
        <w:tc>
          <w:tcPr>
            <w:tcW w:w="1587" w:type="dxa"/>
            <w:tcBorders>
              <w:top w:val="nil"/>
              <w:left w:val="nil"/>
              <w:bottom w:val="single" w:sz="8" w:space="0" w:color="FFFFFF"/>
              <w:right w:val="single" w:sz="8" w:space="0" w:color="FFFFFF"/>
            </w:tcBorders>
            <w:shd w:val="clear" w:color="000000" w:fill="E7EEEF"/>
            <w:vAlign w:val="center"/>
            <w:hideMark/>
          </w:tcPr>
          <w:p w14:paraId="3047ABDA"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170</w:t>
            </w:r>
          </w:p>
        </w:tc>
        <w:tc>
          <w:tcPr>
            <w:tcW w:w="1587" w:type="dxa"/>
            <w:tcBorders>
              <w:top w:val="nil"/>
              <w:left w:val="nil"/>
              <w:bottom w:val="single" w:sz="8" w:space="0" w:color="FFFFFF"/>
              <w:right w:val="single" w:sz="8" w:space="0" w:color="FFFFFF"/>
            </w:tcBorders>
            <w:shd w:val="clear" w:color="000000" w:fill="E7EEEF"/>
            <w:vAlign w:val="center"/>
            <w:hideMark/>
          </w:tcPr>
          <w:p w14:paraId="4898A409"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689</w:t>
            </w:r>
          </w:p>
        </w:tc>
      </w:tr>
      <w:tr w:rsidR="00575BDB" w:rsidRPr="00575BDB" w14:paraId="5E946938" w14:textId="77777777" w:rsidTr="00575BDB">
        <w:trPr>
          <w:trHeight w:val="292"/>
        </w:trPr>
        <w:tc>
          <w:tcPr>
            <w:tcW w:w="3174" w:type="dxa"/>
            <w:tcBorders>
              <w:top w:val="nil"/>
              <w:left w:val="single" w:sz="8" w:space="0" w:color="FFFFFF"/>
              <w:bottom w:val="single" w:sz="8" w:space="0" w:color="FFFFFF"/>
              <w:right w:val="single" w:sz="8" w:space="0" w:color="FFFFFF"/>
            </w:tcBorders>
            <w:shd w:val="clear" w:color="000000" w:fill="008C9B"/>
            <w:vAlign w:val="bottom"/>
            <w:hideMark/>
          </w:tcPr>
          <w:p w14:paraId="167EFCF1" w14:textId="77777777" w:rsidR="00575BDB" w:rsidRPr="00575BDB" w:rsidRDefault="00575BDB" w:rsidP="00575BDB">
            <w:pPr>
              <w:spacing w:after="0"/>
              <w:rPr>
                <w:rFonts w:ascii="Calibri" w:eastAsia="Times New Roman" w:hAnsi="Calibri"/>
                <w:color w:val="FFFFFF"/>
                <w:sz w:val="20"/>
                <w:lang w:eastAsia="en-GB"/>
              </w:rPr>
            </w:pPr>
            <w:r w:rsidRPr="00575BDB">
              <w:rPr>
                <w:rFonts w:ascii="Calibri" w:eastAsia="Times New Roman" w:hAnsi="Calibri"/>
                <w:color w:val="FFFFFF"/>
                <w:sz w:val="20"/>
                <w:lang w:eastAsia="en-GB"/>
              </w:rPr>
              <w:t>Leisure Marine</w:t>
            </w:r>
          </w:p>
        </w:tc>
        <w:tc>
          <w:tcPr>
            <w:tcW w:w="1535" w:type="dxa"/>
            <w:tcBorders>
              <w:top w:val="nil"/>
              <w:left w:val="nil"/>
              <w:bottom w:val="single" w:sz="8" w:space="0" w:color="FFFFFF"/>
              <w:right w:val="single" w:sz="8" w:space="0" w:color="FFFFFF"/>
            </w:tcBorders>
            <w:shd w:val="clear" w:color="000000" w:fill="D0CECE"/>
            <w:vAlign w:val="center"/>
            <w:hideMark/>
          </w:tcPr>
          <w:p w14:paraId="20BA77C7" w14:textId="77777777" w:rsidR="00575BDB" w:rsidRPr="00575BDB" w:rsidRDefault="00575BDB" w:rsidP="00575BDB">
            <w:pPr>
              <w:spacing w:after="0"/>
              <w:jc w:val="center"/>
              <w:rPr>
                <w:rFonts w:ascii="Calibri" w:eastAsia="Times New Roman" w:hAnsi="Calibri"/>
                <w:bCs/>
                <w:color w:val="000000"/>
                <w:sz w:val="20"/>
                <w:lang w:eastAsia="en-GB"/>
              </w:rPr>
            </w:pPr>
            <w:r w:rsidRPr="00575BDB">
              <w:rPr>
                <w:rFonts w:ascii="Calibri" w:eastAsia="Times New Roman" w:hAnsi="Calibri"/>
                <w:bCs/>
                <w:color w:val="000000"/>
                <w:sz w:val="20"/>
                <w:lang w:eastAsia="en-GB"/>
              </w:rPr>
              <w:t>177</w:t>
            </w:r>
          </w:p>
        </w:tc>
        <w:tc>
          <w:tcPr>
            <w:tcW w:w="1587" w:type="dxa"/>
            <w:tcBorders>
              <w:top w:val="nil"/>
              <w:left w:val="nil"/>
              <w:bottom w:val="single" w:sz="8" w:space="0" w:color="FFFFFF"/>
              <w:right w:val="single" w:sz="8" w:space="0" w:color="FFFFFF"/>
            </w:tcBorders>
            <w:shd w:val="clear" w:color="000000" w:fill="D0CECE"/>
            <w:vAlign w:val="center"/>
            <w:hideMark/>
          </w:tcPr>
          <w:p w14:paraId="2C91D90C"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170</w:t>
            </w:r>
          </w:p>
        </w:tc>
        <w:tc>
          <w:tcPr>
            <w:tcW w:w="1587" w:type="dxa"/>
            <w:tcBorders>
              <w:top w:val="nil"/>
              <w:left w:val="nil"/>
              <w:bottom w:val="single" w:sz="8" w:space="0" w:color="FFFFFF"/>
              <w:right w:val="single" w:sz="8" w:space="0" w:color="FFFFFF"/>
            </w:tcBorders>
            <w:shd w:val="clear" w:color="000000" w:fill="D0CECE"/>
            <w:vAlign w:val="center"/>
            <w:hideMark/>
          </w:tcPr>
          <w:p w14:paraId="72406D55" w14:textId="77777777" w:rsidR="00575BDB" w:rsidRPr="00575BDB" w:rsidRDefault="00575BDB" w:rsidP="00575BDB">
            <w:pPr>
              <w:spacing w:after="0"/>
              <w:jc w:val="center"/>
              <w:rPr>
                <w:rFonts w:ascii="Calibri" w:eastAsia="Times New Roman" w:hAnsi="Calibri"/>
                <w:bCs/>
                <w:color w:val="000000"/>
                <w:sz w:val="20"/>
                <w:lang w:eastAsia="en-GB"/>
              </w:rPr>
            </w:pPr>
            <w:r w:rsidRPr="00575BDB">
              <w:rPr>
                <w:rFonts w:ascii="Calibri" w:eastAsia="Times New Roman" w:hAnsi="Calibri"/>
                <w:bCs/>
                <w:color w:val="000000"/>
                <w:sz w:val="20"/>
                <w:lang w:eastAsia="en-GB"/>
              </w:rPr>
              <w:t>123</w:t>
            </w:r>
          </w:p>
        </w:tc>
        <w:tc>
          <w:tcPr>
            <w:tcW w:w="1587" w:type="dxa"/>
            <w:tcBorders>
              <w:top w:val="nil"/>
              <w:left w:val="nil"/>
              <w:bottom w:val="single" w:sz="8" w:space="0" w:color="FFFFFF"/>
              <w:right w:val="single" w:sz="8" w:space="0" w:color="FFFFFF"/>
            </w:tcBorders>
            <w:shd w:val="clear" w:color="000000" w:fill="D0CECE"/>
            <w:vAlign w:val="center"/>
            <w:hideMark/>
          </w:tcPr>
          <w:p w14:paraId="2CAF5D20"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471</w:t>
            </w:r>
          </w:p>
        </w:tc>
      </w:tr>
      <w:tr w:rsidR="00575BDB" w:rsidRPr="00575BDB" w14:paraId="15854756" w14:textId="77777777" w:rsidTr="00575BDB">
        <w:trPr>
          <w:trHeight w:val="292"/>
        </w:trPr>
        <w:tc>
          <w:tcPr>
            <w:tcW w:w="3174" w:type="dxa"/>
            <w:tcBorders>
              <w:top w:val="nil"/>
              <w:left w:val="single" w:sz="8" w:space="0" w:color="FFFFFF"/>
              <w:bottom w:val="single" w:sz="8" w:space="0" w:color="FFFFFF"/>
              <w:right w:val="single" w:sz="8" w:space="0" w:color="FFFFFF"/>
            </w:tcBorders>
            <w:shd w:val="clear" w:color="000000" w:fill="008C9B"/>
            <w:vAlign w:val="bottom"/>
            <w:hideMark/>
          </w:tcPr>
          <w:p w14:paraId="7E9565F4" w14:textId="77777777" w:rsidR="00575BDB" w:rsidRPr="00575BDB" w:rsidRDefault="00575BDB" w:rsidP="00575BDB">
            <w:pPr>
              <w:spacing w:after="0"/>
              <w:rPr>
                <w:rFonts w:ascii="Calibri" w:eastAsia="Times New Roman" w:hAnsi="Calibri"/>
                <w:color w:val="FFFFFF"/>
                <w:sz w:val="20"/>
                <w:lang w:eastAsia="en-GB"/>
              </w:rPr>
            </w:pPr>
            <w:r w:rsidRPr="00575BDB">
              <w:rPr>
                <w:rFonts w:ascii="Calibri" w:eastAsia="Times New Roman" w:hAnsi="Calibri"/>
                <w:color w:val="FFFFFF"/>
                <w:sz w:val="20"/>
                <w:lang w:eastAsia="en-GB"/>
              </w:rPr>
              <w:t>Marine Engineering</w:t>
            </w:r>
          </w:p>
        </w:tc>
        <w:tc>
          <w:tcPr>
            <w:tcW w:w="1535" w:type="dxa"/>
            <w:tcBorders>
              <w:top w:val="nil"/>
              <w:left w:val="nil"/>
              <w:bottom w:val="single" w:sz="8" w:space="0" w:color="FFFFFF"/>
              <w:right w:val="single" w:sz="8" w:space="0" w:color="FFFFFF"/>
            </w:tcBorders>
            <w:shd w:val="clear" w:color="000000" w:fill="E7EEEF"/>
            <w:vAlign w:val="center"/>
            <w:hideMark/>
          </w:tcPr>
          <w:p w14:paraId="44752EF6"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35</w:t>
            </w:r>
          </w:p>
        </w:tc>
        <w:tc>
          <w:tcPr>
            <w:tcW w:w="1587" w:type="dxa"/>
            <w:tcBorders>
              <w:top w:val="nil"/>
              <w:left w:val="nil"/>
              <w:bottom w:val="single" w:sz="8" w:space="0" w:color="FFFFFF"/>
              <w:right w:val="single" w:sz="8" w:space="0" w:color="FFFFFF"/>
            </w:tcBorders>
            <w:shd w:val="clear" w:color="000000" w:fill="E7EEEF"/>
            <w:vAlign w:val="center"/>
            <w:hideMark/>
          </w:tcPr>
          <w:p w14:paraId="5E976DCE"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17</w:t>
            </w:r>
          </w:p>
        </w:tc>
        <w:tc>
          <w:tcPr>
            <w:tcW w:w="1587" w:type="dxa"/>
            <w:tcBorders>
              <w:top w:val="nil"/>
              <w:left w:val="nil"/>
              <w:bottom w:val="single" w:sz="8" w:space="0" w:color="FFFFFF"/>
              <w:right w:val="single" w:sz="8" w:space="0" w:color="FFFFFF"/>
            </w:tcBorders>
            <w:shd w:val="clear" w:color="000000" w:fill="E7EEEF"/>
            <w:vAlign w:val="center"/>
            <w:hideMark/>
          </w:tcPr>
          <w:p w14:paraId="725C5AE3"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14</w:t>
            </w:r>
          </w:p>
        </w:tc>
        <w:tc>
          <w:tcPr>
            <w:tcW w:w="1587" w:type="dxa"/>
            <w:tcBorders>
              <w:top w:val="nil"/>
              <w:left w:val="nil"/>
              <w:bottom w:val="single" w:sz="8" w:space="0" w:color="FFFFFF"/>
              <w:right w:val="single" w:sz="8" w:space="0" w:color="FFFFFF"/>
            </w:tcBorders>
            <w:shd w:val="clear" w:color="000000" w:fill="E7EEEF"/>
            <w:vAlign w:val="center"/>
            <w:hideMark/>
          </w:tcPr>
          <w:p w14:paraId="5C17BB9C"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66</w:t>
            </w:r>
          </w:p>
        </w:tc>
      </w:tr>
      <w:tr w:rsidR="00575BDB" w:rsidRPr="00575BDB" w14:paraId="46E04383" w14:textId="77777777" w:rsidTr="00575BDB">
        <w:trPr>
          <w:trHeight w:val="292"/>
        </w:trPr>
        <w:tc>
          <w:tcPr>
            <w:tcW w:w="3174" w:type="dxa"/>
            <w:tcBorders>
              <w:top w:val="nil"/>
              <w:left w:val="single" w:sz="8" w:space="0" w:color="FFFFFF"/>
              <w:bottom w:val="single" w:sz="8" w:space="0" w:color="FFFFFF"/>
              <w:right w:val="single" w:sz="8" w:space="0" w:color="FFFFFF"/>
            </w:tcBorders>
            <w:shd w:val="clear" w:color="000000" w:fill="008C9B"/>
            <w:vAlign w:val="bottom"/>
            <w:hideMark/>
          </w:tcPr>
          <w:p w14:paraId="350E64CA" w14:textId="77777777" w:rsidR="00575BDB" w:rsidRPr="00575BDB" w:rsidRDefault="00575BDB" w:rsidP="00575BDB">
            <w:pPr>
              <w:spacing w:after="0"/>
              <w:rPr>
                <w:rFonts w:ascii="Calibri" w:eastAsia="Times New Roman" w:hAnsi="Calibri"/>
                <w:color w:val="FFFFFF"/>
                <w:sz w:val="20"/>
                <w:lang w:eastAsia="en-GB"/>
              </w:rPr>
            </w:pPr>
            <w:r w:rsidRPr="00575BDB">
              <w:rPr>
                <w:rFonts w:ascii="Calibri" w:eastAsia="Times New Roman" w:hAnsi="Calibri"/>
                <w:color w:val="FFFFFF"/>
                <w:sz w:val="20"/>
                <w:lang w:eastAsia="en-GB"/>
              </w:rPr>
              <w:t>Maritime Business Services</w:t>
            </w:r>
          </w:p>
        </w:tc>
        <w:tc>
          <w:tcPr>
            <w:tcW w:w="1535" w:type="dxa"/>
            <w:tcBorders>
              <w:top w:val="nil"/>
              <w:left w:val="nil"/>
              <w:bottom w:val="single" w:sz="8" w:space="0" w:color="FFFFFF"/>
              <w:right w:val="single" w:sz="8" w:space="0" w:color="FFFFFF"/>
            </w:tcBorders>
            <w:shd w:val="clear" w:color="000000" w:fill="D0CECE"/>
            <w:vAlign w:val="center"/>
            <w:hideMark/>
          </w:tcPr>
          <w:p w14:paraId="043D7C38"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68</w:t>
            </w:r>
          </w:p>
        </w:tc>
        <w:tc>
          <w:tcPr>
            <w:tcW w:w="1587" w:type="dxa"/>
            <w:tcBorders>
              <w:top w:val="nil"/>
              <w:left w:val="nil"/>
              <w:bottom w:val="single" w:sz="8" w:space="0" w:color="FFFFFF"/>
              <w:right w:val="single" w:sz="8" w:space="0" w:color="FFFFFF"/>
            </w:tcBorders>
            <w:shd w:val="clear" w:color="000000" w:fill="D0CECE"/>
            <w:vAlign w:val="center"/>
            <w:hideMark/>
          </w:tcPr>
          <w:p w14:paraId="45D313DC"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73</w:t>
            </w:r>
          </w:p>
        </w:tc>
        <w:tc>
          <w:tcPr>
            <w:tcW w:w="1587" w:type="dxa"/>
            <w:tcBorders>
              <w:top w:val="nil"/>
              <w:left w:val="nil"/>
              <w:bottom w:val="single" w:sz="8" w:space="0" w:color="FFFFFF"/>
              <w:right w:val="single" w:sz="8" w:space="0" w:color="FFFFFF"/>
            </w:tcBorders>
            <w:shd w:val="clear" w:color="000000" w:fill="D0CECE"/>
            <w:vAlign w:val="center"/>
            <w:hideMark/>
          </w:tcPr>
          <w:p w14:paraId="4DADBC82"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35</w:t>
            </w:r>
          </w:p>
        </w:tc>
        <w:tc>
          <w:tcPr>
            <w:tcW w:w="1587" w:type="dxa"/>
            <w:tcBorders>
              <w:top w:val="nil"/>
              <w:left w:val="nil"/>
              <w:bottom w:val="single" w:sz="8" w:space="0" w:color="FFFFFF"/>
              <w:right w:val="single" w:sz="8" w:space="0" w:color="FFFFFF"/>
            </w:tcBorders>
            <w:shd w:val="clear" w:color="000000" w:fill="D0CECE"/>
            <w:vAlign w:val="center"/>
            <w:hideMark/>
          </w:tcPr>
          <w:p w14:paraId="1D259C0C"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176</w:t>
            </w:r>
          </w:p>
        </w:tc>
      </w:tr>
      <w:tr w:rsidR="00575BDB" w:rsidRPr="00575BDB" w14:paraId="772060F3" w14:textId="77777777" w:rsidTr="00575BDB">
        <w:trPr>
          <w:trHeight w:val="292"/>
        </w:trPr>
        <w:tc>
          <w:tcPr>
            <w:tcW w:w="3174" w:type="dxa"/>
            <w:tcBorders>
              <w:top w:val="nil"/>
              <w:left w:val="single" w:sz="8" w:space="0" w:color="FFFFFF"/>
              <w:bottom w:val="single" w:sz="8" w:space="0" w:color="FFFFFF"/>
              <w:right w:val="single" w:sz="8" w:space="0" w:color="FFFFFF"/>
            </w:tcBorders>
            <w:shd w:val="clear" w:color="000000" w:fill="008C9B"/>
            <w:vAlign w:val="bottom"/>
            <w:hideMark/>
          </w:tcPr>
          <w:p w14:paraId="248AD98D" w14:textId="77777777" w:rsidR="00575BDB" w:rsidRPr="00575BDB" w:rsidRDefault="00575BDB" w:rsidP="00575BDB">
            <w:pPr>
              <w:spacing w:after="0"/>
              <w:rPr>
                <w:rFonts w:ascii="Calibri" w:eastAsia="Times New Roman" w:hAnsi="Calibri"/>
                <w:color w:val="FFFFFF"/>
                <w:sz w:val="20"/>
                <w:lang w:eastAsia="en-GB"/>
              </w:rPr>
            </w:pPr>
            <w:r w:rsidRPr="00575BDB">
              <w:rPr>
                <w:rFonts w:ascii="Calibri" w:eastAsia="Times New Roman" w:hAnsi="Calibri"/>
                <w:color w:val="FFFFFF"/>
                <w:sz w:val="20"/>
                <w:lang w:eastAsia="en-GB"/>
              </w:rPr>
              <w:t>Portsmouth Naval Base</w:t>
            </w:r>
          </w:p>
        </w:tc>
        <w:tc>
          <w:tcPr>
            <w:tcW w:w="1535" w:type="dxa"/>
            <w:tcBorders>
              <w:top w:val="nil"/>
              <w:left w:val="nil"/>
              <w:bottom w:val="single" w:sz="8" w:space="0" w:color="FFFFFF"/>
              <w:right w:val="single" w:sz="8" w:space="0" w:color="FFFFFF"/>
            </w:tcBorders>
            <w:shd w:val="clear" w:color="000000" w:fill="E7EEEF"/>
            <w:vAlign w:val="center"/>
            <w:hideMark/>
          </w:tcPr>
          <w:p w14:paraId="7DC8AB58"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565</w:t>
            </w:r>
          </w:p>
        </w:tc>
        <w:tc>
          <w:tcPr>
            <w:tcW w:w="1587" w:type="dxa"/>
            <w:tcBorders>
              <w:top w:val="nil"/>
              <w:left w:val="nil"/>
              <w:bottom w:val="single" w:sz="8" w:space="0" w:color="FFFFFF"/>
              <w:right w:val="single" w:sz="8" w:space="0" w:color="FFFFFF"/>
            </w:tcBorders>
            <w:shd w:val="clear" w:color="000000" w:fill="E7EEEF"/>
            <w:vAlign w:val="center"/>
            <w:hideMark/>
          </w:tcPr>
          <w:p w14:paraId="166246DB"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544</w:t>
            </w:r>
          </w:p>
        </w:tc>
        <w:tc>
          <w:tcPr>
            <w:tcW w:w="1587" w:type="dxa"/>
            <w:tcBorders>
              <w:top w:val="nil"/>
              <w:left w:val="nil"/>
              <w:bottom w:val="single" w:sz="8" w:space="0" w:color="FFFFFF"/>
              <w:right w:val="single" w:sz="8" w:space="0" w:color="FFFFFF"/>
            </w:tcBorders>
            <w:shd w:val="clear" w:color="000000" w:fill="E7EEEF"/>
            <w:vAlign w:val="center"/>
            <w:hideMark/>
          </w:tcPr>
          <w:p w14:paraId="53450B03"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393</w:t>
            </w:r>
          </w:p>
        </w:tc>
        <w:tc>
          <w:tcPr>
            <w:tcW w:w="1587" w:type="dxa"/>
            <w:tcBorders>
              <w:top w:val="nil"/>
              <w:left w:val="nil"/>
              <w:bottom w:val="single" w:sz="8" w:space="0" w:color="FFFFFF"/>
              <w:right w:val="single" w:sz="8" w:space="0" w:color="FFFFFF"/>
            </w:tcBorders>
            <w:shd w:val="clear" w:color="000000" w:fill="E7EEEF"/>
            <w:vAlign w:val="center"/>
            <w:hideMark/>
          </w:tcPr>
          <w:p w14:paraId="1AC4488F" w14:textId="77777777" w:rsidR="00575BDB" w:rsidRPr="00575BDB" w:rsidRDefault="00575BDB" w:rsidP="00575BDB">
            <w:pPr>
              <w:spacing w:after="0"/>
              <w:jc w:val="center"/>
              <w:rPr>
                <w:rFonts w:ascii="Calibri" w:eastAsia="Times New Roman" w:hAnsi="Calibri"/>
                <w:color w:val="000000"/>
                <w:sz w:val="20"/>
                <w:lang w:eastAsia="en-GB"/>
              </w:rPr>
            </w:pPr>
            <w:r w:rsidRPr="00575BDB">
              <w:rPr>
                <w:rFonts w:ascii="Calibri" w:eastAsia="Times New Roman" w:hAnsi="Calibri"/>
                <w:color w:val="000000"/>
                <w:sz w:val="20"/>
                <w:lang w:eastAsia="en-GB"/>
              </w:rPr>
              <w:t>1,502</w:t>
            </w:r>
          </w:p>
        </w:tc>
      </w:tr>
    </w:tbl>
    <w:p w14:paraId="013D0FE9" w14:textId="1B9A57BF" w:rsidR="00291A61" w:rsidRPr="00520FF4" w:rsidRDefault="00291A61" w:rsidP="00290DC3">
      <w:pPr>
        <w:spacing w:before="60" w:after="120"/>
        <w:jc w:val="right"/>
        <w:rPr>
          <w:rStyle w:val="SubtleEmphasis"/>
          <w:sz w:val="18"/>
        </w:rPr>
      </w:pPr>
      <w:r w:rsidRPr="00520FF4">
        <w:rPr>
          <w:rStyle w:val="SubtleEmphasis"/>
          <w:sz w:val="18"/>
        </w:rPr>
        <w:t>Source: ONS, FAME, Cebr analysis</w:t>
      </w:r>
    </w:p>
    <w:p w14:paraId="1E98195D" w14:textId="48E06E96" w:rsidR="00856904" w:rsidRDefault="003B082C" w:rsidP="003B082C">
      <w:r>
        <w:fldChar w:fldCharType="begin"/>
      </w:r>
      <w:r>
        <w:instrText xml:space="preserve"> REF _Ref499907673 \h </w:instrText>
      </w:r>
      <w:r>
        <w:fldChar w:fldCharType="separate"/>
      </w:r>
      <w:r w:rsidR="00D17FEA">
        <w:t xml:space="preserve">Table </w:t>
      </w:r>
      <w:r w:rsidR="00D17FEA">
        <w:rPr>
          <w:noProof/>
        </w:rPr>
        <w:t>16</w:t>
      </w:r>
      <w:r>
        <w:fldChar w:fldCharType="end"/>
      </w:r>
      <w:r>
        <w:t xml:space="preserve"> </w:t>
      </w:r>
      <w:r w:rsidR="00344928">
        <w:t>below shows the estimated direct and total economic impact</w:t>
      </w:r>
      <w:r w:rsidR="00575BDB">
        <w:t>s of the Solent-based Maritime S</w:t>
      </w:r>
      <w:r w:rsidR="00344928">
        <w:t>ector and Portsmouth Naval Base across the ye</w:t>
      </w:r>
      <w:r w:rsidR="00907B6E">
        <w:t>ars 2010 and 2017</w:t>
      </w:r>
      <w:r w:rsidR="00344928">
        <w:t xml:space="preserve">. </w:t>
      </w:r>
    </w:p>
    <w:p w14:paraId="4C11D5B5" w14:textId="156B2B0B" w:rsidR="003B082C" w:rsidRDefault="003B082C" w:rsidP="003B082C">
      <w:pPr>
        <w:pStyle w:val="Caption"/>
        <w:keepNext/>
      </w:pPr>
      <w:bookmarkStart w:id="111" w:name="_Ref499907673"/>
      <w:r>
        <w:t xml:space="preserve">Table </w:t>
      </w:r>
      <w:r w:rsidR="00F604FD">
        <w:rPr>
          <w:noProof/>
        </w:rPr>
        <w:fldChar w:fldCharType="begin"/>
      </w:r>
      <w:r w:rsidR="00F604FD">
        <w:rPr>
          <w:noProof/>
        </w:rPr>
        <w:instrText xml:space="preserve"> SEQ Table \* ARABIC </w:instrText>
      </w:r>
      <w:r w:rsidR="00F604FD">
        <w:rPr>
          <w:noProof/>
        </w:rPr>
        <w:fldChar w:fldCharType="separate"/>
      </w:r>
      <w:r w:rsidR="00D17FEA">
        <w:rPr>
          <w:noProof/>
        </w:rPr>
        <w:t>16</w:t>
      </w:r>
      <w:r w:rsidR="00F604FD">
        <w:rPr>
          <w:noProof/>
        </w:rPr>
        <w:fldChar w:fldCharType="end"/>
      </w:r>
      <w:bookmarkEnd w:id="111"/>
      <w:r>
        <w:t xml:space="preserve">: </w:t>
      </w:r>
      <w:r w:rsidRPr="005378FB">
        <w:t>Direct and Total GVA impac</w:t>
      </w:r>
      <w:r w:rsidR="00575BDB">
        <w:t>t of the Solent-based Maritime S</w:t>
      </w:r>
      <w:r w:rsidRPr="005378FB">
        <w:t>ector and Por</w:t>
      </w:r>
      <w:r w:rsidR="00907B6E">
        <w:t>tsmouth Naval Base, 2010 to 2017</w:t>
      </w:r>
      <w:r w:rsidRPr="005378FB">
        <w:t>, £ million</w:t>
      </w:r>
    </w:p>
    <w:tbl>
      <w:tblPr>
        <w:tblW w:w="5000" w:type="pct"/>
        <w:tblLook w:val="04A0" w:firstRow="1" w:lastRow="0" w:firstColumn="1" w:lastColumn="0" w:noHBand="0" w:noVBand="1"/>
      </w:tblPr>
      <w:tblGrid>
        <w:gridCol w:w="882"/>
        <w:gridCol w:w="2669"/>
        <w:gridCol w:w="3204"/>
        <w:gridCol w:w="2873"/>
      </w:tblGrid>
      <w:tr w:rsidR="00736657" w:rsidRPr="00736657" w14:paraId="51564947" w14:textId="77777777" w:rsidTr="00736657">
        <w:trPr>
          <w:trHeight w:val="52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57C8B2D0" w14:textId="77777777" w:rsidR="00736657" w:rsidRPr="00736657" w:rsidRDefault="00736657" w:rsidP="00736657">
            <w:pPr>
              <w:spacing w:after="0"/>
              <w:jc w:val="center"/>
              <w:rPr>
                <w:rFonts w:ascii="Calibri" w:eastAsia="Times New Roman" w:hAnsi="Calibri"/>
                <w:color w:val="FFFFFF"/>
                <w:sz w:val="20"/>
                <w:lang w:eastAsia="en-GB"/>
              </w:rPr>
            </w:pPr>
            <w:r w:rsidRPr="00736657">
              <w:rPr>
                <w:rFonts w:ascii="Calibri" w:eastAsia="Times New Roman" w:hAnsi="Calibri"/>
                <w:color w:val="FFFFFF"/>
                <w:sz w:val="20"/>
                <w:lang w:eastAsia="en-GB"/>
              </w:rPr>
              <w:t>Year</w:t>
            </w:r>
          </w:p>
        </w:tc>
        <w:tc>
          <w:tcPr>
            <w:tcW w:w="1386" w:type="pct"/>
            <w:tcBorders>
              <w:top w:val="single" w:sz="8" w:space="0" w:color="FFFFFF"/>
              <w:left w:val="nil"/>
              <w:bottom w:val="single" w:sz="12" w:space="0" w:color="FFFFFF"/>
              <w:right w:val="single" w:sz="8" w:space="0" w:color="FFFFFF"/>
            </w:tcBorders>
            <w:shd w:val="clear" w:color="000000" w:fill="008C9B"/>
            <w:vAlign w:val="center"/>
            <w:hideMark/>
          </w:tcPr>
          <w:p w14:paraId="4980CA3A" w14:textId="77777777" w:rsidR="00736657" w:rsidRPr="00736657" w:rsidRDefault="00736657" w:rsidP="00736657">
            <w:pPr>
              <w:spacing w:after="0"/>
              <w:jc w:val="center"/>
              <w:rPr>
                <w:rFonts w:ascii="Calibri" w:eastAsia="Times New Roman" w:hAnsi="Calibri"/>
                <w:b/>
                <w:bCs/>
                <w:color w:val="FFFFFF"/>
                <w:sz w:val="20"/>
                <w:lang w:eastAsia="en-GB"/>
              </w:rPr>
            </w:pPr>
            <w:r w:rsidRPr="00736657">
              <w:rPr>
                <w:rFonts w:ascii="Calibri" w:eastAsia="Times New Roman" w:hAnsi="Calibri"/>
                <w:b/>
                <w:bCs/>
                <w:color w:val="FFFFFF"/>
                <w:sz w:val="20"/>
                <w:lang w:eastAsia="en-GB"/>
              </w:rPr>
              <w:t xml:space="preserve">Direct Impact (£m)    </w:t>
            </w:r>
          </w:p>
        </w:tc>
        <w:tc>
          <w:tcPr>
            <w:tcW w:w="1664" w:type="pct"/>
            <w:tcBorders>
              <w:top w:val="single" w:sz="8" w:space="0" w:color="FFFFFF"/>
              <w:left w:val="nil"/>
              <w:bottom w:val="single" w:sz="12" w:space="0" w:color="FFFFFF"/>
              <w:right w:val="single" w:sz="8" w:space="0" w:color="FFFFFF"/>
            </w:tcBorders>
            <w:shd w:val="clear" w:color="000000" w:fill="008C9B"/>
            <w:vAlign w:val="center"/>
            <w:hideMark/>
          </w:tcPr>
          <w:p w14:paraId="6CDAE5CA" w14:textId="77777777" w:rsidR="00736657" w:rsidRPr="00736657" w:rsidRDefault="00736657" w:rsidP="00736657">
            <w:pPr>
              <w:spacing w:after="0"/>
              <w:jc w:val="center"/>
              <w:rPr>
                <w:rFonts w:ascii="Calibri" w:eastAsia="Times New Roman" w:hAnsi="Calibri"/>
                <w:b/>
                <w:bCs/>
                <w:color w:val="FFFFFF"/>
                <w:sz w:val="20"/>
                <w:lang w:eastAsia="en-GB"/>
              </w:rPr>
            </w:pPr>
            <w:r w:rsidRPr="00736657">
              <w:rPr>
                <w:rFonts w:ascii="Calibri" w:eastAsia="Times New Roman" w:hAnsi="Calibri"/>
                <w:b/>
                <w:bCs/>
                <w:color w:val="FFFFFF"/>
                <w:sz w:val="20"/>
                <w:lang w:eastAsia="en-GB"/>
              </w:rPr>
              <w:t>Composite GVA multiplier</w:t>
            </w:r>
          </w:p>
        </w:tc>
        <w:tc>
          <w:tcPr>
            <w:tcW w:w="1492" w:type="pct"/>
            <w:tcBorders>
              <w:top w:val="single" w:sz="8" w:space="0" w:color="FFFFFF"/>
              <w:left w:val="nil"/>
              <w:bottom w:val="single" w:sz="12" w:space="0" w:color="FFFFFF"/>
              <w:right w:val="single" w:sz="8" w:space="0" w:color="FFFFFF"/>
            </w:tcBorders>
            <w:shd w:val="clear" w:color="000000" w:fill="008C9B"/>
            <w:vAlign w:val="center"/>
            <w:hideMark/>
          </w:tcPr>
          <w:p w14:paraId="24AE649B" w14:textId="77777777" w:rsidR="00736657" w:rsidRPr="00736657" w:rsidRDefault="00736657" w:rsidP="00736657">
            <w:pPr>
              <w:spacing w:after="0"/>
              <w:jc w:val="center"/>
              <w:rPr>
                <w:rFonts w:ascii="Calibri" w:eastAsia="Times New Roman" w:hAnsi="Calibri"/>
                <w:b/>
                <w:bCs/>
                <w:color w:val="FFFFFF"/>
                <w:sz w:val="20"/>
                <w:lang w:eastAsia="en-GB"/>
              </w:rPr>
            </w:pPr>
            <w:r w:rsidRPr="00736657">
              <w:rPr>
                <w:rFonts w:ascii="Calibri" w:eastAsia="Times New Roman" w:hAnsi="Calibri"/>
                <w:b/>
                <w:bCs/>
                <w:color w:val="FFFFFF"/>
                <w:sz w:val="20"/>
                <w:lang w:eastAsia="en-GB"/>
              </w:rPr>
              <w:t>Aggregate GVA impacts</w:t>
            </w:r>
          </w:p>
        </w:tc>
      </w:tr>
      <w:tr w:rsidR="00736657" w:rsidRPr="00736657" w14:paraId="785FE47D" w14:textId="77777777" w:rsidTr="00736657">
        <w:trPr>
          <w:trHeight w:val="330"/>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764600C1" w14:textId="77777777" w:rsidR="00736657" w:rsidRPr="00736657" w:rsidRDefault="00736657" w:rsidP="00736657">
            <w:pPr>
              <w:spacing w:after="0"/>
              <w:jc w:val="center"/>
              <w:rPr>
                <w:rFonts w:ascii="Calibri" w:eastAsia="Times New Roman" w:hAnsi="Calibri"/>
                <w:color w:val="FFFFFF"/>
                <w:sz w:val="20"/>
                <w:lang w:eastAsia="en-GB"/>
              </w:rPr>
            </w:pPr>
            <w:r w:rsidRPr="00736657">
              <w:rPr>
                <w:rFonts w:ascii="Calibri" w:eastAsia="Times New Roman" w:hAnsi="Calibri"/>
                <w:color w:val="FFFFFF"/>
                <w:sz w:val="20"/>
                <w:lang w:eastAsia="en-GB"/>
              </w:rPr>
              <w:t>2010</w:t>
            </w:r>
          </w:p>
        </w:tc>
        <w:tc>
          <w:tcPr>
            <w:tcW w:w="1386" w:type="pct"/>
            <w:tcBorders>
              <w:top w:val="nil"/>
              <w:left w:val="nil"/>
              <w:bottom w:val="single" w:sz="8" w:space="0" w:color="FFFFFF"/>
              <w:right w:val="single" w:sz="8" w:space="0" w:color="FFFFFF"/>
            </w:tcBorders>
            <w:shd w:val="clear" w:color="000000" w:fill="E7EEEF"/>
            <w:vAlign w:val="center"/>
            <w:hideMark/>
          </w:tcPr>
          <w:p w14:paraId="7697F5C1"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1,309</w:t>
            </w:r>
          </w:p>
        </w:tc>
        <w:tc>
          <w:tcPr>
            <w:tcW w:w="1664" w:type="pct"/>
            <w:tcBorders>
              <w:top w:val="nil"/>
              <w:left w:val="nil"/>
              <w:bottom w:val="single" w:sz="8" w:space="0" w:color="FFFFFF"/>
              <w:right w:val="single" w:sz="8" w:space="0" w:color="FFFFFF"/>
            </w:tcBorders>
            <w:shd w:val="clear" w:color="000000" w:fill="E7EEEF"/>
            <w:vAlign w:val="center"/>
            <w:hideMark/>
          </w:tcPr>
          <w:p w14:paraId="3EBBE0E1"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2.67</w:t>
            </w:r>
          </w:p>
        </w:tc>
        <w:tc>
          <w:tcPr>
            <w:tcW w:w="1492" w:type="pct"/>
            <w:tcBorders>
              <w:top w:val="nil"/>
              <w:left w:val="nil"/>
              <w:bottom w:val="single" w:sz="8" w:space="0" w:color="FFFFFF"/>
              <w:right w:val="single" w:sz="8" w:space="0" w:color="FFFFFF"/>
            </w:tcBorders>
            <w:shd w:val="clear" w:color="000000" w:fill="E7EEEF"/>
            <w:vAlign w:val="center"/>
            <w:hideMark/>
          </w:tcPr>
          <w:p w14:paraId="48AEE3A4"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3,498</w:t>
            </w:r>
          </w:p>
        </w:tc>
      </w:tr>
      <w:tr w:rsidR="00736657" w:rsidRPr="00736657" w14:paraId="714D932B" w14:textId="77777777" w:rsidTr="0073665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11CD8E6B" w14:textId="77777777" w:rsidR="00736657" w:rsidRPr="00736657" w:rsidRDefault="00736657" w:rsidP="00736657">
            <w:pPr>
              <w:spacing w:after="0"/>
              <w:jc w:val="center"/>
              <w:rPr>
                <w:rFonts w:ascii="Calibri" w:eastAsia="Times New Roman" w:hAnsi="Calibri"/>
                <w:color w:val="FFFFFF"/>
                <w:sz w:val="20"/>
                <w:lang w:eastAsia="en-GB"/>
              </w:rPr>
            </w:pPr>
            <w:r w:rsidRPr="00736657">
              <w:rPr>
                <w:rFonts w:ascii="Calibri" w:eastAsia="Times New Roman" w:hAnsi="Calibri"/>
                <w:color w:val="FFFFFF"/>
                <w:sz w:val="20"/>
                <w:lang w:eastAsia="en-GB"/>
              </w:rPr>
              <w:t>2011</w:t>
            </w:r>
          </w:p>
        </w:tc>
        <w:tc>
          <w:tcPr>
            <w:tcW w:w="1386" w:type="pct"/>
            <w:tcBorders>
              <w:top w:val="nil"/>
              <w:left w:val="nil"/>
              <w:bottom w:val="single" w:sz="8" w:space="0" w:color="FFFFFF"/>
              <w:right w:val="single" w:sz="8" w:space="0" w:color="FFFFFF"/>
            </w:tcBorders>
            <w:shd w:val="clear" w:color="000000" w:fill="D0CECE"/>
            <w:vAlign w:val="center"/>
            <w:hideMark/>
          </w:tcPr>
          <w:p w14:paraId="15DD4DDB"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1,546</w:t>
            </w:r>
          </w:p>
        </w:tc>
        <w:tc>
          <w:tcPr>
            <w:tcW w:w="1664" w:type="pct"/>
            <w:tcBorders>
              <w:top w:val="nil"/>
              <w:left w:val="nil"/>
              <w:bottom w:val="single" w:sz="8" w:space="0" w:color="FFFFFF"/>
              <w:right w:val="single" w:sz="8" w:space="0" w:color="FFFFFF"/>
            </w:tcBorders>
            <w:shd w:val="clear" w:color="000000" w:fill="D0CECE"/>
            <w:vAlign w:val="center"/>
            <w:hideMark/>
          </w:tcPr>
          <w:p w14:paraId="660079C3"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2.67</w:t>
            </w:r>
          </w:p>
        </w:tc>
        <w:tc>
          <w:tcPr>
            <w:tcW w:w="1492" w:type="pct"/>
            <w:tcBorders>
              <w:top w:val="nil"/>
              <w:left w:val="nil"/>
              <w:bottom w:val="single" w:sz="8" w:space="0" w:color="FFFFFF"/>
              <w:right w:val="single" w:sz="8" w:space="0" w:color="FFFFFF"/>
            </w:tcBorders>
            <w:shd w:val="clear" w:color="000000" w:fill="D0CECE"/>
            <w:vAlign w:val="center"/>
            <w:hideMark/>
          </w:tcPr>
          <w:p w14:paraId="3B4C1850"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4,126</w:t>
            </w:r>
          </w:p>
        </w:tc>
      </w:tr>
      <w:tr w:rsidR="00736657" w:rsidRPr="00736657" w14:paraId="212E1ACF" w14:textId="77777777" w:rsidTr="0073665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4813DE38" w14:textId="77777777" w:rsidR="00736657" w:rsidRPr="00736657" w:rsidRDefault="00736657" w:rsidP="00736657">
            <w:pPr>
              <w:spacing w:after="0"/>
              <w:jc w:val="center"/>
              <w:rPr>
                <w:rFonts w:ascii="Calibri" w:eastAsia="Times New Roman" w:hAnsi="Calibri"/>
                <w:color w:val="FFFFFF"/>
                <w:sz w:val="20"/>
                <w:lang w:eastAsia="en-GB"/>
              </w:rPr>
            </w:pPr>
            <w:r w:rsidRPr="00736657">
              <w:rPr>
                <w:rFonts w:ascii="Calibri" w:eastAsia="Times New Roman" w:hAnsi="Calibri"/>
                <w:color w:val="FFFFFF"/>
                <w:sz w:val="20"/>
                <w:lang w:eastAsia="en-GB"/>
              </w:rPr>
              <w:t>2012</w:t>
            </w:r>
          </w:p>
        </w:tc>
        <w:tc>
          <w:tcPr>
            <w:tcW w:w="1386" w:type="pct"/>
            <w:tcBorders>
              <w:top w:val="nil"/>
              <w:left w:val="nil"/>
              <w:bottom w:val="single" w:sz="8" w:space="0" w:color="FFFFFF"/>
              <w:right w:val="single" w:sz="8" w:space="0" w:color="FFFFFF"/>
            </w:tcBorders>
            <w:shd w:val="clear" w:color="000000" w:fill="E7EEEF"/>
            <w:vAlign w:val="center"/>
            <w:hideMark/>
          </w:tcPr>
          <w:p w14:paraId="3D40DF17"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1,752</w:t>
            </w:r>
          </w:p>
        </w:tc>
        <w:tc>
          <w:tcPr>
            <w:tcW w:w="1664" w:type="pct"/>
            <w:tcBorders>
              <w:top w:val="nil"/>
              <w:left w:val="nil"/>
              <w:bottom w:val="single" w:sz="8" w:space="0" w:color="FFFFFF"/>
              <w:right w:val="single" w:sz="8" w:space="0" w:color="FFFFFF"/>
            </w:tcBorders>
            <w:shd w:val="clear" w:color="000000" w:fill="E7EEEF"/>
            <w:vAlign w:val="center"/>
            <w:hideMark/>
          </w:tcPr>
          <w:p w14:paraId="7CBB3989"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2.67</w:t>
            </w:r>
          </w:p>
        </w:tc>
        <w:tc>
          <w:tcPr>
            <w:tcW w:w="1492" w:type="pct"/>
            <w:tcBorders>
              <w:top w:val="nil"/>
              <w:left w:val="nil"/>
              <w:bottom w:val="single" w:sz="8" w:space="0" w:color="FFFFFF"/>
              <w:right w:val="single" w:sz="8" w:space="0" w:color="FFFFFF"/>
            </w:tcBorders>
            <w:shd w:val="clear" w:color="000000" w:fill="E7EEEF"/>
            <w:vAlign w:val="center"/>
            <w:hideMark/>
          </w:tcPr>
          <w:p w14:paraId="359B4836"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4,676</w:t>
            </w:r>
          </w:p>
        </w:tc>
      </w:tr>
      <w:tr w:rsidR="00736657" w:rsidRPr="00736657" w14:paraId="0B2CD2B9" w14:textId="77777777" w:rsidTr="0073665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00C72CDA" w14:textId="77777777" w:rsidR="00736657" w:rsidRPr="00736657" w:rsidRDefault="00736657" w:rsidP="00736657">
            <w:pPr>
              <w:spacing w:after="0"/>
              <w:jc w:val="center"/>
              <w:rPr>
                <w:rFonts w:ascii="Calibri" w:eastAsia="Times New Roman" w:hAnsi="Calibri"/>
                <w:color w:val="FFFFFF"/>
                <w:sz w:val="20"/>
                <w:lang w:eastAsia="en-GB"/>
              </w:rPr>
            </w:pPr>
            <w:r w:rsidRPr="00736657">
              <w:rPr>
                <w:rFonts w:ascii="Calibri" w:eastAsia="Times New Roman" w:hAnsi="Calibri"/>
                <w:color w:val="FFFFFF"/>
                <w:sz w:val="20"/>
                <w:lang w:eastAsia="en-GB"/>
              </w:rPr>
              <w:t>2013</w:t>
            </w:r>
          </w:p>
        </w:tc>
        <w:tc>
          <w:tcPr>
            <w:tcW w:w="1386" w:type="pct"/>
            <w:tcBorders>
              <w:top w:val="nil"/>
              <w:left w:val="nil"/>
              <w:bottom w:val="single" w:sz="8" w:space="0" w:color="FFFFFF"/>
              <w:right w:val="single" w:sz="8" w:space="0" w:color="FFFFFF"/>
            </w:tcBorders>
            <w:shd w:val="clear" w:color="000000" w:fill="D0CECE"/>
            <w:vAlign w:val="center"/>
            <w:hideMark/>
          </w:tcPr>
          <w:p w14:paraId="74105CC4"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1,556</w:t>
            </w:r>
          </w:p>
        </w:tc>
        <w:tc>
          <w:tcPr>
            <w:tcW w:w="1664" w:type="pct"/>
            <w:tcBorders>
              <w:top w:val="nil"/>
              <w:left w:val="nil"/>
              <w:bottom w:val="single" w:sz="8" w:space="0" w:color="FFFFFF"/>
              <w:right w:val="single" w:sz="8" w:space="0" w:color="FFFFFF"/>
            </w:tcBorders>
            <w:shd w:val="clear" w:color="000000" w:fill="D0CECE"/>
            <w:vAlign w:val="center"/>
            <w:hideMark/>
          </w:tcPr>
          <w:p w14:paraId="32C3C68A"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2.66</w:t>
            </w:r>
          </w:p>
        </w:tc>
        <w:tc>
          <w:tcPr>
            <w:tcW w:w="1492" w:type="pct"/>
            <w:tcBorders>
              <w:top w:val="nil"/>
              <w:left w:val="nil"/>
              <w:bottom w:val="single" w:sz="8" w:space="0" w:color="FFFFFF"/>
              <w:right w:val="single" w:sz="8" w:space="0" w:color="FFFFFF"/>
            </w:tcBorders>
            <w:shd w:val="clear" w:color="000000" w:fill="D0CECE"/>
            <w:vAlign w:val="center"/>
            <w:hideMark/>
          </w:tcPr>
          <w:p w14:paraId="1BA45A67"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4,139</w:t>
            </w:r>
          </w:p>
        </w:tc>
      </w:tr>
      <w:tr w:rsidR="00736657" w:rsidRPr="00736657" w14:paraId="4745A4B9" w14:textId="77777777" w:rsidTr="0073665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519CCA9D" w14:textId="77777777" w:rsidR="00736657" w:rsidRPr="00736657" w:rsidRDefault="00736657" w:rsidP="00736657">
            <w:pPr>
              <w:spacing w:after="0"/>
              <w:jc w:val="center"/>
              <w:rPr>
                <w:rFonts w:ascii="Calibri" w:eastAsia="Times New Roman" w:hAnsi="Calibri"/>
                <w:color w:val="FFFFFF"/>
                <w:sz w:val="20"/>
                <w:lang w:eastAsia="en-GB"/>
              </w:rPr>
            </w:pPr>
            <w:r w:rsidRPr="00736657">
              <w:rPr>
                <w:rFonts w:ascii="Calibri" w:eastAsia="Times New Roman" w:hAnsi="Calibri"/>
                <w:color w:val="FFFFFF"/>
                <w:sz w:val="20"/>
                <w:lang w:eastAsia="en-GB"/>
              </w:rPr>
              <w:t>2014</w:t>
            </w:r>
          </w:p>
        </w:tc>
        <w:tc>
          <w:tcPr>
            <w:tcW w:w="1386" w:type="pct"/>
            <w:tcBorders>
              <w:top w:val="nil"/>
              <w:left w:val="nil"/>
              <w:bottom w:val="single" w:sz="8" w:space="0" w:color="FFFFFF"/>
              <w:right w:val="single" w:sz="8" w:space="0" w:color="FFFFFF"/>
            </w:tcBorders>
            <w:shd w:val="clear" w:color="000000" w:fill="E7EEEF"/>
            <w:vAlign w:val="center"/>
            <w:hideMark/>
          </w:tcPr>
          <w:p w14:paraId="0715C6D9"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1,570</w:t>
            </w:r>
          </w:p>
        </w:tc>
        <w:tc>
          <w:tcPr>
            <w:tcW w:w="1664" w:type="pct"/>
            <w:tcBorders>
              <w:top w:val="nil"/>
              <w:left w:val="nil"/>
              <w:bottom w:val="single" w:sz="8" w:space="0" w:color="FFFFFF"/>
              <w:right w:val="single" w:sz="8" w:space="0" w:color="FFFFFF"/>
            </w:tcBorders>
            <w:shd w:val="clear" w:color="000000" w:fill="E7EEEF"/>
            <w:vAlign w:val="center"/>
            <w:hideMark/>
          </w:tcPr>
          <w:p w14:paraId="697A3631"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2.67</w:t>
            </w:r>
          </w:p>
        </w:tc>
        <w:tc>
          <w:tcPr>
            <w:tcW w:w="1492" w:type="pct"/>
            <w:tcBorders>
              <w:top w:val="nil"/>
              <w:left w:val="nil"/>
              <w:bottom w:val="single" w:sz="8" w:space="0" w:color="FFFFFF"/>
              <w:right w:val="single" w:sz="8" w:space="0" w:color="FFFFFF"/>
            </w:tcBorders>
            <w:shd w:val="clear" w:color="000000" w:fill="E7EEEF"/>
            <w:vAlign w:val="center"/>
            <w:hideMark/>
          </w:tcPr>
          <w:p w14:paraId="107DDAF5"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4,198</w:t>
            </w:r>
          </w:p>
        </w:tc>
      </w:tr>
      <w:tr w:rsidR="00736657" w:rsidRPr="00736657" w14:paraId="2A42E696" w14:textId="77777777" w:rsidTr="0073665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55CD1E21" w14:textId="77777777" w:rsidR="00736657" w:rsidRPr="00736657" w:rsidRDefault="00736657" w:rsidP="00736657">
            <w:pPr>
              <w:spacing w:after="0"/>
              <w:jc w:val="center"/>
              <w:rPr>
                <w:rFonts w:ascii="Calibri" w:eastAsia="Times New Roman" w:hAnsi="Calibri"/>
                <w:color w:val="FFFFFF"/>
                <w:sz w:val="20"/>
                <w:lang w:eastAsia="en-GB"/>
              </w:rPr>
            </w:pPr>
            <w:r w:rsidRPr="00736657">
              <w:rPr>
                <w:rFonts w:ascii="Calibri" w:eastAsia="Times New Roman" w:hAnsi="Calibri"/>
                <w:color w:val="FFFFFF"/>
                <w:sz w:val="20"/>
                <w:lang w:eastAsia="en-GB"/>
              </w:rPr>
              <w:t>2015</w:t>
            </w:r>
          </w:p>
        </w:tc>
        <w:tc>
          <w:tcPr>
            <w:tcW w:w="1386" w:type="pct"/>
            <w:tcBorders>
              <w:top w:val="nil"/>
              <w:left w:val="nil"/>
              <w:bottom w:val="single" w:sz="8" w:space="0" w:color="FFFFFF"/>
              <w:right w:val="single" w:sz="8" w:space="0" w:color="FFFFFF"/>
            </w:tcBorders>
            <w:shd w:val="clear" w:color="000000" w:fill="D0CECE"/>
            <w:vAlign w:val="center"/>
            <w:hideMark/>
          </w:tcPr>
          <w:p w14:paraId="3909B86C"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1,637</w:t>
            </w:r>
          </w:p>
        </w:tc>
        <w:tc>
          <w:tcPr>
            <w:tcW w:w="1664" w:type="pct"/>
            <w:tcBorders>
              <w:top w:val="nil"/>
              <w:left w:val="nil"/>
              <w:bottom w:val="single" w:sz="8" w:space="0" w:color="FFFFFF"/>
              <w:right w:val="single" w:sz="8" w:space="0" w:color="FFFFFF"/>
            </w:tcBorders>
            <w:shd w:val="clear" w:color="000000" w:fill="D0CECE"/>
            <w:vAlign w:val="center"/>
            <w:hideMark/>
          </w:tcPr>
          <w:p w14:paraId="44F4D84F"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2.68</w:t>
            </w:r>
          </w:p>
        </w:tc>
        <w:tc>
          <w:tcPr>
            <w:tcW w:w="1492" w:type="pct"/>
            <w:tcBorders>
              <w:top w:val="nil"/>
              <w:left w:val="nil"/>
              <w:bottom w:val="single" w:sz="8" w:space="0" w:color="FFFFFF"/>
              <w:right w:val="single" w:sz="8" w:space="0" w:color="FFFFFF"/>
            </w:tcBorders>
            <w:shd w:val="clear" w:color="000000" w:fill="D0CECE"/>
            <w:vAlign w:val="center"/>
            <w:hideMark/>
          </w:tcPr>
          <w:p w14:paraId="001B16B6"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4,386</w:t>
            </w:r>
          </w:p>
        </w:tc>
      </w:tr>
      <w:tr w:rsidR="00736657" w:rsidRPr="00736657" w14:paraId="530D9FE4" w14:textId="77777777" w:rsidTr="0073665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6394D13F" w14:textId="77777777" w:rsidR="00736657" w:rsidRPr="00736657" w:rsidRDefault="00736657" w:rsidP="00736657">
            <w:pPr>
              <w:spacing w:after="0"/>
              <w:jc w:val="center"/>
              <w:rPr>
                <w:rFonts w:ascii="Calibri" w:eastAsia="Times New Roman" w:hAnsi="Calibri"/>
                <w:color w:val="FFFFFF"/>
                <w:sz w:val="20"/>
                <w:lang w:eastAsia="en-GB"/>
              </w:rPr>
            </w:pPr>
            <w:r w:rsidRPr="00736657">
              <w:rPr>
                <w:rFonts w:ascii="Calibri" w:eastAsia="Times New Roman" w:hAnsi="Calibri"/>
                <w:color w:val="FFFFFF"/>
                <w:sz w:val="20"/>
                <w:lang w:eastAsia="en-GB"/>
              </w:rPr>
              <w:t>2016</w:t>
            </w:r>
          </w:p>
        </w:tc>
        <w:tc>
          <w:tcPr>
            <w:tcW w:w="1386" w:type="pct"/>
            <w:tcBorders>
              <w:top w:val="nil"/>
              <w:left w:val="nil"/>
              <w:bottom w:val="single" w:sz="8" w:space="0" w:color="FFFFFF"/>
              <w:right w:val="single" w:sz="8" w:space="0" w:color="FFFFFF"/>
            </w:tcBorders>
            <w:shd w:val="clear" w:color="000000" w:fill="E7EEEF"/>
            <w:vAlign w:val="center"/>
            <w:hideMark/>
          </w:tcPr>
          <w:p w14:paraId="5F2C546C"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1,971</w:t>
            </w:r>
          </w:p>
        </w:tc>
        <w:tc>
          <w:tcPr>
            <w:tcW w:w="1664" w:type="pct"/>
            <w:tcBorders>
              <w:top w:val="nil"/>
              <w:left w:val="nil"/>
              <w:bottom w:val="single" w:sz="8" w:space="0" w:color="FFFFFF"/>
              <w:right w:val="single" w:sz="8" w:space="0" w:color="FFFFFF"/>
            </w:tcBorders>
            <w:shd w:val="clear" w:color="000000" w:fill="E7EEEF"/>
            <w:vAlign w:val="center"/>
            <w:hideMark/>
          </w:tcPr>
          <w:p w14:paraId="42AF9AB6"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2.71</w:t>
            </w:r>
          </w:p>
        </w:tc>
        <w:tc>
          <w:tcPr>
            <w:tcW w:w="1492" w:type="pct"/>
            <w:tcBorders>
              <w:top w:val="nil"/>
              <w:left w:val="nil"/>
              <w:bottom w:val="single" w:sz="8" w:space="0" w:color="FFFFFF"/>
              <w:right w:val="single" w:sz="8" w:space="0" w:color="FFFFFF"/>
            </w:tcBorders>
            <w:shd w:val="clear" w:color="000000" w:fill="E7EEEF"/>
            <w:vAlign w:val="center"/>
            <w:hideMark/>
          </w:tcPr>
          <w:p w14:paraId="65CF0C09"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5,335</w:t>
            </w:r>
          </w:p>
        </w:tc>
      </w:tr>
      <w:tr w:rsidR="00736657" w:rsidRPr="00736657" w14:paraId="70848CF7" w14:textId="77777777" w:rsidTr="0073665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4CBBD9E0" w14:textId="77777777" w:rsidR="00736657" w:rsidRPr="00736657" w:rsidRDefault="00736657" w:rsidP="00736657">
            <w:pPr>
              <w:spacing w:after="0"/>
              <w:jc w:val="center"/>
              <w:rPr>
                <w:rFonts w:ascii="Calibri" w:eastAsia="Times New Roman" w:hAnsi="Calibri"/>
                <w:color w:val="FFFFFF"/>
                <w:sz w:val="20"/>
                <w:lang w:eastAsia="en-GB"/>
              </w:rPr>
            </w:pPr>
            <w:r w:rsidRPr="00736657">
              <w:rPr>
                <w:rFonts w:ascii="Calibri" w:eastAsia="Times New Roman" w:hAnsi="Calibri"/>
                <w:color w:val="FFFFFF"/>
                <w:sz w:val="20"/>
                <w:lang w:eastAsia="en-GB"/>
              </w:rPr>
              <w:t>2017</w:t>
            </w:r>
          </w:p>
        </w:tc>
        <w:tc>
          <w:tcPr>
            <w:tcW w:w="1386" w:type="pct"/>
            <w:tcBorders>
              <w:top w:val="nil"/>
              <w:left w:val="nil"/>
              <w:bottom w:val="single" w:sz="8" w:space="0" w:color="FFFFFF"/>
              <w:right w:val="single" w:sz="8" w:space="0" w:color="FFFFFF"/>
            </w:tcBorders>
            <w:shd w:val="clear" w:color="000000" w:fill="D0CECE"/>
            <w:vAlign w:val="center"/>
            <w:hideMark/>
          </w:tcPr>
          <w:p w14:paraId="5DA23D5E"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2,130</w:t>
            </w:r>
          </w:p>
        </w:tc>
        <w:tc>
          <w:tcPr>
            <w:tcW w:w="1664" w:type="pct"/>
            <w:tcBorders>
              <w:top w:val="nil"/>
              <w:left w:val="nil"/>
              <w:bottom w:val="single" w:sz="8" w:space="0" w:color="FFFFFF"/>
              <w:right w:val="single" w:sz="8" w:space="0" w:color="FFFFFF"/>
            </w:tcBorders>
            <w:shd w:val="clear" w:color="000000" w:fill="D0CECE"/>
            <w:vAlign w:val="center"/>
            <w:hideMark/>
          </w:tcPr>
          <w:p w14:paraId="34191491"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2.71</w:t>
            </w:r>
          </w:p>
        </w:tc>
        <w:tc>
          <w:tcPr>
            <w:tcW w:w="1492" w:type="pct"/>
            <w:tcBorders>
              <w:top w:val="nil"/>
              <w:left w:val="nil"/>
              <w:bottom w:val="single" w:sz="8" w:space="0" w:color="FFFFFF"/>
              <w:right w:val="single" w:sz="8" w:space="0" w:color="FFFFFF"/>
            </w:tcBorders>
            <w:shd w:val="clear" w:color="000000" w:fill="D0CECE"/>
            <w:vAlign w:val="center"/>
            <w:hideMark/>
          </w:tcPr>
          <w:p w14:paraId="4136DB36" w14:textId="77777777" w:rsidR="00736657" w:rsidRPr="00736657" w:rsidRDefault="00736657" w:rsidP="00736657">
            <w:pPr>
              <w:spacing w:after="0"/>
              <w:jc w:val="center"/>
              <w:rPr>
                <w:rFonts w:ascii="Calibri" w:eastAsia="Times New Roman" w:hAnsi="Calibri"/>
                <w:color w:val="000000"/>
                <w:sz w:val="20"/>
                <w:lang w:eastAsia="en-GB"/>
              </w:rPr>
            </w:pPr>
            <w:r w:rsidRPr="00736657">
              <w:rPr>
                <w:rFonts w:ascii="Calibri" w:eastAsia="Times New Roman" w:hAnsi="Calibri"/>
                <w:color w:val="000000"/>
                <w:sz w:val="20"/>
                <w:lang w:eastAsia="en-GB"/>
              </w:rPr>
              <w:t>5,779</w:t>
            </w:r>
          </w:p>
        </w:tc>
      </w:tr>
    </w:tbl>
    <w:p w14:paraId="32EABCC5" w14:textId="250D8EB5" w:rsidR="00856904" w:rsidRPr="00520FF4" w:rsidRDefault="00856904" w:rsidP="00290DC3">
      <w:pPr>
        <w:spacing w:before="60" w:after="120"/>
        <w:jc w:val="right"/>
        <w:rPr>
          <w:rStyle w:val="SubtleEmphasis"/>
          <w:i w:val="0"/>
          <w:sz w:val="18"/>
        </w:rPr>
      </w:pPr>
      <w:r w:rsidRPr="00520FF4">
        <w:rPr>
          <w:rStyle w:val="SubtleEmphasis"/>
          <w:sz w:val="18"/>
        </w:rPr>
        <w:t>Source: ONS, FAME, Cebr analysis</w:t>
      </w:r>
    </w:p>
    <w:p w14:paraId="56C5BAE1" w14:textId="4A0D096F" w:rsidR="009924DA" w:rsidRDefault="009924DA" w:rsidP="00DA5557">
      <w:pPr>
        <w:pStyle w:val="Heading2"/>
      </w:pPr>
      <w:bookmarkStart w:id="112" w:name="_Toc20139752"/>
      <w:r>
        <w:t>The wider economic impacts through turnover</w:t>
      </w:r>
      <w:bookmarkEnd w:id="112"/>
      <w:r>
        <w:t xml:space="preserve"> </w:t>
      </w:r>
    </w:p>
    <w:p w14:paraId="7A9F3DA6" w14:textId="094AD2F0" w:rsidR="009924DA" w:rsidRDefault="009924DA" w:rsidP="009924DA">
      <w:r>
        <w:t xml:space="preserve">This section sets out the economic impact of the Solent-based Maritime sector and Portsmouth Naval Base through turnover. </w:t>
      </w:r>
    </w:p>
    <w:p w14:paraId="30E3D620" w14:textId="6945C922" w:rsidR="002C5486" w:rsidRDefault="008E0F3E" w:rsidP="009924DA">
      <w:pPr>
        <w:rPr>
          <w:b/>
        </w:rPr>
      </w:pPr>
      <w:r>
        <w:fldChar w:fldCharType="begin"/>
      </w:r>
      <w:r>
        <w:instrText xml:space="preserve"> REF _Ref16596294 \h </w:instrText>
      </w:r>
      <w:r>
        <w:fldChar w:fldCharType="separate"/>
      </w:r>
      <w:r w:rsidR="00D17FEA">
        <w:t xml:space="preserve">Figure </w:t>
      </w:r>
      <w:r w:rsidR="00D17FEA">
        <w:rPr>
          <w:noProof/>
        </w:rPr>
        <w:t>21</w:t>
      </w:r>
      <w:r>
        <w:fldChar w:fldCharType="end"/>
      </w:r>
      <w:r>
        <w:t xml:space="preserve"> </w:t>
      </w:r>
      <w:r w:rsidR="009924DA">
        <w:t>blow illustrates the direct, indirect and induced turnover impacts associated with t</w:t>
      </w:r>
      <w:r w:rsidR="00BD60FC">
        <w:t xml:space="preserve">he Solent-based Maritime sector. Collectively, the five Solent-based Maritime industries and Portsmouth Naval Base directly contributed £5.3 billion in turnover in 2017; once the indirect and induced economic channels are taken into consideration the industries </w:t>
      </w:r>
      <w:r w:rsidR="0080602B">
        <w:t>supported</w:t>
      </w:r>
      <w:r w:rsidR="00BD60FC">
        <w:t xml:space="preserve"> approximately £12.4 billion </w:t>
      </w:r>
      <w:r w:rsidR="0080602B">
        <w:t xml:space="preserve">in turnover </w:t>
      </w:r>
      <w:r w:rsidR="00BD60FC">
        <w:t xml:space="preserve">to the local economy. </w:t>
      </w:r>
      <w:r w:rsidR="00BD60FC" w:rsidRPr="00BD60FC">
        <w:rPr>
          <w:b/>
        </w:rPr>
        <w:t>Alternatively,</w:t>
      </w:r>
      <w:r w:rsidR="009924DA" w:rsidRPr="00E31A52">
        <w:rPr>
          <w:b/>
        </w:rPr>
        <w:t xml:space="preserve"> for every £1 of </w:t>
      </w:r>
      <w:r w:rsidR="009924DA">
        <w:rPr>
          <w:b/>
        </w:rPr>
        <w:t>turnover</w:t>
      </w:r>
      <w:r w:rsidR="000B472F">
        <w:rPr>
          <w:b/>
        </w:rPr>
        <w:t xml:space="preserve"> initially generated</w:t>
      </w:r>
      <w:r w:rsidR="009924DA" w:rsidRPr="00E31A52">
        <w:rPr>
          <w:b/>
        </w:rPr>
        <w:t xml:space="preserve"> by </w:t>
      </w:r>
      <w:r w:rsidR="009924DA">
        <w:rPr>
          <w:b/>
        </w:rPr>
        <w:t>these entities in 2017</w:t>
      </w:r>
      <w:r w:rsidR="009924DA" w:rsidRPr="00E31A52">
        <w:rPr>
          <w:b/>
        </w:rPr>
        <w:t xml:space="preserve">, </w:t>
      </w:r>
      <w:r w:rsidR="009924DA">
        <w:rPr>
          <w:b/>
        </w:rPr>
        <w:t xml:space="preserve">£2.71 </w:t>
      </w:r>
      <w:r w:rsidR="00CF130D">
        <w:rPr>
          <w:b/>
        </w:rPr>
        <w:t xml:space="preserve">in turnover </w:t>
      </w:r>
      <w:r w:rsidR="000B472F">
        <w:rPr>
          <w:b/>
        </w:rPr>
        <w:t>is contributed</w:t>
      </w:r>
      <w:r w:rsidR="009924DA">
        <w:rPr>
          <w:b/>
        </w:rPr>
        <w:t xml:space="preserve"> across the Solent LEP as a whole</w:t>
      </w:r>
      <w:r w:rsidR="009924DA" w:rsidRPr="00E31A52">
        <w:rPr>
          <w:b/>
        </w:rPr>
        <w:t>.</w:t>
      </w:r>
    </w:p>
    <w:p w14:paraId="5D8B5F30" w14:textId="7FC1DD32" w:rsidR="002C5486" w:rsidRDefault="00CF130D" w:rsidP="00CF130D">
      <w:pPr>
        <w:tabs>
          <w:tab w:val="left" w:pos="6787"/>
        </w:tabs>
        <w:rPr>
          <w:b/>
        </w:rPr>
      </w:pPr>
      <w:r>
        <w:rPr>
          <w:b/>
        </w:rPr>
        <w:tab/>
      </w:r>
    </w:p>
    <w:p w14:paraId="66878EF6" w14:textId="77777777" w:rsidR="002C5486" w:rsidRDefault="002C5486" w:rsidP="009924DA">
      <w:pPr>
        <w:rPr>
          <w:b/>
        </w:rPr>
      </w:pPr>
    </w:p>
    <w:p w14:paraId="25DA4351" w14:textId="77777777" w:rsidR="002C5486" w:rsidRDefault="002C5486" w:rsidP="009924DA">
      <w:pPr>
        <w:rPr>
          <w:b/>
        </w:rPr>
      </w:pPr>
    </w:p>
    <w:p w14:paraId="7438C3F1" w14:textId="77777777" w:rsidR="002C5486" w:rsidRDefault="002C5486" w:rsidP="009924DA"/>
    <w:p w14:paraId="6BF965A9" w14:textId="77777777" w:rsidR="009924DA" w:rsidRDefault="009924DA" w:rsidP="009924DA"/>
    <w:p w14:paraId="4043C30B" w14:textId="0730BA9C" w:rsidR="009924DA" w:rsidRDefault="009924DA" w:rsidP="009924DA">
      <w:pPr>
        <w:pStyle w:val="Caption"/>
        <w:keepNext/>
      </w:pPr>
      <w:bookmarkStart w:id="113" w:name="_Ref16596294"/>
      <w:r>
        <w:lastRenderedPageBreak/>
        <w:t xml:space="preserve">Figure </w:t>
      </w:r>
      <w:r>
        <w:rPr>
          <w:noProof/>
        </w:rPr>
        <w:fldChar w:fldCharType="begin"/>
      </w:r>
      <w:r>
        <w:rPr>
          <w:noProof/>
        </w:rPr>
        <w:instrText xml:space="preserve"> SEQ Figure \* ARABIC </w:instrText>
      </w:r>
      <w:r>
        <w:rPr>
          <w:noProof/>
        </w:rPr>
        <w:fldChar w:fldCharType="separate"/>
      </w:r>
      <w:r w:rsidR="00D17FEA">
        <w:rPr>
          <w:noProof/>
        </w:rPr>
        <w:t>21</w:t>
      </w:r>
      <w:r>
        <w:rPr>
          <w:noProof/>
        </w:rPr>
        <w:fldChar w:fldCharType="end"/>
      </w:r>
      <w:bookmarkEnd w:id="113"/>
      <w:r>
        <w:t xml:space="preserve">: Turnover </w:t>
      </w:r>
      <w:r w:rsidRPr="00F23A3A">
        <w:t>multiplier impacts of the Solent-based Maritime sector</w:t>
      </w:r>
      <w:r>
        <w:t xml:space="preserve"> and Portsmouth Naval Base, 2017</w:t>
      </w:r>
    </w:p>
    <w:p w14:paraId="1F06FD72" w14:textId="0ECED556" w:rsidR="002C5486" w:rsidRDefault="002C5486" w:rsidP="00A74D2A">
      <w:r w:rsidRPr="002C5486">
        <w:rPr>
          <w:noProof/>
          <w:lang w:eastAsia="en-GB"/>
        </w:rPr>
        <mc:AlternateContent>
          <mc:Choice Requires="wpg">
            <w:drawing>
              <wp:anchor distT="0" distB="0" distL="114300" distR="114300" simplePos="0" relativeHeight="251662336" behindDoc="0" locked="0" layoutInCell="1" allowOverlap="1" wp14:anchorId="67971A56" wp14:editId="7E2F9EF5">
                <wp:simplePos x="0" y="0"/>
                <wp:positionH relativeFrom="column">
                  <wp:posOffset>51187</wp:posOffset>
                </wp:positionH>
                <wp:positionV relativeFrom="paragraph">
                  <wp:posOffset>5632</wp:posOffset>
                </wp:positionV>
                <wp:extent cx="5760000" cy="2289976"/>
                <wp:effectExtent l="0" t="0" r="0" b="0"/>
                <wp:wrapNone/>
                <wp:docPr id="36" name="Group 3"/>
                <wp:cNvGraphicFramePr/>
                <a:graphic xmlns:a="http://schemas.openxmlformats.org/drawingml/2006/main">
                  <a:graphicData uri="http://schemas.microsoft.com/office/word/2010/wordprocessingGroup">
                    <wpg:wgp>
                      <wpg:cNvGrpSpPr/>
                      <wpg:grpSpPr>
                        <a:xfrm>
                          <a:off x="0" y="0"/>
                          <a:ext cx="5760000" cy="2289976"/>
                          <a:chOff x="0" y="0"/>
                          <a:chExt cx="6508545" cy="1930619"/>
                        </a:xfrm>
                      </wpg:grpSpPr>
                      <wps:wsp>
                        <wps:cNvPr id="37" name="Down Arrow 37"/>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Down Arrow 38"/>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2495" y="1584319"/>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FA3E3D" w14:textId="0D415567" w:rsidR="00D17FEA" w:rsidRDefault="00D17FEA" w:rsidP="002C5486">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£12.0bn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87AB0" w14:textId="77777777" w:rsidR="00D17FEA" w:rsidRDefault="00D17FEA" w:rsidP="002C5486">
                              <w:pPr>
                                <w:pStyle w:val="NormalWeb"/>
                                <w:spacing w:before="0" w:beforeAutospacing="0" w:after="0" w:afterAutospacing="0"/>
                                <w:jc w:val="center"/>
                                <w:rPr>
                                  <w:rFonts w:asciiTheme="minorHAnsi" w:hAnsi="+mn-ea" w:cstheme="minorBidi"/>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w:t>
                              </w:r>
                            </w:p>
                            <w:p w14:paraId="2E19270A" w14:textId="033784BD" w:rsidR="00D17FEA" w:rsidRDefault="00D17FEA" w:rsidP="002C5486">
                              <w:pPr>
                                <w:pStyle w:val="NormalWeb"/>
                                <w:spacing w:before="0" w:beforeAutospacing="0" w:after="0" w:afterAutospacing="0"/>
                                <w:jc w:val="center"/>
                              </w:pPr>
                              <w:r>
                                <w:rPr>
                                  <w:rFonts w:asciiTheme="minorHAnsi" w:hAnsi="+mn-ea" w:cstheme="minorBidi"/>
                                  <w:b/>
                                  <w:bCs/>
                                  <w:color w:val="FFFFFF" w:themeColor="background1"/>
                                  <w:kern w:val="24"/>
                                  <w:sz w:val="26"/>
                                  <w:szCs w:val="26"/>
                                </w:rPr>
                                <w:t xml:space="preserve"> </w:t>
                              </w:r>
                            </w:p>
                            <w:p w14:paraId="15FB7916" w14:textId="77777777" w:rsidR="00D17FEA" w:rsidRDefault="00D17FEA" w:rsidP="002C5486">
                              <w:pPr>
                                <w:pStyle w:val="NormalWeb"/>
                                <w:spacing w:before="0" w:beforeAutospacing="0" w:after="0" w:afterAutospacing="0"/>
                                <w:jc w:val="center"/>
                              </w:pPr>
                              <w:r>
                                <w:rPr>
                                  <w:rFonts w:asciiTheme="minorHAnsi" w:hAnsi="Calibri" w:cstheme="minorBidi"/>
                                  <w:color w:val="FFFFFF" w:themeColor="background1"/>
                                  <w:kern w:val="24"/>
                                  <w:sz w:val="48"/>
                                  <w:szCs w:val="48"/>
                                </w:rPr>
                                <w:t>£5.3bn</w:t>
                              </w:r>
                            </w:p>
                          </w:txbxContent>
                        </wps:txbx>
                        <wps:bodyPr rtlCol="0" anchor="t" anchorCtr="0"/>
                      </wps:wsp>
                      <wps:wsp>
                        <wps:cNvPr id="44" name="Rounded Rectangle 44"/>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50580" w14:textId="17C46FC0" w:rsidR="00D17FEA" w:rsidRDefault="00D17FEA" w:rsidP="002C5486">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rPr>
                                <w:t>)</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£4.4bn</w:t>
                              </w:r>
                            </w:p>
                          </w:txbxContent>
                        </wps:txbx>
                        <wps:bodyPr rtlCol="0" anchor="t" anchorCtr="0"/>
                      </wps:wsp>
                      <wps:wsp>
                        <wps:cNvPr id="45" name="Rounded Rectangle 45"/>
                        <wps:cNvSpPr/>
                        <wps:spPr>
                          <a:xfrm>
                            <a:off x="4648616" y="462538"/>
                            <a:ext cx="1584176" cy="96493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B2444" w14:textId="23BA62AE" w:rsidR="00D17FEA" w:rsidRDefault="00D17FEA" w:rsidP="002C5486">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 </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rPr>
                                <w:t>)</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£2.3bn</w:t>
                              </w:r>
                            </w:p>
                          </w:txbxContent>
                        </wps:txbx>
                        <wps:bodyPr rtlCol="0" anchor="t" anchorCtr="0"/>
                      </wps:wsp>
                      <wps:wsp>
                        <wps:cNvPr id="46" name="Rectangle 46"/>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4EF93C" w14:textId="77777777" w:rsidR="00D17FEA" w:rsidRDefault="00D17FEA" w:rsidP="002C5486">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Turnover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971A56" id="_x0000_s1034" style="position:absolute;margin-left:4.05pt;margin-top:.45pt;width:453.55pt;height:180.3pt;z-index:251662336;mso-width-relative:margin;mso-height-relative:margin"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">
                <v:shape id="Down Arrow 37" o:spid="_x0000_s1035"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ccsEA&#10;AADbAAAADwAAAGRycy9kb3ducmV2LnhtbESPQWvCQBSE74X+h+UVvNVNLRqNrqIFoVe1l96e2WcS&#10;mvc2ZFdd/31XEDwOM/MNs1hFbtWFet84MfAxzECRlM42Uhn4OWzfp6B8QLHYOiEDN/KwWr6+LLCw&#10;7io7uuxDpRJEfIEG6hC6Qmtf1sToh64jSd7J9Ywhyb7StsdrgnOrR1k20YyNpIUaO/qqqfzbn9mA&#10;zJijnznqfv140/DtGDfr3JjBW1zPQQWK4Rl+tL+tgc8c7l/SD9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HnHLBAAAA2wAAAA8AAAAAAAAAAAAAAAAAmAIAAGRycy9kb3du&#10;cmV2LnhtbFBLBQYAAAAABAAEAPUAAACGAwAAAAA=&#10;" adj="10800" fillcolor="#c4c4c6 [1302]" stroked="f" strokeweight="2pt"/>
                <v:shape id="Down Arrow 38" o:spid="_x0000_s1036"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IAL8A&#10;AADbAAAADwAAAGRycy9kb3ducmV2LnhtbERPO2/CMBDeK/U/WIfEVhyK+iDFIFIJqWuhS7cjPpKo&#10;uXMUu4nz7/GAxPjpe292kVs1UO8bJwaWiwwUSelsI5WBn9Ph6R2UDygWWydkYCIPu+3jwwZz60b5&#10;puEYKpVCxOdooA6hy7X2ZU2MfuE6ksRdXM8YEuwrbXscUzi3+jnLXjVjI6mhxo4+ayr/jv9sQNbM&#10;0a8ddb/+pWh4Osdi/2bMfBb3H6ACxXAX39xf1sAqjU1f0g/Q2y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mAgAvwAAANsAAAAPAAAAAAAAAAAAAAAAAJgCAABkcnMvZG93bnJl&#10;di54bWxQSwUGAAAAAAQABAD1AAAAhAMAAAAA&#10;" adj="10800" fillcolor="#c4c4c6 [1302]" stroked="f" strokeweight="2pt"/>
                <v:rect id="Rectangle 41" o:spid="_x0000_s1037"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3gFcAA&#10;AADbAAAADwAAAGRycy9kb3ducmV2LnhtbESPT4vCMBTE7wt+h/CEva2pootUo5SCoEfrn/OjebbF&#10;5KU0Uet+eiMIexxm5jfMct1bI+7U+caxgvEoAUFcOt1wpeB42PzMQfiArNE4JgVP8rBeDb6WmGr3&#10;4D3di1CJCGGfooI6hDaV0pc1WfQj1xJH7+I6iyHKrpK6w0eEWyMnSfIrLTYcF2psKa+pvBY3q2DG&#10;tJuF4s/kpyy73LA85WdvlPoe9tkCRKA+/Ic/7a1WMB3D+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3gFcAAAADbAAAADwAAAAAAAAAAAAAAAACYAgAAZHJzL2Rvd25y&#10;ZXYueG1sUEsFBgAAAAAEAAQA9QAAAIUDAAAAAA==&#10;" fillcolor="#6d6e71 [3206]" stroked="f" strokeweight="2pt">
                  <v:textbox>
                    <w:txbxContent>
                      <w:p w14:paraId="0DFA3E3D" w14:textId="0D415567" w:rsidR="00D17FEA" w:rsidRDefault="00D17FEA" w:rsidP="002C5486">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£12.0bn</w:t>
                        </w:r>
                      </w:p>
                    </w:txbxContent>
                  </v:textbox>
                </v:rect>
                <v:roundrect id="Rounded Rectangle 43" o:spid="_x0000_s1038"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Qm8MA&#10;AADbAAAADwAAAGRycy9kb3ducmV2LnhtbESPzWrDMBCE74W+g9hCLiWRG5cS3CghBEx6rdsH2Fgb&#10;27W0Mpbqnzx9VQjkOMzMN8x2P1kjBup941jByyoBQVw63XCl4PsrX25A+ICs0TgmBTN52O8eH7aY&#10;aTfyJw1FqESEsM9QQR1Cl0npy5os+pXriKN3cb3FEGVfSd3jGOHWyHWSvEmLDceFGjs61lS2xa9V&#10;cMU8vczm1DXn4bl1ZtyMP22p1OJpOryDCDSFe/jW/tAKXlP4/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0Qm8MAAADbAAAADwAAAAAAAAAAAAAAAACYAgAAZHJzL2Rv&#10;d25yZXYueG1sUEsFBgAAAAAEAAQA9QAAAIgDAAAAAA==&#10;" fillcolor="#008c9b [3204]" stroked="f" strokeweight="2pt">
                  <v:textbox>
                    <w:txbxContent>
                      <w:p w14:paraId="40687AB0" w14:textId="77777777" w:rsidR="00D17FEA" w:rsidRDefault="00D17FEA" w:rsidP="002C5486">
                        <w:pPr>
                          <w:pStyle w:val="NormalWeb"/>
                          <w:spacing w:before="0" w:beforeAutospacing="0" w:after="0" w:afterAutospacing="0"/>
                          <w:jc w:val="center"/>
                          <w:rPr>
                            <w:rFonts w:asciiTheme="minorHAnsi" w:hAnsi="+mn-ea" w:cstheme="minorBidi"/>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w:t>
                        </w:r>
                      </w:p>
                      <w:p w14:paraId="2E19270A" w14:textId="033784BD" w:rsidR="00D17FEA" w:rsidRDefault="00D17FEA" w:rsidP="002C5486">
                        <w:pPr>
                          <w:pStyle w:val="NormalWeb"/>
                          <w:spacing w:before="0" w:beforeAutospacing="0" w:after="0" w:afterAutospacing="0"/>
                          <w:jc w:val="center"/>
                        </w:pPr>
                        <w:r>
                          <w:rPr>
                            <w:rFonts w:asciiTheme="minorHAnsi" w:hAnsi="+mn-ea" w:cstheme="minorBidi"/>
                            <w:b/>
                            <w:bCs/>
                            <w:color w:val="FFFFFF" w:themeColor="background1"/>
                            <w:kern w:val="24"/>
                            <w:sz w:val="26"/>
                            <w:szCs w:val="26"/>
                          </w:rPr>
                          <w:t xml:space="preserve"> </w:t>
                        </w:r>
                      </w:p>
                      <w:p w14:paraId="15FB7916" w14:textId="77777777" w:rsidR="00D17FEA" w:rsidRDefault="00D17FEA" w:rsidP="002C5486">
                        <w:pPr>
                          <w:pStyle w:val="NormalWeb"/>
                          <w:spacing w:before="0" w:beforeAutospacing="0" w:after="0" w:afterAutospacing="0"/>
                          <w:jc w:val="center"/>
                        </w:pPr>
                        <w:r>
                          <w:rPr>
                            <w:rFonts w:asciiTheme="minorHAnsi" w:hAnsi="Calibri" w:cstheme="minorBidi"/>
                            <w:color w:val="FFFFFF" w:themeColor="background1"/>
                            <w:kern w:val="24"/>
                            <w:sz w:val="48"/>
                            <w:szCs w:val="48"/>
                          </w:rPr>
                          <w:t>£5.3bn</w:t>
                        </w:r>
                      </w:p>
                    </w:txbxContent>
                  </v:textbox>
                </v:roundrect>
                <v:roundrect id="Rounded Rectangle 44" o:spid="_x0000_s1039"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UvcEA&#10;AADbAAAADwAAAGRycy9kb3ducmV2LnhtbESPQYvCMBSE74L/ITzBm6ZqkbUaRUTByy6o6/3RPNti&#10;81KTqPXfbxYEj8PMfMMsVq2pxYOcrywrGA0TEMS51RUXCn5Pu8EXCB+QNdaWScGLPKyW3c4CM22f&#10;fKDHMRQiQthnqKAMocmk9HlJBv3QNsTRu1hnMETpCqkdPiPc1HKcJFNpsOK4UGJDm5Ly6/FuFCTN&#10;2vqfVzqZnLbn73BLtatmWql+r13PQQRqwyf8bu+1gjSF/y/x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kVL3BAAAA2wAAAA8AAAAAAAAAAAAAAAAAmAIAAGRycy9kb3du&#10;cmV2LnhtbFBLBQYAAAAABAAEAPUAAACGAwAAAAA=&#10;" fillcolor="#0070c0" stroked="f" strokeweight="2pt">
                  <v:textbox>
                    <w:txbxContent>
                      <w:p w14:paraId="02950580" w14:textId="17C46FC0" w:rsidR="00D17FEA" w:rsidRDefault="00D17FEA" w:rsidP="002C5486">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proofErr w:type="gramStart"/>
                        <w:r>
                          <w:rPr>
                            <w:rFonts w:asciiTheme="minorHAnsi" w:hAnsi="Calibri" w:cstheme="minorBidi"/>
                            <w:b/>
                            <w:bCs/>
                            <w:color w:val="FFFFFF" w:themeColor="background1"/>
                            <w:kern w:val="24"/>
                          </w:rPr>
                          <w:t>)</w:t>
                        </w:r>
                        <w:proofErr w:type="gramEnd"/>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£4.4bn</w:t>
                        </w:r>
                      </w:p>
                    </w:txbxContent>
                  </v:textbox>
                </v:roundrect>
                <v:roundrect id="Rounded Rectangle 45" o:spid="_x0000_s1040" style="position:absolute;left:46486;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kGicQA&#10;AADbAAAADwAAAGRycy9kb3ducmV2LnhtbESPQYvCMBSE7wv+h/AEL4um6ipSjSILwqIXrXp/Ns+2&#10;2Lx0m6xWf70RFjwOM/MNM1s0phRXql1hWUG/F4EgTq0uOFNw2K+6ExDOI2ssLZOCOzlYzFsfM4y1&#10;vfGOronPRICwi1FB7n0VS+nSnAy6nq2Ig3e2tUEfZJ1JXeMtwE0pB1E0lgYLDgs5VvSdU3pJ/oyC&#10;Yj22q8/h7/40OfI2kZv+Y3Q5KtVpN8spCE+Nf4f/2z9awdcI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BonEAAAA2wAAAA8AAAAAAAAAAAAAAAAAmAIAAGRycy9k&#10;b3ducmV2LnhtbFBLBQYAAAAABAAEAPUAAACJAwAAAAA=&#10;" fillcolor="#7030a0" stroked="f" strokeweight="2pt">
                  <v:textbox>
                    <w:txbxContent>
                      <w:p w14:paraId="791B2444" w14:textId="23BA62AE" w:rsidR="00D17FEA" w:rsidRDefault="00D17FEA" w:rsidP="002C5486">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 </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proofErr w:type="gramStart"/>
                        <w:r>
                          <w:rPr>
                            <w:rFonts w:asciiTheme="minorHAnsi" w:hAnsi="Calibri" w:cstheme="minorBidi"/>
                            <w:b/>
                            <w:bCs/>
                            <w:color w:val="FFFFFF" w:themeColor="background1"/>
                            <w:kern w:val="24"/>
                          </w:rPr>
                          <w:t>)</w:t>
                        </w:r>
                        <w:proofErr w:type="gramEnd"/>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£2.3bn</w:t>
                        </w:r>
                      </w:p>
                    </w:txbxContent>
                  </v:textbox>
                </v:roundrect>
                <v:rect id="Rectangle 46" o:spid="_x0000_s1041"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4YcIA&#10;AADbAAAADwAAAGRycy9kb3ducmV2LnhtbESPzWrDMBCE74W8g9hAb7WcUpviRAnGEGiOdZKeF2v9&#10;Q6SVsZTE6dNXhUKPw8x8w2x2szXiRpMfHCtYJSkI4sbpgTsFp+P+5R2ED8gajWNS8CAPu+3iaYOF&#10;dnf+pFsdOhEh7AtU0IcwFlL6pieLPnEjcfRaN1kMUU6d1BPeI9wa+ZqmubQ4cFzocaSqp+ZSX62C&#10;jOmQhfrbVOeybK/YnKsvb5R6Xs7lGkSgOfyH/9ofWsFbDr9f4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HhhwgAAANsAAAAPAAAAAAAAAAAAAAAAAJgCAABkcnMvZG93&#10;bnJldi54bWxQSwUGAAAAAAQABAD1AAAAhwMAAAAA&#10;" fillcolor="#6d6e71 [3206]" stroked="f" strokeweight="2pt">
                  <v:textbox>
                    <w:txbxContent>
                      <w:p w14:paraId="5E4EF93C" w14:textId="77777777" w:rsidR="00D17FEA" w:rsidRDefault="00D17FEA" w:rsidP="002C5486">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Turnover</w:t>
                        </w:r>
                      </w:p>
                    </w:txbxContent>
                  </v:textbox>
                </v:rect>
              </v:group>
            </w:pict>
          </mc:Fallback>
        </mc:AlternateContent>
      </w:r>
    </w:p>
    <w:p w14:paraId="1DCB68DF" w14:textId="77777777" w:rsidR="002C5486" w:rsidRDefault="002C5486" w:rsidP="00A74D2A"/>
    <w:p w14:paraId="01D6C106" w14:textId="77777777" w:rsidR="002C5486" w:rsidRDefault="002C5486" w:rsidP="00A74D2A"/>
    <w:p w14:paraId="2BA2EC59" w14:textId="77777777" w:rsidR="002C5486" w:rsidRDefault="002C5486" w:rsidP="00A74D2A"/>
    <w:p w14:paraId="0FDEA1AF" w14:textId="77777777" w:rsidR="002C5486" w:rsidRDefault="002C5486" w:rsidP="00A74D2A"/>
    <w:p w14:paraId="54234A97" w14:textId="77777777" w:rsidR="002C5486" w:rsidRDefault="002C5486" w:rsidP="00A74D2A"/>
    <w:p w14:paraId="502E8DE3" w14:textId="77777777" w:rsidR="002C5486" w:rsidRDefault="002C5486" w:rsidP="00A74D2A"/>
    <w:p w14:paraId="6578B63A" w14:textId="77777777" w:rsidR="002C5486" w:rsidRDefault="002C5486" w:rsidP="00A74D2A"/>
    <w:p w14:paraId="03F21FAF" w14:textId="77777777" w:rsidR="002023D7" w:rsidRDefault="002023D7" w:rsidP="00A74D2A">
      <w:pPr>
        <w:spacing w:before="60" w:after="120"/>
        <w:jc w:val="right"/>
        <w:rPr>
          <w:rStyle w:val="SubtleEmphasis"/>
          <w:iCs w:val="0"/>
          <w:sz w:val="18"/>
        </w:rPr>
      </w:pPr>
    </w:p>
    <w:p w14:paraId="57A7B626" w14:textId="74E61024" w:rsidR="009924DA" w:rsidRDefault="002C5486" w:rsidP="00A74D2A">
      <w:pPr>
        <w:spacing w:before="60" w:after="120"/>
        <w:jc w:val="right"/>
      </w:pPr>
      <w:r>
        <w:rPr>
          <w:rStyle w:val="SubtleEmphasis"/>
          <w:iCs w:val="0"/>
          <w:sz w:val="18"/>
        </w:rPr>
        <w:t>Source: ONS, FAME, Cebr analysis</w:t>
      </w:r>
    </w:p>
    <w:p w14:paraId="5289D5B9" w14:textId="25A3EA42" w:rsidR="009924DA" w:rsidRDefault="008E0F3E" w:rsidP="009924DA">
      <w:r>
        <w:fldChar w:fldCharType="begin"/>
      </w:r>
      <w:r>
        <w:instrText xml:space="preserve"> REF _Ref16596335 \h </w:instrText>
      </w:r>
      <w:r>
        <w:fldChar w:fldCharType="separate"/>
      </w:r>
      <w:r w:rsidR="00D17FEA">
        <w:t xml:space="preserve">Table </w:t>
      </w:r>
      <w:r w:rsidR="00D17FEA">
        <w:rPr>
          <w:noProof/>
        </w:rPr>
        <w:t>17</w:t>
      </w:r>
      <w:r>
        <w:fldChar w:fldCharType="end"/>
      </w:r>
      <w:r>
        <w:t xml:space="preserve"> </w:t>
      </w:r>
      <w:r w:rsidR="009924DA">
        <w:t xml:space="preserve">overleaf shows the estimated aggregate </w:t>
      </w:r>
      <w:r w:rsidR="00C22011">
        <w:t xml:space="preserve">turnover </w:t>
      </w:r>
      <w:r w:rsidR="009924DA">
        <w:t>impacts from the Solent-based maritime industries and Portsmouth Naval Base, taken in isolation.</w:t>
      </w:r>
      <w:r w:rsidR="009924DA" w:rsidRPr="00020D65">
        <w:t xml:space="preserve"> </w:t>
      </w:r>
    </w:p>
    <w:p w14:paraId="0CD9097B" w14:textId="04206A7B" w:rsidR="009924DA" w:rsidRDefault="009924DA" w:rsidP="009924DA">
      <w:r>
        <w:t xml:space="preserve">Of this overall total, the largest </w:t>
      </w:r>
      <w:r w:rsidR="00C22011">
        <w:t xml:space="preserve">total </w:t>
      </w:r>
      <w:r w:rsidR="00B246A6">
        <w:t>turnover</w:t>
      </w:r>
      <w:r>
        <w:t xml:space="preserve"> </w:t>
      </w:r>
      <w:r w:rsidR="0080602B">
        <w:t>footprint</w:t>
      </w:r>
      <w:r>
        <w:t xml:space="preserve"> came from the Shipping industry, at £</w:t>
      </w:r>
      <w:r w:rsidR="00C22011">
        <w:t>6.9</w:t>
      </w:r>
      <w:r>
        <w:t xml:space="preserve"> billion. This is followed by Portsmouth Naval base, with a total </w:t>
      </w:r>
      <w:r w:rsidR="0080602B">
        <w:t>footprint</w:t>
      </w:r>
      <w:r>
        <w:t xml:space="preserve"> impact of approximately £</w:t>
      </w:r>
      <w:r w:rsidR="00C22011">
        <w:t>1.7</w:t>
      </w:r>
      <w:r>
        <w:t xml:space="preserve"> billion.</w:t>
      </w:r>
    </w:p>
    <w:p w14:paraId="10B3BD91" w14:textId="4494A5AF" w:rsidR="00C22011" w:rsidRDefault="00C22011" w:rsidP="00C22011">
      <w:pPr>
        <w:pStyle w:val="Caption"/>
        <w:keepNext/>
      </w:pPr>
      <w:bookmarkStart w:id="114" w:name="_Ref16596335"/>
      <w:r>
        <w:t xml:space="preserve">Table </w:t>
      </w:r>
      <w:r>
        <w:rPr>
          <w:noProof/>
        </w:rPr>
        <w:fldChar w:fldCharType="begin"/>
      </w:r>
      <w:r>
        <w:rPr>
          <w:noProof/>
        </w:rPr>
        <w:instrText xml:space="preserve"> SEQ Table \* ARABIC </w:instrText>
      </w:r>
      <w:r>
        <w:rPr>
          <w:noProof/>
        </w:rPr>
        <w:fldChar w:fldCharType="separate"/>
      </w:r>
      <w:r w:rsidR="00D17FEA">
        <w:rPr>
          <w:noProof/>
        </w:rPr>
        <w:t>17</w:t>
      </w:r>
      <w:r>
        <w:rPr>
          <w:noProof/>
        </w:rPr>
        <w:fldChar w:fldCharType="end"/>
      </w:r>
      <w:bookmarkEnd w:id="114"/>
      <w:r>
        <w:t>: Turnover impacts in 2017</w:t>
      </w:r>
      <w:r w:rsidRPr="00680C3E">
        <w:t xml:space="preserve"> disaggregated by industry and Ports</w:t>
      </w:r>
      <w:r>
        <w:t xml:space="preserve">mouth Naval Base, £ million. </w:t>
      </w:r>
    </w:p>
    <w:tbl>
      <w:tblPr>
        <w:tblW w:w="9424" w:type="dxa"/>
        <w:tblLook w:val="04A0" w:firstRow="1" w:lastRow="0" w:firstColumn="1" w:lastColumn="0" w:noHBand="0" w:noVBand="1"/>
      </w:tblPr>
      <w:tblGrid>
        <w:gridCol w:w="3159"/>
        <w:gridCol w:w="1528"/>
        <w:gridCol w:w="1579"/>
        <w:gridCol w:w="1579"/>
        <w:gridCol w:w="1579"/>
      </w:tblGrid>
      <w:tr w:rsidR="00BD60FC" w:rsidRPr="00BD60FC" w14:paraId="586F721E" w14:textId="77777777" w:rsidTr="00BD60FC">
        <w:trPr>
          <w:trHeight w:val="522"/>
        </w:trPr>
        <w:tc>
          <w:tcPr>
            <w:tcW w:w="3159" w:type="dxa"/>
            <w:tcBorders>
              <w:top w:val="single" w:sz="8" w:space="0" w:color="FFFFFF"/>
              <w:left w:val="nil"/>
              <w:bottom w:val="single" w:sz="12" w:space="0" w:color="FFFFFF"/>
              <w:right w:val="single" w:sz="8" w:space="0" w:color="FFFFFF"/>
            </w:tcBorders>
            <w:shd w:val="clear" w:color="000000" w:fill="008C9B"/>
            <w:vAlign w:val="center"/>
            <w:hideMark/>
          </w:tcPr>
          <w:p w14:paraId="083CBD79" w14:textId="77777777" w:rsidR="00BD60FC" w:rsidRPr="00BD60FC" w:rsidRDefault="00BD60FC" w:rsidP="00BD60FC">
            <w:pPr>
              <w:spacing w:after="0"/>
              <w:rPr>
                <w:rFonts w:ascii="Calibri" w:eastAsia="Times New Roman" w:hAnsi="Calibri"/>
                <w:b/>
                <w:bCs/>
                <w:color w:val="FFFFFF"/>
                <w:sz w:val="20"/>
                <w:lang w:eastAsia="en-GB"/>
              </w:rPr>
            </w:pPr>
            <w:r w:rsidRPr="00BD60FC">
              <w:rPr>
                <w:rFonts w:ascii="Calibri" w:eastAsia="Times New Roman" w:hAnsi="Calibri"/>
                <w:b/>
                <w:bCs/>
                <w:color w:val="FFFFFF"/>
                <w:sz w:val="20"/>
                <w:lang w:eastAsia="en-GB"/>
              </w:rPr>
              <w:t>Turnover in 2017</w:t>
            </w:r>
          </w:p>
        </w:tc>
        <w:tc>
          <w:tcPr>
            <w:tcW w:w="1528" w:type="dxa"/>
            <w:tcBorders>
              <w:top w:val="single" w:sz="8" w:space="0" w:color="FFFFFF"/>
              <w:left w:val="nil"/>
              <w:bottom w:val="single" w:sz="12" w:space="0" w:color="FFFFFF"/>
              <w:right w:val="single" w:sz="8" w:space="0" w:color="FFFFFF"/>
            </w:tcBorders>
            <w:shd w:val="clear" w:color="000000" w:fill="008C9B"/>
            <w:vAlign w:val="center"/>
            <w:hideMark/>
          </w:tcPr>
          <w:p w14:paraId="1D3D8D6C" w14:textId="77777777" w:rsidR="00BD60FC" w:rsidRPr="00BD60FC" w:rsidRDefault="00BD60FC" w:rsidP="00BD60FC">
            <w:pPr>
              <w:spacing w:after="0"/>
              <w:jc w:val="center"/>
              <w:rPr>
                <w:rFonts w:ascii="Calibri" w:eastAsia="Times New Roman" w:hAnsi="Calibri"/>
                <w:b/>
                <w:bCs/>
                <w:color w:val="FFFFFF"/>
                <w:sz w:val="20"/>
                <w:lang w:eastAsia="en-GB"/>
              </w:rPr>
            </w:pPr>
            <w:r w:rsidRPr="00BD60FC">
              <w:rPr>
                <w:rFonts w:ascii="Calibri" w:eastAsia="Times New Roman" w:hAnsi="Calibri"/>
                <w:b/>
                <w:bCs/>
                <w:color w:val="FFFFFF"/>
                <w:sz w:val="20"/>
                <w:lang w:eastAsia="en-GB"/>
              </w:rPr>
              <w:t xml:space="preserve">Direct Impact (£m)    </w:t>
            </w:r>
          </w:p>
        </w:tc>
        <w:tc>
          <w:tcPr>
            <w:tcW w:w="1579" w:type="dxa"/>
            <w:tcBorders>
              <w:top w:val="single" w:sz="8" w:space="0" w:color="FFFFFF"/>
              <w:left w:val="nil"/>
              <w:bottom w:val="single" w:sz="12" w:space="0" w:color="FFFFFF"/>
              <w:right w:val="single" w:sz="8" w:space="0" w:color="FFFFFF"/>
            </w:tcBorders>
            <w:shd w:val="clear" w:color="000000" w:fill="008C9B"/>
            <w:vAlign w:val="center"/>
            <w:hideMark/>
          </w:tcPr>
          <w:p w14:paraId="5D672021" w14:textId="77777777" w:rsidR="00BD60FC" w:rsidRPr="00BD60FC" w:rsidRDefault="00BD60FC" w:rsidP="00BD60FC">
            <w:pPr>
              <w:spacing w:after="0"/>
              <w:jc w:val="center"/>
              <w:rPr>
                <w:rFonts w:ascii="Calibri" w:eastAsia="Times New Roman" w:hAnsi="Calibri"/>
                <w:b/>
                <w:bCs/>
                <w:color w:val="FFFFFF"/>
                <w:sz w:val="20"/>
                <w:lang w:eastAsia="en-GB"/>
              </w:rPr>
            </w:pPr>
            <w:r w:rsidRPr="00BD60FC">
              <w:rPr>
                <w:rFonts w:ascii="Calibri" w:eastAsia="Times New Roman" w:hAnsi="Calibri"/>
                <w:b/>
                <w:bCs/>
                <w:color w:val="FFFFFF"/>
                <w:sz w:val="20"/>
                <w:lang w:eastAsia="en-GB"/>
              </w:rPr>
              <w:t xml:space="preserve">Indirect Impact (£m)    </w:t>
            </w:r>
          </w:p>
        </w:tc>
        <w:tc>
          <w:tcPr>
            <w:tcW w:w="1579" w:type="dxa"/>
            <w:tcBorders>
              <w:top w:val="single" w:sz="8" w:space="0" w:color="FFFFFF"/>
              <w:left w:val="nil"/>
              <w:bottom w:val="single" w:sz="12" w:space="0" w:color="FFFFFF"/>
              <w:right w:val="single" w:sz="8" w:space="0" w:color="FFFFFF"/>
            </w:tcBorders>
            <w:shd w:val="clear" w:color="000000" w:fill="008C9B"/>
            <w:vAlign w:val="center"/>
            <w:hideMark/>
          </w:tcPr>
          <w:p w14:paraId="58487F28" w14:textId="77777777" w:rsidR="00BD60FC" w:rsidRPr="00BD60FC" w:rsidRDefault="00BD60FC" w:rsidP="00BD60FC">
            <w:pPr>
              <w:spacing w:after="0"/>
              <w:jc w:val="center"/>
              <w:rPr>
                <w:rFonts w:ascii="Calibri" w:eastAsia="Times New Roman" w:hAnsi="Calibri"/>
                <w:b/>
                <w:bCs/>
                <w:color w:val="FFFFFF"/>
                <w:sz w:val="20"/>
                <w:lang w:eastAsia="en-GB"/>
              </w:rPr>
            </w:pPr>
            <w:r w:rsidRPr="00BD60FC">
              <w:rPr>
                <w:rFonts w:ascii="Calibri" w:eastAsia="Times New Roman" w:hAnsi="Calibri"/>
                <w:b/>
                <w:bCs/>
                <w:color w:val="FFFFFF"/>
                <w:sz w:val="20"/>
                <w:lang w:eastAsia="en-GB"/>
              </w:rPr>
              <w:t>Induced Impact (£m)</w:t>
            </w:r>
          </w:p>
        </w:tc>
        <w:tc>
          <w:tcPr>
            <w:tcW w:w="1579" w:type="dxa"/>
            <w:tcBorders>
              <w:top w:val="single" w:sz="8" w:space="0" w:color="FFFFFF"/>
              <w:left w:val="nil"/>
              <w:bottom w:val="single" w:sz="12" w:space="0" w:color="FFFFFF"/>
              <w:right w:val="single" w:sz="8" w:space="0" w:color="FFFFFF"/>
            </w:tcBorders>
            <w:shd w:val="clear" w:color="000000" w:fill="008C9B"/>
            <w:vAlign w:val="center"/>
            <w:hideMark/>
          </w:tcPr>
          <w:p w14:paraId="70431452" w14:textId="77777777" w:rsidR="00BD60FC" w:rsidRPr="00BD60FC" w:rsidRDefault="00BD60FC" w:rsidP="00BD60FC">
            <w:pPr>
              <w:spacing w:after="0"/>
              <w:jc w:val="center"/>
              <w:rPr>
                <w:rFonts w:ascii="Calibri" w:eastAsia="Times New Roman" w:hAnsi="Calibri"/>
                <w:b/>
                <w:bCs/>
                <w:color w:val="FFFFFF"/>
                <w:sz w:val="20"/>
                <w:lang w:eastAsia="en-GB"/>
              </w:rPr>
            </w:pPr>
            <w:r w:rsidRPr="00BD60FC">
              <w:rPr>
                <w:rFonts w:ascii="Calibri" w:eastAsia="Times New Roman" w:hAnsi="Calibri"/>
                <w:b/>
                <w:bCs/>
                <w:color w:val="FFFFFF"/>
                <w:sz w:val="20"/>
                <w:lang w:eastAsia="en-GB"/>
              </w:rPr>
              <w:t>Total Impact (£m)</w:t>
            </w:r>
          </w:p>
        </w:tc>
      </w:tr>
      <w:tr w:rsidR="00BD60FC" w:rsidRPr="00BD60FC" w14:paraId="0D4B4F81" w14:textId="77777777" w:rsidTr="00BD60FC">
        <w:trPr>
          <w:trHeight w:val="328"/>
        </w:trPr>
        <w:tc>
          <w:tcPr>
            <w:tcW w:w="3159" w:type="dxa"/>
            <w:tcBorders>
              <w:top w:val="nil"/>
              <w:left w:val="single" w:sz="8" w:space="0" w:color="FFFFFF"/>
              <w:bottom w:val="single" w:sz="8" w:space="0" w:color="FFFFFF"/>
              <w:right w:val="single" w:sz="8" w:space="0" w:color="FFFFFF"/>
            </w:tcBorders>
            <w:shd w:val="clear" w:color="000000" w:fill="008C9B"/>
            <w:vAlign w:val="bottom"/>
            <w:hideMark/>
          </w:tcPr>
          <w:p w14:paraId="4679CB21" w14:textId="77777777" w:rsidR="00BD60FC" w:rsidRPr="00BD60FC" w:rsidRDefault="00BD60FC" w:rsidP="00BD60FC">
            <w:pPr>
              <w:spacing w:after="0"/>
              <w:rPr>
                <w:rFonts w:ascii="Calibri" w:eastAsia="Times New Roman" w:hAnsi="Calibri"/>
                <w:b/>
                <w:bCs/>
                <w:color w:val="FFFFFF"/>
                <w:sz w:val="20"/>
                <w:lang w:eastAsia="en-GB"/>
              </w:rPr>
            </w:pPr>
            <w:r w:rsidRPr="00BD60FC">
              <w:rPr>
                <w:rFonts w:ascii="Calibri" w:eastAsia="Times New Roman" w:hAnsi="Calibri"/>
                <w:b/>
                <w:bCs/>
                <w:color w:val="FFFFFF"/>
                <w:sz w:val="20"/>
                <w:lang w:eastAsia="en-GB"/>
              </w:rPr>
              <w:t>TOTAL</w:t>
            </w:r>
          </w:p>
        </w:tc>
        <w:tc>
          <w:tcPr>
            <w:tcW w:w="1528" w:type="dxa"/>
            <w:tcBorders>
              <w:top w:val="nil"/>
              <w:left w:val="nil"/>
              <w:bottom w:val="single" w:sz="8" w:space="0" w:color="FFFFFF"/>
              <w:right w:val="single" w:sz="8" w:space="0" w:color="FFFFFF"/>
            </w:tcBorders>
            <w:shd w:val="clear" w:color="000000" w:fill="E7EEEF"/>
            <w:vAlign w:val="center"/>
            <w:hideMark/>
          </w:tcPr>
          <w:p w14:paraId="49728FD9"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5,349</w:t>
            </w:r>
          </w:p>
        </w:tc>
        <w:tc>
          <w:tcPr>
            <w:tcW w:w="1579" w:type="dxa"/>
            <w:tcBorders>
              <w:top w:val="nil"/>
              <w:left w:val="nil"/>
              <w:bottom w:val="single" w:sz="8" w:space="0" w:color="FFFFFF"/>
              <w:right w:val="single" w:sz="8" w:space="0" w:color="FFFFFF"/>
            </w:tcBorders>
            <w:shd w:val="clear" w:color="000000" w:fill="E7EEEF"/>
            <w:vAlign w:val="center"/>
            <w:hideMark/>
          </w:tcPr>
          <w:p w14:paraId="4B055006"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4,417</w:t>
            </w:r>
          </w:p>
        </w:tc>
        <w:tc>
          <w:tcPr>
            <w:tcW w:w="1579" w:type="dxa"/>
            <w:tcBorders>
              <w:top w:val="nil"/>
              <w:left w:val="nil"/>
              <w:bottom w:val="single" w:sz="8" w:space="0" w:color="FFFFFF"/>
              <w:right w:val="single" w:sz="8" w:space="0" w:color="FFFFFF"/>
            </w:tcBorders>
            <w:shd w:val="clear" w:color="000000" w:fill="E7EEEF"/>
            <w:vAlign w:val="center"/>
            <w:hideMark/>
          </w:tcPr>
          <w:p w14:paraId="25DBC801"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2,261</w:t>
            </w:r>
          </w:p>
        </w:tc>
        <w:tc>
          <w:tcPr>
            <w:tcW w:w="1579" w:type="dxa"/>
            <w:tcBorders>
              <w:top w:val="nil"/>
              <w:left w:val="nil"/>
              <w:bottom w:val="single" w:sz="8" w:space="0" w:color="FFFFFF"/>
              <w:right w:val="single" w:sz="8" w:space="0" w:color="FFFFFF"/>
            </w:tcBorders>
            <w:shd w:val="clear" w:color="000000" w:fill="E7EEEF"/>
            <w:vAlign w:val="center"/>
            <w:hideMark/>
          </w:tcPr>
          <w:p w14:paraId="7B948F53"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12,026</w:t>
            </w:r>
          </w:p>
        </w:tc>
      </w:tr>
      <w:tr w:rsidR="00BD60FC" w:rsidRPr="00BD60FC" w14:paraId="03824905" w14:textId="77777777" w:rsidTr="00BD60FC">
        <w:trPr>
          <w:trHeight w:val="313"/>
        </w:trPr>
        <w:tc>
          <w:tcPr>
            <w:tcW w:w="3159" w:type="dxa"/>
            <w:tcBorders>
              <w:top w:val="nil"/>
              <w:left w:val="single" w:sz="8" w:space="0" w:color="FFFFFF"/>
              <w:bottom w:val="single" w:sz="8" w:space="0" w:color="FFFFFF"/>
              <w:right w:val="single" w:sz="8" w:space="0" w:color="FFFFFF"/>
            </w:tcBorders>
            <w:shd w:val="clear" w:color="000000" w:fill="008C9B"/>
            <w:vAlign w:val="bottom"/>
            <w:hideMark/>
          </w:tcPr>
          <w:p w14:paraId="1D35AE27" w14:textId="77777777" w:rsidR="00BD60FC" w:rsidRPr="00BD60FC" w:rsidRDefault="00BD60FC" w:rsidP="00BD60FC">
            <w:pPr>
              <w:spacing w:after="0"/>
              <w:rPr>
                <w:rFonts w:ascii="Calibri" w:eastAsia="Times New Roman" w:hAnsi="Calibri"/>
                <w:color w:val="FFFFFF"/>
                <w:sz w:val="20"/>
                <w:lang w:eastAsia="en-GB"/>
              </w:rPr>
            </w:pPr>
            <w:r w:rsidRPr="00BD60FC">
              <w:rPr>
                <w:rFonts w:ascii="Calibri" w:eastAsia="Times New Roman" w:hAnsi="Calibri"/>
                <w:color w:val="FFFFFF"/>
                <w:sz w:val="20"/>
                <w:lang w:eastAsia="en-GB"/>
              </w:rPr>
              <w:t>Shipping</w:t>
            </w:r>
          </w:p>
        </w:tc>
        <w:tc>
          <w:tcPr>
            <w:tcW w:w="1528" w:type="dxa"/>
            <w:tcBorders>
              <w:top w:val="nil"/>
              <w:left w:val="nil"/>
              <w:bottom w:val="single" w:sz="8" w:space="0" w:color="FFFFFF"/>
              <w:right w:val="single" w:sz="8" w:space="0" w:color="FFFFFF"/>
            </w:tcBorders>
            <w:shd w:val="clear" w:color="000000" w:fill="D0CECE"/>
            <w:vAlign w:val="center"/>
            <w:hideMark/>
          </w:tcPr>
          <w:p w14:paraId="2F66E10A"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3,127</w:t>
            </w:r>
          </w:p>
        </w:tc>
        <w:tc>
          <w:tcPr>
            <w:tcW w:w="1579" w:type="dxa"/>
            <w:tcBorders>
              <w:top w:val="nil"/>
              <w:left w:val="nil"/>
              <w:bottom w:val="single" w:sz="8" w:space="0" w:color="FFFFFF"/>
              <w:right w:val="single" w:sz="8" w:space="0" w:color="FFFFFF"/>
            </w:tcBorders>
            <w:shd w:val="clear" w:color="000000" w:fill="D0CECE"/>
            <w:vAlign w:val="center"/>
            <w:hideMark/>
          </w:tcPr>
          <w:p w14:paraId="18D4126E"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2,545</w:t>
            </w:r>
          </w:p>
        </w:tc>
        <w:tc>
          <w:tcPr>
            <w:tcW w:w="1579" w:type="dxa"/>
            <w:tcBorders>
              <w:top w:val="nil"/>
              <w:left w:val="nil"/>
              <w:bottom w:val="single" w:sz="8" w:space="0" w:color="FFFFFF"/>
              <w:right w:val="single" w:sz="8" w:space="0" w:color="FFFFFF"/>
            </w:tcBorders>
            <w:shd w:val="clear" w:color="000000" w:fill="D0CECE"/>
            <w:vAlign w:val="center"/>
            <w:hideMark/>
          </w:tcPr>
          <w:p w14:paraId="1AD3B89D"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1,268</w:t>
            </w:r>
          </w:p>
        </w:tc>
        <w:tc>
          <w:tcPr>
            <w:tcW w:w="1579" w:type="dxa"/>
            <w:tcBorders>
              <w:top w:val="nil"/>
              <w:left w:val="nil"/>
              <w:bottom w:val="single" w:sz="8" w:space="0" w:color="FFFFFF"/>
              <w:right w:val="single" w:sz="8" w:space="0" w:color="FFFFFF"/>
            </w:tcBorders>
            <w:shd w:val="clear" w:color="000000" w:fill="D0CECE"/>
            <w:vAlign w:val="center"/>
            <w:hideMark/>
          </w:tcPr>
          <w:p w14:paraId="475E30C8"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6,940</w:t>
            </w:r>
          </w:p>
        </w:tc>
      </w:tr>
      <w:tr w:rsidR="00BD60FC" w:rsidRPr="00BD60FC" w14:paraId="6D9B0415" w14:textId="77777777" w:rsidTr="00BD60FC">
        <w:trPr>
          <w:trHeight w:val="313"/>
        </w:trPr>
        <w:tc>
          <w:tcPr>
            <w:tcW w:w="3159" w:type="dxa"/>
            <w:tcBorders>
              <w:top w:val="nil"/>
              <w:left w:val="single" w:sz="8" w:space="0" w:color="FFFFFF"/>
              <w:bottom w:val="single" w:sz="8" w:space="0" w:color="FFFFFF"/>
              <w:right w:val="single" w:sz="8" w:space="0" w:color="FFFFFF"/>
            </w:tcBorders>
            <w:shd w:val="clear" w:color="000000" w:fill="008C9B"/>
            <w:vAlign w:val="bottom"/>
            <w:hideMark/>
          </w:tcPr>
          <w:p w14:paraId="3837E88F" w14:textId="77777777" w:rsidR="00BD60FC" w:rsidRPr="00BD60FC" w:rsidRDefault="00BD60FC" w:rsidP="00BD60FC">
            <w:pPr>
              <w:spacing w:after="0"/>
              <w:rPr>
                <w:rFonts w:ascii="Calibri" w:eastAsia="Times New Roman" w:hAnsi="Calibri"/>
                <w:color w:val="FFFFFF"/>
                <w:sz w:val="20"/>
                <w:lang w:eastAsia="en-GB"/>
              </w:rPr>
            </w:pPr>
            <w:r w:rsidRPr="00BD60FC">
              <w:rPr>
                <w:rFonts w:ascii="Calibri" w:eastAsia="Times New Roman" w:hAnsi="Calibri"/>
                <w:color w:val="FFFFFF"/>
                <w:sz w:val="20"/>
                <w:lang w:eastAsia="en-GB"/>
              </w:rPr>
              <w:t>Ports</w:t>
            </w:r>
          </w:p>
        </w:tc>
        <w:tc>
          <w:tcPr>
            <w:tcW w:w="1528" w:type="dxa"/>
            <w:tcBorders>
              <w:top w:val="nil"/>
              <w:left w:val="nil"/>
              <w:bottom w:val="single" w:sz="8" w:space="0" w:color="FFFFFF"/>
              <w:right w:val="single" w:sz="8" w:space="0" w:color="FFFFFF"/>
            </w:tcBorders>
            <w:shd w:val="clear" w:color="000000" w:fill="E7EEEF"/>
            <w:vAlign w:val="center"/>
            <w:hideMark/>
          </w:tcPr>
          <w:p w14:paraId="53E18213"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673</w:t>
            </w:r>
          </w:p>
        </w:tc>
        <w:tc>
          <w:tcPr>
            <w:tcW w:w="1579" w:type="dxa"/>
            <w:tcBorders>
              <w:top w:val="nil"/>
              <w:left w:val="nil"/>
              <w:bottom w:val="single" w:sz="8" w:space="0" w:color="FFFFFF"/>
              <w:right w:val="single" w:sz="8" w:space="0" w:color="FFFFFF"/>
            </w:tcBorders>
            <w:shd w:val="clear" w:color="000000" w:fill="E7EEEF"/>
            <w:vAlign w:val="center"/>
            <w:hideMark/>
          </w:tcPr>
          <w:p w14:paraId="0D4801BA"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633</w:t>
            </w:r>
          </w:p>
        </w:tc>
        <w:tc>
          <w:tcPr>
            <w:tcW w:w="1579" w:type="dxa"/>
            <w:tcBorders>
              <w:top w:val="nil"/>
              <w:left w:val="nil"/>
              <w:bottom w:val="single" w:sz="8" w:space="0" w:color="FFFFFF"/>
              <w:right w:val="single" w:sz="8" w:space="0" w:color="FFFFFF"/>
            </w:tcBorders>
            <w:shd w:val="clear" w:color="000000" w:fill="E7EEEF"/>
            <w:vAlign w:val="center"/>
            <w:hideMark/>
          </w:tcPr>
          <w:p w14:paraId="1E76E27D"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322</w:t>
            </w:r>
          </w:p>
        </w:tc>
        <w:tc>
          <w:tcPr>
            <w:tcW w:w="1579" w:type="dxa"/>
            <w:tcBorders>
              <w:top w:val="nil"/>
              <w:left w:val="nil"/>
              <w:bottom w:val="single" w:sz="8" w:space="0" w:color="FFFFFF"/>
              <w:right w:val="single" w:sz="8" w:space="0" w:color="FFFFFF"/>
            </w:tcBorders>
            <w:shd w:val="clear" w:color="000000" w:fill="E7EEEF"/>
            <w:vAlign w:val="center"/>
            <w:hideMark/>
          </w:tcPr>
          <w:p w14:paraId="51DB8570"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1,627</w:t>
            </w:r>
          </w:p>
        </w:tc>
      </w:tr>
      <w:tr w:rsidR="00BD60FC" w:rsidRPr="00BD60FC" w14:paraId="29D249F4" w14:textId="77777777" w:rsidTr="00BD60FC">
        <w:trPr>
          <w:trHeight w:val="313"/>
        </w:trPr>
        <w:tc>
          <w:tcPr>
            <w:tcW w:w="3159" w:type="dxa"/>
            <w:tcBorders>
              <w:top w:val="nil"/>
              <w:left w:val="single" w:sz="8" w:space="0" w:color="FFFFFF"/>
              <w:bottom w:val="single" w:sz="8" w:space="0" w:color="FFFFFF"/>
              <w:right w:val="single" w:sz="8" w:space="0" w:color="FFFFFF"/>
            </w:tcBorders>
            <w:shd w:val="clear" w:color="000000" w:fill="008C9B"/>
            <w:vAlign w:val="bottom"/>
            <w:hideMark/>
          </w:tcPr>
          <w:p w14:paraId="6EF89722" w14:textId="77777777" w:rsidR="00BD60FC" w:rsidRPr="00BD60FC" w:rsidRDefault="00BD60FC" w:rsidP="00BD60FC">
            <w:pPr>
              <w:spacing w:after="0"/>
              <w:rPr>
                <w:rFonts w:ascii="Calibri" w:eastAsia="Times New Roman" w:hAnsi="Calibri"/>
                <w:color w:val="FFFFFF"/>
                <w:sz w:val="20"/>
                <w:lang w:eastAsia="en-GB"/>
              </w:rPr>
            </w:pPr>
            <w:r w:rsidRPr="00BD60FC">
              <w:rPr>
                <w:rFonts w:ascii="Calibri" w:eastAsia="Times New Roman" w:hAnsi="Calibri"/>
                <w:color w:val="FFFFFF"/>
                <w:sz w:val="20"/>
                <w:lang w:eastAsia="en-GB"/>
              </w:rPr>
              <w:t>Leisure Marine</w:t>
            </w:r>
          </w:p>
        </w:tc>
        <w:tc>
          <w:tcPr>
            <w:tcW w:w="1528" w:type="dxa"/>
            <w:tcBorders>
              <w:top w:val="nil"/>
              <w:left w:val="nil"/>
              <w:bottom w:val="single" w:sz="8" w:space="0" w:color="FFFFFF"/>
              <w:right w:val="single" w:sz="8" w:space="0" w:color="FFFFFF"/>
            </w:tcBorders>
            <w:shd w:val="clear" w:color="000000" w:fill="D0CECE"/>
            <w:vAlign w:val="center"/>
            <w:hideMark/>
          </w:tcPr>
          <w:p w14:paraId="51CAD6C8" w14:textId="77777777" w:rsidR="00BD60FC" w:rsidRPr="00BD60FC" w:rsidRDefault="00BD60FC" w:rsidP="00BD60FC">
            <w:pPr>
              <w:spacing w:after="0"/>
              <w:jc w:val="center"/>
              <w:rPr>
                <w:rFonts w:ascii="Calibri" w:eastAsia="Times New Roman" w:hAnsi="Calibri"/>
                <w:bCs/>
                <w:color w:val="000000"/>
                <w:sz w:val="20"/>
                <w:lang w:eastAsia="en-GB"/>
              </w:rPr>
            </w:pPr>
            <w:r w:rsidRPr="00BD60FC">
              <w:rPr>
                <w:rFonts w:ascii="Calibri" w:eastAsia="Times New Roman" w:hAnsi="Calibri"/>
                <w:bCs/>
                <w:color w:val="000000"/>
                <w:sz w:val="20"/>
                <w:lang w:eastAsia="en-GB"/>
              </w:rPr>
              <w:t>511</w:t>
            </w:r>
          </w:p>
        </w:tc>
        <w:tc>
          <w:tcPr>
            <w:tcW w:w="1579" w:type="dxa"/>
            <w:tcBorders>
              <w:top w:val="nil"/>
              <w:left w:val="nil"/>
              <w:bottom w:val="single" w:sz="8" w:space="0" w:color="FFFFFF"/>
              <w:right w:val="single" w:sz="8" w:space="0" w:color="FFFFFF"/>
            </w:tcBorders>
            <w:shd w:val="clear" w:color="000000" w:fill="D0CECE"/>
            <w:vAlign w:val="center"/>
            <w:hideMark/>
          </w:tcPr>
          <w:p w14:paraId="6D9E91FE"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424</w:t>
            </w:r>
          </w:p>
        </w:tc>
        <w:tc>
          <w:tcPr>
            <w:tcW w:w="1579" w:type="dxa"/>
            <w:tcBorders>
              <w:top w:val="nil"/>
              <w:left w:val="nil"/>
              <w:bottom w:val="single" w:sz="8" w:space="0" w:color="FFFFFF"/>
              <w:right w:val="single" w:sz="8" w:space="0" w:color="FFFFFF"/>
            </w:tcBorders>
            <w:shd w:val="clear" w:color="000000" w:fill="D0CECE"/>
            <w:vAlign w:val="center"/>
            <w:hideMark/>
          </w:tcPr>
          <w:p w14:paraId="7753A738" w14:textId="77777777" w:rsidR="00BD60FC" w:rsidRPr="00BD60FC" w:rsidRDefault="00BD60FC" w:rsidP="00BD60FC">
            <w:pPr>
              <w:spacing w:after="0"/>
              <w:jc w:val="center"/>
              <w:rPr>
                <w:rFonts w:ascii="Calibri" w:eastAsia="Times New Roman" w:hAnsi="Calibri"/>
                <w:bCs/>
                <w:color w:val="000000"/>
                <w:sz w:val="20"/>
                <w:lang w:eastAsia="en-GB"/>
              </w:rPr>
            </w:pPr>
            <w:r w:rsidRPr="00BD60FC">
              <w:rPr>
                <w:rFonts w:ascii="Calibri" w:eastAsia="Times New Roman" w:hAnsi="Calibri"/>
                <w:bCs/>
                <w:color w:val="000000"/>
                <w:sz w:val="20"/>
                <w:lang w:eastAsia="en-GB"/>
              </w:rPr>
              <w:t>232</w:t>
            </w:r>
          </w:p>
        </w:tc>
        <w:tc>
          <w:tcPr>
            <w:tcW w:w="1579" w:type="dxa"/>
            <w:tcBorders>
              <w:top w:val="nil"/>
              <w:left w:val="nil"/>
              <w:bottom w:val="single" w:sz="8" w:space="0" w:color="FFFFFF"/>
              <w:right w:val="single" w:sz="8" w:space="0" w:color="FFFFFF"/>
            </w:tcBorders>
            <w:shd w:val="clear" w:color="000000" w:fill="D0CECE"/>
            <w:vAlign w:val="center"/>
            <w:hideMark/>
          </w:tcPr>
          <w:p w14:paraId="5F43098D"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1,167</w:t>
            </w:r>
          </w:p>
        </w:tc>
      </w:tr>
      <w:tr w:rsidR="00BD60FC" w:rsidRPr="00BD60FC" w14:paraId="146B5E33" w14:textId="77777777" w:rsidTr="00BD60FC">
        <w:trPr>
          <w:trHeight w:val="313"/>
        </w:trPr>
        <w:tc>
          <w:tcPr>
            <w:tcW w:w="3159" w:type="dxa"/>
            <w:tcBorders>
              <w:top w:val="nil"/>
              <w:left w:val="single" w:sz="8" w:space="0" w:color="FFFFFF"/>
              <w:bottom w:val="single" w:sz="8" w:space="0" w:color="FFFFFF"/>
              <w:right w:val="single" w:sz="8" w:space="0" w:color="FFFFFF"/>
            </w:tcBorders>
            <w:shd w:val="clear" w:color="000000" w:fill="008C9B"/>
            <w:vAlign w:val="bottom"/>
            <w:hideMark/>
          </w:tcPr>
          <w:p w14:paraId="036BE66B" w14:textId="77777777" w:rsidR="00BD60FC" w:rsidRPr="00BD60FC" w:rsidRDefault="00BD60FC" w:rsidP="00BD60FC">
            <w:pPr>
              <w:spacing w:after="0"/>
              <w:rPr>
                <w:rFonts w:ascii="Calibri" w:eastAsia="Times New Roman" w:hAnsi="Calibri"/>
                <w:color w:val="FFFFFF"/>
                <w:sz w:val="20"/>
                <w:lang w:eastAsia="en-GB"/>
              </w:rPr>
            </w:pPr>
            <w:r w:rsidRPr="00BD60FC">
              <w:rPr>
                <w:rFonts w:ascii="Calibri" w:eastAsia="Times New Roman" w:hAnsi="Calibri"/>
                <w:color w:val="FFFFFF"/>
                <w:sz w:val="20"/>
                <w:lang w:eastAsia="en-GB"/>
              </w:rPr>
              <w:t>Marine Engineering</w:t>
            </w:r>
          </w:p>
        </w:tc>
        <w:tc>
          <w:tcPr>
            <w:tcW w:w="1528" w:type="dxa"/>
            <w:tcBorders>
              <w:top w:val="nil"/>
              <w:left w:val="nil"/>
              <w:bottom w:val="single" w:sz="8" w:space="0" w:color="FFFFFF"/>
              <w:right w:val="single" w:sz="8" w:space="0" w:color="FFFFFF"/>
            </w:tcBorders>
            <w:shd w:val="clear" w:color="000000" w:fill="E7EEEF"/>
            <w:vAlign w:val="center"/>
            <w:hideMark/>
          </w:tcPr>
          <w:p w14:paraId="5D734301"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122</w:t>
            </w:r>
          </w:p>
        </w:tc>
        <w:tc>
          <w:tcPr>
            <w:tcW w:w="1579" w:type="dxa"/>
            <w:tcBorders>
              <w:top w:val="nil"/>
              <w:left w:val="nil"/>
              <w:bottom w:val="single" w:sz="8" w:space="0" w:color="FFFFFF"/>
              <w:right w:val="single" w:sz="8" w:space="0" w:color="FFFFFF"/>
            </w:tcBorders>
            <w:shd w:val="clear" w:color="000000" w:fill="E7EEEF"/>
            <w:vAlign w:val="center"/>
            <w:hideMark/>
          </w:tcPr>
          <w:p w14:paraId="29DE56AE"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62</w:t>
            </w:r>
          </w:p>
        </w:tc>
        <w:tc>
          <w:tcPr>
            <w:tcW w:w="1579" w:type="dxa"/>
            <w:tcBorders>
              <w:top w:val="nil"/>
              <w:left w:val="nil"/>
              <w:bottom w:val="single" w:sz="8" w:space="0" w:color="FFFFFF"/>
              <w:right w:val="single" w:sz="8" w:space="0" w:color="FFFFFF"/>
            </w:tcBorders>
            <w:shd w:val="clear" w:color="000000" w:fill="E7EEEF"/>
            <w:vAlign w:val="center"/>
            <w:hideMark/>
          </w:tcPr>
          <w:p w14:paraId="51B01878"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43</w:t>
            </w:r>
          </w:p>
        </w:tc>
        <w:tc>
          <w:tcPr>
            <w:tcW w:w="1579" w:type="dxa"/>
            <w:tcBorders>
              <w:top w:val="nil"/>
              <w:left w:val="nil"/>
              <w:bottom w:val="single" w:sz="8" w:space="0" w:color="FFFFFF"/>
              <w:right w:val="single" w:sz="8" w:space="0" w:color="FFFFFF"/>
            </w:tcBorders>
            <w:shd w:val="clear" w:color="000000" w:fill="E7EEEF"/>
            <w:vAlign w:val="center"/>
            <w:hideMark/>
          </w:tcPr>
          <w:p w14:paraId="6BA78377"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227</w:t>
            </w:r>
          </w:p>
        </w:tc>
      </w:tr>
      <w:tr w:rsidR="00BD60FC" w:rsidRPr="00BD60FC" w14:paraId="2B1574A6" w14:textId="77777777" w:rsidTr="00BD60FC">
        <w:trPr>
          <w:trHeight w:val="313"/>
        </w:trPr>
        <w:tc>
          <w:tcPr>
            <w:tcW w:w="3159" w:type="dxa"/>
            <w:tcBorders>
              <w:top w:val="nil"/>
              <w:left w:val="single" w:sz="8" w:space="0" w:color="FFFFFF"/>
              <w:bottom w:val="single" w:sz="8" w:space="0" w:color="FFFFFF"/>
              <w:right w:val="single" w:sz="8" w:space="0" w:color="FFFFFF"/>
            </w:tcBorders>
            <w:shd w:val="clear" w:color="000000" w:fill="008C9B"/>
            <w:vAlign w:val="bottom"/>
            <w:hideMark/>
          </w:tcPr>
          <w:p w14:paraId="760988A4" w14:textId="77777777" w:rsidR="00BD60FC" w:rsidRPr="00BD60FC" w:rsidRDefault="00BD60FC" w:rsidP="00BD60FC">
            <w:pPr>
              <w:spacing w:after="0"/>
              <w:rPr>
                <w:rFonts w:ascii="Calibri" w:eastAsia="Times New Roman" w:hAnsi="Calibri"/>
                <w:color w:val="FFFFFF"/>
                <w:sz w:val="20"/>
                <w:lang w:eastAsia="en-GB"/>
              </w:rPr>
            </w:pPr>
            <w:r w:rsidRPr="00BD60FC">
              <w:rPr>
                <w:rFonts w:ascii="Calibri" w:eastAsia="Times New Roman" w:hAnsi="Calibri"/>
                <w:color w:val="FFFFFF"/>
                <w:sz w:val="20"/>
                <w:lang w:eastAsia="en-GB"/>
              </w:rPr>
              <w:t>Maritime Business Services</w:t>
            </w:r>
          </w:p>
        </w:tc>
        <w:tc>
          <w:tcPr>
            <w:tcW w:w="1528" w:type="dxa"/>
            <w:tcBorders>
              <w:top w:val="nil"/>
              <w:left w:val="nil"/>
              <w:bottom w:val="single" w:sz="8" w:space="0" w:color="FFFFFF"/>
              <w:right w:val="single" w:sz="8" w:space="0" w:color="FFFFFF"/>
            </w:tcBorders>
            <w:shd w:val="clear" w:color="000000" w:fill="D0CECE"/>
            <w:vAlign w:val="center"/>
            <w:hideMark/>
          </w:tcPr>
          <w:p w14:paraId="66CBEBAB"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163</w:t>
            </w:r>
          </w:p>
        </w:tc>
        <w:tc>
          <w:tcPr>
            <w:tcW w:w="1579" w:type="dxa"/>
            <w:tcBorders>
              <w:top w:val="nil"/>
              <w:left w:val="nil"/>
              <w:bottom w:val="single" w:sz="8" w:space="0" w:color="FFFFFF"/>
              <w:right w:val="single" w:sz="8" w:space="0" w:color="FFFFFF"/>
            </w:tcBorders>
            <w:shd w:val="clear" w:color="000000" w:fill="D0CECE"/>
            <w:vAlign w:val="center"/>
            <w:hideMark/>
          </w:tcPr>
          <w:p w14:paraId="381CF522"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127</w:t>
            </w:r>
          </w:p>
        </w:tc>
        <w:tc>
          <w:tcPr>
            <w:tcW w:w="1579" w:type="dxa"/>
            <w:tcBorders>
              <w:top w:val="nil"/>
              <w:left w:val="nil"/>
              <w:bottom w:val="single" w:sz="8" w:space="0" w:color="FFFFFF"/>
              <w:right w:val="single" w:sz="8" w:space="0" w:color="FFFFFF"/>
            </w:tcBorders>
            <w:shd w:val="clear" w:color="000000" w:fill="D0CECE"/>
            <w:vAlign w:val="center"/>
            <w:hideMark/>
          </w:tcPr>
          <w:p w14:paraId="49F4F66A"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55</w:t>
            </w:r>
          </w:p>
        </w:tc>
        <w:tc>
          <w:tcPr>
            <w:tcW w:w="1579" w:type="dxa"/>
            <w:tcBorders>
              <w:top w:val="nil"/>
              <w:left w:val="nil"/>
              <w:bottom w:val="single" w:sz="8" w:space="0" w:color="FFFFFF"/>
              <w:right w:val="single" w:sz="8" w:space="0" w:color="FFFFFF"/>
            </w:tcBorders>
            <w:shd w:val="clear" w:color="000000" w:fill="D0CECE"/>
            <w:vAlign w:val="center"/>
            <w:hideMark/>
          </w:tcPr>
          <w:p w14:paraId="559E0AE9"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346</w:t>
            </w:r>
          </w:p>
        </w:tc>
      </w:tr>
      <w:tr w:rsidR="00BD60FC" w:rsidRPr="00BD60FC" w14:paraId="37854807" w14:textId="77777777" w:rsidTr="00BD60FC">
        <w:trPr>
          <w:trHeight w:val="313"/>
        </w:trPr>
        <w:tc>
          <w:tcPr>
            <w:tcW w:w="3159" w:type="dxa"/>
            <w:tcBorders>
              <w:top w:val="nil"/>
              <w:left w:val="single" w:sz="8" w:space="0" w:color="FFFFFF"/>
              <w:bottom w:val="single" w:sz="8" w:space="0" w:color="FFFFFF"/>
              <w:right w:val="single" w:sz="8" w:space="0" w:color="FFFFFF"/>
            </w:tcBorders>
            <w:shd w:val="clear" w:color="000000" w:fill="008C9B"/>
            <w:vAlign w:val="bottom"/>
            <w:hideMark/>
          </w:tcPr>
          <w:p w14:paraId="7128BC46" w14:textId="77777777" w:rsidR="00BD60FC" w:rsidRPr="00BD60FC" w:rsidRDefault="00BD60FC" w:rsidP="00BD60FC">
            <w:pPr>
              <w:spacing w:after="0"/>
              <w:rPr>
                <w:rFonts w:ascii="Calibri" w:eastAsia="Times New Roman" w:hAnsi="Calibri"/>
                <w:color w:val="FFFFFF"/>
                <w:sz w:val="20"/>
                <w:lang w:eastAsia="en-GB"/>
              </w:rPr>
            </w:pPr>
            <w:r w:rsidRPr="00BD60FC">
              <w:rPr>
                <w:rFonts w:ascii="Calibri" w:eastAsia="Times New Roman" w:hAnsi="Calibri"/>
                <w:color w:val="FFFFFF"/>
                <w:sz w:val="20"/>
                <w:lang w:eastAsia="en-GB"/>
              </w:rPr>
              <w:t>Portsmouth Naval Base</w:t>
            </w:r>
          </w:p>
        </w:tc>
        <w:tc>
          <w:tcPr>
            <w:tcW w:w="1528" w:type="dxa"/>
            <w:tcBorders>
              <w:top w:val="nil"/>
              <w:left w:val="nil"/>
              <w:bottom w:val="single" w:sz="8" w:space="0" w:color="FFFFFF"/>
              <w:right w:val="single" w:sz="8" w:space="0" w:color="FFFFFF"/>
            </w:tcBorders>
            <w:shd w:val="clear" w:color="000000" w:fill="E7EEEF"/>
            <w:vAlign w:val="center"/>
            <w:hideMark/>
          </w:tcPr>
          <w:p w14:paraId="42CBBD92"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753</w:t>
            </w:r>
          </w:p>
        </w:tc>
        <w:tc>
          <w:tcPr>
            <w:tcW w:w="1579" w:type="dxa"/>
            <w:tcBorders>
              <w:top w:val="nil"/>
              <w:left w:val="nil"/>
              <w:bottom w:val="single" w:sz="8" w:space="0" w:color="FFFFFF"/>
              <w:right w:val="single" w:sz="8" w:space="0" w:color="FFFFFF"/>
            </w:tcBorders>
            <w:shd w:val="clear" w:color="000000" w:fill="E7EEEF"/>
            <w:vAlign w:val="center"/>
            <w:hideMark/>
          </w:tcPr>
          <w:p w14:paraId="1D34527F"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626</w:t>
            </w:r>
          </w:p>
        </w:tc>
        <w:tc>
          <w:tcPr>
            <w:tcW w:w="1579" w:type="dxa"/>
            <w:tcBorders>
              <w:top w:val="nil"/>
              <w:left w:val="nil"/>
              <w:bottom w:val="single" w:sz="8" w:space="0" w:color="FFFFFF"/>
              <w:right w:val="single" w:sz="8" w:space="0" w:color="FFFFFF"/>
            </w:tcBorders>
            <w:shd w:val="clear" w:color="000000" w:fill="E7EEEF"/>
            <w:vAlign w:val="center"/>
            <w:hideMark/>
          </w:tcPr>
          <w:p w14:paraId="7B4D9E69"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342</w:t>
            </w:r>
          </w:p>
        </w:tc>
        <w:tc>
          <w:tcPr>
            <w:tcW w:w="1579" w:type="dxa"/>
            <w:tcBorders>
              <w:top w:val="nil"/>
              <w:left w:val="nil"/>
              <w:bottom w:val="single" w:sz="8" w:space="0" w:color="FFFFFF"/>
              <w:right w:val="single" w:sz="8" w:space="0" w:color="FFFFFF"/>
            </w:tcBorders>
            <w:shd w:val="clear" w:color="000000" w:fill="E7EEEF"/>
            <w:vAlign w:val="center"/>
            <w:hideMark/>
          </w:tcPr>
          <w:p w14:paraId="6BC31EE6" w14:textId="77777777" w:rsidR="00BD60FC" w:rsidRPr="00BD60FC" w:rsidRDefault="00BD60FC" w:rsidP="00BD60FC">
            <w:pPr>
              <w:spacing w:after="0"/>
              <w:jc w:val="center"/>
              <w:rPr>
                <w:rFonts w:ascii="Calibri" w:eastAsia="Times New Roman" w:hAnsi="Calibri"/>
                <w:color w:val="000000"/>
                <w:sz w:val="20"/>
                <w:lang w:eastAsia="en-GB"/>
              </w:rPr>
            </w:pPr>
            <w:r w:rsidRPr="00BD60FC">
              <w:rPr>
                <w:rFonts w:ascii="Calibri" w:eastAsia="Times New Roman" w:hAnsi="Calibri"/>
                <w:color w:val="000000"/>
                <w:sz w:val="20"/>
                <w:lang w:eastAsia="en-GB"/>
              </w:rPr>
              <w:t>1,721</w:t>
            </w:r>
          </w:p>
        </w:tc>
      </w:tr>
    </w:tbl>
    <w:p w14:paraId="6CEF0A04" w14:textId="38D93308" w:rsidR="009924DA" w:rsidRDefault="00290DC3" w:rsidP="00290DC3">
      <w:pPr>
        <w:jc w:val="right"/>
      </w:pPr>
      <w:r w:rsidRPr="00520FF4">
        <w:rPr>
          <w:rStyle w:val="SubtleEmphasis"/>
          <w:sz w:val="18"/>
        </w:rPr>
        <w:t>Source: ONS, FAME, Cebr analysis</w:t>
      </w:r>
    </w:p>
    <w:p w14:paraId="4F67BE68" w14:textId="0C93AC8D" w:rsidR="00F6585F" w:rsidRDefault="008E0F3E" w:rsidP="00F6585F">
      <w:r>
        <w:fldChar w:fldCharType="begin"/>
      </w:r>
      <w:r>
        <w:instrText xml:space="preserve"> REF _Ref16596369 \h </w:instrText>
      </w:r>
      <w:r>
        <w:fldChar w:fldCharType="separate"/>
      </w:r>
      <w:r w:rsidR="00D17FEA">
        <w:t xml:space="preserve">Table </w:t>
      </w:r>
      <w:r w:rsidR="00D17FEA">
        <w:rPr>
          <w:noProof/>
        </w:rPr>
        <w:t>18</w:t>
      </w:r>
      <w:r>
        <w:fldChar w:fldCharType="end"/>
      </w:r>
      <w:r>
        <w:t xml:space="preserve"> </w:t>
      </w:r>
      <w:r w:rsidR="00F6585F">
        <w:t xml:space="preserve">below shows the estimated direct and total economic impacts of the Solent-based Maritime sector and Portsmouth Naval Base across the years 2010 and 2017. </w:t>
      </w:r>
    </w:p>
    <w:p w14:paraId="1378D523" w14:textId="77777777" w:rsidR="00C22011" w:rsidRDefault="00C22011" w:rsidP="009924DA"/>
    <w:p w14:paraId="1D9551D8" w14:textId="77777777" w:rsidR="00C22011" w:rsidRDefault="00C22011" w:rsidP="009924DA"/>
    <w:p w14:paraId="047192CE" w14:textId="77777777" w:rsidR="00C22011" w:rsidRDefault="00C22011" w:rsidP="009924DA"/>
    <w:p w14:paraId="1EA0D430" w14:textId="77777777" w:rsidR="00BD60FC" w:rsidRDefault="00BD60FC" w:rsidP="009924DA"/>
    <w:p w14:paraId="1AF8F009" w14:textId="77777777" w:rsidR="00BD60FC" w:rsidRDefault="00BD60FC" w:rsidP="009924DA"/>
    <w:p w14:paraId="4ECF410D" w14:textId="77777777" w:rsidR="00C22011" w:rsidRDefault="00C22011" w:rsidP="009924DA"/>
    <w:p w14:paraId="0245509B" w14:textId="173FD942" w:rsidR="00C22011" w:rsidRDefault="00C22011" w:rsidP="00C22011">
      <w:pPr>
        <w:pStyle w:val="Caption"/>
        <w:keepNext/>
      </w:pPr>
      <w:bookmarkStart w:id="115" w:name="_Ref16596369"/>
      <w:r>
        <w:lastRenderedPageBreak/>
        <w:t xml:space="preserve">Table </w:t>
      </w:r>
      <w:r>
        <w:rPr>
          <w:noProof/>
        </w:rPr>
        <w:fldChar w:fldCharType="begin"/>
      </w:r>
      <w:r>
        <w:rPr>
          <w:noProof/>
        </w:rPr>
        <w:instrText xml:space="preserve"> SEQ Table \* ARABIC </w:instrText>
      </w:r>
      <w:r>
        <w:rPr>
          <w:noProof/>
        </w:rPr>
        <w:fldChar w:fldCharType="separate"/>
      </w:r>
      <w:r w:rsidR="00D17FEA">
        <w:rPr>
          <w:noProof/>
        </w:rPr>
        <w:t>18</w:t>
      </w:r>
      <w:r>
        <w:rPr>
          <w:noProof/>
        </w:rPr>
        <w:fldChar w:fldCharType="end"/>
      </w:r>
      <w:bookmarkEnd w:id="115"/>
      <w:r>
        <w:t xml:space="preserve">: </w:t>
      </w:r>
      <w:r w:rsidRPr="00C864B4">
        <w:t xml:space="preserve">Direct and Total </w:t>
      </w:r>
      <w:r>
        <w:t xml:space="preserve">turnover impact </w:t>
      </w:r>
      <w:r w:rsidRPr="00C864B4">
        <w:t>of the Solent-based Maritime sector and Por</w:t>
      </w:r>
      <w:r>
        <w:t>tsmouth Naval Base, 2010 to 2017</w:t>
      </w:r>
      <w:r w:rsidRPr="00C864B4">
        <w:t xml:space="preserve">, </w:t>
      </w:r>
      <w:r>
        <w:t>£ million</w:t>
      </w:r>
    </w:p>
    <w:tbl>
      <w:tblPr>
        <w:tblW w:w="5000" w:type="pct"/>
        <w:tblLook w:val="04A0" w:firstRow="1" w:lastRow="0" w:firstColumn="1" w:lastColumn="0" w:noHBand="0" w:noVBand="1"/>
      </w:tblPr>
      <w:tblGrid>
        <w:gridCol w:w="882"/>
        <w:gridCol w:w="2669"/>
        <w:gridCol w:w="3204"/>
        <w:gridCol w:w="2873"/>
      </w:tblGrid>
      <w:tr w:rsidR="002023D7" w:rsidRPr="002023D7" w14:paraId="2BC085B4" w14:textId="77777777" w:rsidTr="002023D7">
        <w:trPr>
          <w:trHeight w:val="52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275584AF"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Year</w:t>
            </w:r>
          </w:p>
        </w:tc>
        <w:tc>
          <w:tcPr>
            <w:tcW w:w="1386" w:type="pct"/>
            <w:tcBorders>
              <w:top w:val="single" w:sz="8" w:space="0" w:color="FFFFFF"/>
              <w:left w:val="nil"/>
              <w:bottom w:val="single" w:sz="12" w:space="0" w:color="FFFFFF"/>
              <w:right w:val="single" w:sz="8" w:space="0" w:color="FFFFFF"/>
            </w:tcBorders>
            <w:shd w:val="clear" w:color="000000" w:fill="008C9B"/>
            <w:vAlign w:val="center"/>
            <w:hideMark/>
          </w:tcPr>
          <w:p w14:paraId="16CFFD73" w14:textId="77777777" w:rsidR="002023D7" w:rsidRPr="002023D7" w:rsidRDefault="002023D7" w:rsidP="002023D7">
            <w:pPr>
              <w:spacing w:after="0"/>
              <w:jc w:val="center"/>
              <w:rPr>
                <w:rFonts w:ascii="Calibri" w:eastAsia="Times New Roman" w:hAnsi="Calibri"/>
                <w:b/>
                <w:bCs/>
                <w:color w:val="FFFFFF"/>
                <w:sz w:val="20"/>
                <w:lang w:eastAsia="en-GB"/>
              </w:rPr>
            </w:pPr>
            <w:r w:rsidRPr="002023D7">
              <w:rPr>
                <w:rFonts w:ascii="Calibri" w:eastAsia="Times New Roman" w:hAnsi="Calibri"/>
                <w:b/>
                <w:bCs/>
                <w:color w:val="FFFFFF"/>
                <w:sz w:val="20"/>
                <w:lang w:eastAsia="en-GB"/>
              </w:rPr>
              <w:t xml:space="preserve">Direct Impact (£m)    </w:t>
            </w:r>
          </w:p>
        </w:tc>
        <w:tc>
          <w:tcPr>
            <w:tcW w:w="1664" w:type="pct"/>
            <w:tcBorders>
              <w:top w:val="single" w:sz="8" w:space="0" w:color="FFFFFF"/>
              <w:left w:val="nil"/>
              <w:bottom w:val="single" w:sz="12" w:space="0" w:color="FFFFFF"/>
              <w:right w:val="single" w:sz="8" w:space="0" w:color="FFFFFF"/>
            </w:tcBorders>
            <w:shd w:val="clear" w:color="000000" w:fill="008C9B"/>
            <w:vAlign w:val="center"/>
            <w:hideMark/>
          </w:tcPr>
          <w:p w14:paraId="443AF061" w14:textId="77777777" w:rsidR="002023D7" w:rsidRPr="002023D7" w:rsidRDefault="002023D7" w:rsidP="002023D7">
            <w:pPr>
              <w:spacing w:after="0"/>
              <w:jc w:val="center"/>
              <w:rPr>
                <w:rFonts w:ascii="Calibri" w:eastAsia="Times New Roman" w:hAnsi="Calibri"/>
                <w:b/>
                <w:bCs/>
                <w:color w:val="FFFFFF"/>
                <w:sz w:val="20"/>
                <w:lang w:eastAsia="en-GB"/>
              </w:rPr>
            </w:pPr>
            <w:r w:rsidRPr="002023D7">
              <w:rPr>
                <w:rFonts w:ascii="Calibri" w:eastAsia="Times New Roman" w:hAnsi="Calibri"/>
                <w:b/>
                <w:bCs/>
                <w:color w:val="FFFFFF"/>
                <w:sz w:val="20"/>
                <w:lang w:eastAsia="en-GB"/>
              </w:rPr>
              <w:t>Composite Turnover multiplier</w:t>
            </w:r>
          </w:p>
        </w:tc>
        <w:tc>
          <w:tcPr>
            <w:tcW w:w="1492" w:type="pct"/>
            <w:tcBorders>
              <w:top w:val="single" w:sz="8" w:space="0" w:color="FFFFFF"/>
              <w:left w:val="nil"/>
              <w:bottom w:val="single" w:sz="12" w:space="0" w:color="FFFFFF"/>
              <w:right w:val="single" w:sz="8" w:space="0" w:color="FFFFFF"/>
            </w:tcBorders>
            <w:shd w:val="clear" w:color="000000" w:fill="008C9B"/>
            <w:vAlign w:val="center"/>
            <w:hideMark/>
          </w:tcPr>
          <w:p w14:paraId="24249DA5" w14:textId="77777777" w:rsidR="002023D7" w:rsidRPr="002023D7" w:rsidRDefault="002023D7" w:rsidP="002023D7">
            <w:pPr>
              <w:spacing w:after="0"/>
              <w:jc w:val="center"/>
              <w:rPr>
                <w:rFonts w:ascii="Calibri" w:eastAsia="Times New Roman" w:hAnsi="Calibri"/>
                <w:b/>
                <w:bCs/>
                <w:color w:val="FFFFFF"/>
                <w:sz w:val="20"/>
                <w:lang w:eastAsia="en-GB"/>
              </w:rPr>
            </w:pPr>
            <w:r w:rsidRPr="002023D7">
              <w:rPr>
                <w:rFonts w:ascii="Calibri" w:eastAsia="Times New Roman" w:hAnsi="Calibri"/>
                <w:b/>
                <w:bCs/>
                <w:color w:val="FFFFFF"/>
                <w:sz w:val="20"/>
                <w:lang w:eastAsia="en-GB"/>
              </w:rPr>
              <w:t>Aggregate turnover impacts</w:t>
            </w:r>
          </w:p>
        </w:tc>
      </w:tr>
      <w:tr w:rsidR="002023D7" w:rsidRPr="002023D7" w14:paraId="0EB77AFB" w14:textId="77777777" w:rsidTr="002023D7">
        <w:trPr>
          <w:trHeight w:val="330"/>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13D61E2A"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2010</w:t>
            </w:r>
          </w:p>
        </w:tc>
        <w:tc>
          <w:tcPr>
            <w:tcW w:w="1386" w:type="pct"/>
            <w:tcBorders>
              <w:top w:val="nil"/>
              <w:left w:val="nil"/>
              <w:bottom w:val="single" w:sz="8" w:space="0" w:color="FFFFFF"/>
              <w:right w:val="single" w:sz="8" w:space="0" w:color="FFFFFF"/>
            </w:tcBorders>
            <w:shd w:val="clear" w:color="000000" w:fill="E7EEEF"/>
            <w:vAlign w:val="center"/>
            <w:hideMark/>
          </w:tcPr>
          <w:p w14:paraId="184FE795"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3,278</w:t>
            </w:r>
          </w:p>
        </w:tc>
        <w:tc>
          <w:tcPr>
            <w:tcW w:w="1664" w:type="pct"/>
            <w:tcBorders>
              <w:top w:val="nil"/>
              <w:left w:val="nil"/>
              <w:bottom w:val="single" w:sz="8" w:space="0" w:color="FFFFFF"/>
              <w:right w:val="single" w:sz="8" w:space="0" w:color="FFFFFF"/>
            </w:tcBorders>
            <w:shd w:val="clear" w:color="000000" w:fill="E7EEEF"/>
            <w:vAlign w:val="center"/>
            <w:hideMark/>
          </w:tcPr>
          <w:p w14:paraId="4C740D0E"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2.28</w:t>
            </w:r>
          </w:p>
        </w:tc>
        <w:tc>
          <w:tcPr>
            <w:tcW w:w="1492" w:type="pct"/>
            <w:tcBorders>
              <w:top w:val="nil"/>
              <w:left w:val="nil"/>
              <w:bottom w:val="single" w:sz="8" w:space="0" w:color="FFFFFF"/>
              <w:right w:val="single" w:sz="8" w:space="0" w:color="FFFFFF"/>
            </w:tcBorders>
            <w:shd w:val="clear" w:color="000000" w:fill="E7EEEF"/>
            <w:vAlign w:val="center"/>
            <w:hideMark/>
          </w:tcPr>
          <w:p w14:paraId="1B25A855"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7,482</w:t>
            </w:r>
          </w:p>
        </w:tc>
      </w:tr>
      <w:tr w:rsidR="002023D7" w:rsidRPr="002023D7" w14:paraId="08713ADA" w14:textId="77777777" w:rsidTr="002023D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2FF5A835"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2011</w:t>
            </w:r>
          </w:p>
        </w:tc>
        <w:tc>
          <w:tcPr>
            <w:tcW w:w="1386" w:type="pct"/>
            <w:tcBorders>
              <w:top w:val="nil"/>
              <w:left w:val="nil"/>
              <w:bottom w:val="single" w:sz="8" w:space="0" w:color="FFFFFF"/>
              <w:right w:val="single" w:sz="8" w:space="0" w:color="FFFFFF"/>
            </w:tcBorders>
            <w:shd w:val="clear" w:color="000000" w:fill="D0CECE"/>
            <w:vAlign w:val="center"/>
            <w:hideMark/>
          </w:tcPr>
          <w:p w14:paraId="7E42B57E"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3,506</w:t>
            </w:r>
          </w:p>
        </w:tc>
        <w:tc>
          <w:tcPr>
            <w:tcW w:w="1664" w:type="pct"/>
            <w:tcBorders>
              <w:top w:val="nil"/>
              <w:left w:val="nil"/>
              <w:bottom w:val="single" w:sz="8" w:space="0" w:color="FFFFFF"/>
              <w:right w:val="single" w:sz="8" w:space="0" w:color="FFFFFF"/>
            </w:tcBorders>
            <w:shd w:val="clear" w:color="000000" w:fill="D0CECE"/>
            <w:vAlign w:val="center"/>
            <w:hideMark/>
          </w:tcPr>
          <w:p w14:paraId="6039A479"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2.29</w:t>
            </w:r>
          </w:p>
        </w:tc>
        <w:tc>
          <w:tcPr>
            <w:tcW w:w="1492" w:type="pct"/>
            <w:tcBorders>
              <w:top w:val="nil"/>
              <w:left w:val="nil"/>
              <w:bottom w:val="single" w:sz="8" w:space="0" w:color="FFFFFF"/>
              <w:right w:val="single" w:sz="8" w:space="0" w:color="FFFFFF"/>
            </w:tcBorders>
            <w:shd w:val="clear" w:color="000000" w:fill="D0CECE"/>
            <w:vAlign w:val="center"/>
            <w:hideMark/>
          </w:tcPr>
          <w:p w14:paraId="1E679FFC"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8,028</w:t>
            </w:r>
          </w:p>
        </w:tc>
      </w:tr>
      <w:tr w:rsidR="002023D7" w:rsidRPr="002023D7" w14:paraId="6743F487" w14:textId="77777777" w:rsidTr="002023D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7AEB686D"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2012</w:t>
            </w:r>
          </w:p>
        </w:tc>
        <w:tc>
          <w:tcPr>
            <w:tcW w:w="1386" w:type="pct"/>
            <w:tcBorders>
              <w:top w:val="nil"/>
              <w:left w:val="nil"/>
              <w:bottom w:val="single" w:sz="8" w:space="0" w:color="FFFFFF"/>
              <w:right w:val="single" w:sz="8" w:space="0" w:color="FFFFFF"/>
            </w:tcBorders>
            <w:shd w:val="clear" w:color="000000" w:fill="E7EEEF"/>
            <w:vAlign w:val="center"/>
            <w:hideMark/>
          </w:tcPr>
          <w:p w14:paraId="34121662"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3,746</w:t>
            </w:r>
          </w:p>
        </w:tc>
        <w:tc>
          <w:tcPr>
            <w:tcW w:w="1664" w:type="pct"/>
            <w:tcBorders>
              <w:top w:val="nil"/>
              <w:left w:val="nil"/>
              <w:bottom w:val="single" w:sz="8" w:space="0" w:color="FFFFFF"/>
              <w:right w:val="single" w:sz="8" w:space="0" w:color="FFFFFF"/>
            </w:tcBorders>
            <w:shd w:val="clear" w:color="000000" w:fill="E7EEEF"/>
            <w:vAlign w:val="center"/>
            <w:hideMark/>
          </w:tcPr>
          <w:p w14:paraId="34F17FF3"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2.29</w:t>
            </w:r>
          </w:p>
        </w:tc>
        <w:tc>
          <w:tcPr>
            <w:tcW w:w="1492" w:type="pct"/>
            <w:tcBorders>
              <w:top w:val="nil"/>
              <w:left w:val="nil"/>
              <w:bottom w:val="single" w:sz="8" w:space="0" w:color="FFFFFF"/>
              <w:right w:val="single" w:sz="8" w:space="0" w:color="FFFFFF"/>
            </w:tcBorders>
            <w:shd w:val="clear" w:color="000000" w:fill="E7EEEF"/>
            <w:vAlign w:val="center"/>
            <w:hideMark/>
          </w:tcPr>
          <w:p w14:paraId="2FC658A8"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8,565</w:t>
            </w:r>
          </w:p>
        </w:tc>
      </w:tr>
      <w:tr w:rsidR="002023D7" w:rsidRPr="002023D7" w14:paraId="39EC9C5E" w14:textId="77777777" w:rsidTr="002023D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3508D488"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2013</w:t>
            </w:r>
          </w:p>
        </w:tc>
        <w:tc>
          <w:tcPr>
            <w:tcW w:w="1386" w:type="pct"/>
            <w:tcBorders>
              <w:top w:val="nil"/>
              <w:left w:val="nil"/>
              <w:bottom w:val="single" w:sz="8" w:space="0" w:color="FFFFFF"/>
              <w:right w:val="single" w:sz="8" w:space="0" w:color="FFFFFF"/>
            </w:tcBorders>
            <w:shd w:val="clear" w:color="000000" w:fill="D0CECE"/>
            <w:vAlign w:val="center"/>
            <w:hideMark/>
          </w:tcPr>
          <w:p w14:paraId="2ECE380E" w14:textId="77777777" w:rsidR="002023D7" w:rsidRPr="002023D7" w:rsidRDefault="002023D7" w:rsidP="002023D7">
            <w:pPr>
              <w:spacing w:after="0"/>
              <w:jc w:val="center"/>
              <w:rPr>
                <w:rFonts w:ascii="Calibri" w:eastAsia="Times New Roman" w:hAnsi="Calibri"/>
                <w:bCs/>
                <w:color w:val="000000"/>
                <w:sz w:val="20"/>
                <w:lang w:eastAsia="en-GB"/>
              </w:rPr>
            </w:pPr>
            <w:r w:rsidRPr="002023D7">
              <w:rPr>
                <w:rFonts w:ascii="Calibri" w:eastAsia="Times New Roman" w:hAnsi="Calibri"/>
                <w:bCs/>
                <w:color w:val="000000"/>
                <w:sz w:val="20"/>
                <w:lang w:eastAsia="en-GB"/>
              </w:rPr>
              <w:t>3,852</w:t>
            </w:r>
          </w:p>
        </w:tc>
        <w:tc>
          <w:tcPr>
            <w:tcW w:w="1664" w:type="pct"/>
            <w:tcBorders>
              <w:top w:val="nil"/>
              <w:left w:val="nil"/>
              <w:bottom w:val="single" w:sz="8" w:space="0" w:color="FFFFFF"/>
              <w:right w:val="single" w:sz="8" w:space="0" w:color="FFFFFF"/>
            </w:tcBorders>
            <w:shd w:val="clear" w:color="000000" w:fill="D0CECE"/>
            <w:vAlign w:val="center"/>
            <w:hideMark/>
          </w:tcPr>
          <w:p w14:paraId="384931FA"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2.29</w:t>
            </w:r>
          </w:p>
        </w:tc>
        <w:tc>
          <w:tcPr>
            <w:tcW w:w="1492" w:type="pct"/>
            <w:tcBorders>
              <w:top w:val="nil"/>
              <w:left w:val="nil"/>
              <w:bottom w:val="single" w:sz="8" w:space="0" w:color="FFFFFF"/>
              <w:right w:val="single" w:sz="8" w:space="0" w:color="FFFFFF"/>
            </w:tcBorders>
            <w:shd w:val="clear" w:color="000000" w:fill="D0CECE"/>
            <w:vAlign w:val="center"/>
            <w:hideMark/>
          </w:tcPr>
          <w:p w14:paraId="6B0F02D5"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8,832</w:t>
            </w:r>
          </w:p>
        </w:tc>
      </w:tr>
      <w:tr w:rsidR="002023D7" w:rsidRPr="002023D7" w14:paraId="5E316653" w14:textId="77777777" w:rsidTr="002023D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453786B5"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2014</w:t>
            </w:r>
          </w:p>
        </w:tc>
        <w:tc>
          <w:tcPr>
            <w:tcW w:w="1386" w:type="pct"/>
            <w:tcBorders>
              <w:top w:val="nil"/>
              <w:left w:val="nil"/>
              <w:bottom w:val="single" w:sz="8" w:space="0" w:color="FFFFFF"/>
              <w:right w:val="single" w:sz="8" w:space="0" w:color="FFFFFF"/>
            </w:tcBorders>
            <w:shd w:val="clear" w:color="000000" w:fill="E7EEEF"/>
            <w:vAlign w:val="center"/>
            <w:hideMark/>
          </w:tcPr>
          <w:p w14:paraId="7E37AF4F"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3,604</w:t>
            </w:r>
          </w:p>
        </w:tc>
        <w:tc>
          <w:tcPr>
            <w:tcW w:w="1664" w:type="pct"/>
            <w:tcBorders>
              <w:top w:val="nil"/>
              <w:left w:val="nil"/>
              <w:bottom w:val="single" w:sz="8" w:space="0" w:color="FFFFFF"/>
              <w:right w:val="single" w:sz="8" w:space="0" w:color="FFFFFF"/>
            </w:tcBorders>
            <w:shd w:val="clear" w:color="000000" w:fill="E7EEEF"/>
            <w:vAlign w:val="center"/>
            <w:hideMark/>
          </w:tcPr>
          <w:p w14:paraId="394D5692"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2.30</w:t>
            </w:r>
          </w:p>
        </w:tc>
        <w:tc>
          <w:tcPr>
            <w:tcW w:w="1492" w:type="pct"/>
            <w:tcBorders>
              <w:top w:val="nil"/>
              <w:left w:val="nil"/>
              <w:bottom w:val="single" w:sz="8" w:space="0" w:color="FFFFFF"/>
              <w:right w:val="single" w:sz="8" w:space="0" w:color="FFFFFF"/>
            </w:tcBorders>
            <w:shd w:val="clear" w:color="000000" w:fill="E7EEEF"/>
            <w:vAlign w:val="center"/>
            <w:hideMark/>
          </w:tcPr>
          <w:p w14:paraId="66FEF607"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8,285</w:t>
            </w:r>
          </w:p>
        </w:tc>
      </w:tr>
      <w:tr w:rsidR="002023D7" w:rsidRPr="002023D7" w14:paraId="38C0A05A" w14:textId="77777777" w:rsidTr="002023D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282F5AB1"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2015</w:t>
            </w:r>
          </w:p>
        </w:tc>
        <w:tc>
          <w:tcPr>
            <w:tcW w:w="1386" w:type="pct"/>
            <w:tcBorders>
              <w:top w:val="nil"/>
              <w:left w:val="nil"/>
              <w:bottom w:val="single" w:sz="8" w:space="0" w:color="FFFFFF"/>
              <w:right w:val="single" w:sz="8" w:space="0" w:color="FFFFFF"/>
            </w:tcBorders>
            <w:shd w:val="clear" w:color="000000" w:fill="D0CECE"/>
            <w:vAlign w:val="center"/>
            <w:hideMark/>
          </w:tcPr>
          <w:p w14:paraId="3BB6F84A"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3,943</w:t>
            </w:r>
          </w:p>
        </w:tc>
        <w:tc>
          <w:tcPr>
            <w:tcW w:w="1664" w:type="pct"/>
            <w:tcBorders>
              <w:top w:val="nil"/>
              <w:left w:val="nil"/>
              <w:bottom w:val="single" w:sz="8" w:space="0" w:color="FFFFFF"/>
              <w:right w:val="single" w:sz="8" w:space="0" w:color="FFFFFF"/>
            </w:tcBorders>
            <w:shd w:val="clear" w:color="000000" w:fill="D0CECE"/>
            <w:vAlign w:val="center"/>
            <w:hideMark/>
          </w:tcPr>
          <w:p w14:paraId="75600D5D"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2.30</w:t>
            </w:r>
          </w:p>
        </w:tc>
        <w:tc>
          <w:tcPr>
            <w:tcW w:w="1492" w:type="pct"/>
            <w:tcBorders>
              <w:top w:val="nil"/>
              <w:left w:val="nil"/>
              <w:bottom w:val="single" w:sz="8" w:space="0" w:color="FFFFFF"/>
              <w:right w:val="single" w:sz="8" w:space="0" w:color="FFFFFF"/>
            </w:tcBorders>
            <w:shd w:val="clear" w:color="000000" w:fill="D0CECE"/>
            <w:vAlign w:val="center"/>
            <w:hideMark/>
          </w:tcPr>
          <w:p w14:paraId="00EDAADD"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9,069</w:t>
            </w:r>
          </w:p>
        </w:tc>
      </w:tr>
      <w:tr w:rsidR="002023D7" w:rsidRPr="002023D7" w14:paraId="416CABC8" w14:textId="77777777" w:rsidTr="002023D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50D45BC9"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2016</w:t>
            </w:r>
          </w:p>
        </w:tc>
        <w:tc>
          <w:tcPr>
            <w:tcW w:w="1386" w:type="pct"/>
            <w:tcBorders>
              <w:top w:val="nil"/>
              <w:left w:val="nil"/>
              <w:bottom w:val="single" w:sz="8" w:space="0" w:color="FFFFFF"/>
              <w:right w:val="single" w:sz="8" w:space="0" w:color="FFFFFF"/>
            </w:tcBorders>
            <w:shd w:val="clear" w:color="000000" w:fill="E7EEEF"/>
            <w:vAlign w:val="center"/>
            <w:hideMark/>
          </w:tcPr>
          <w:p w14:paraId="7DD21112"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5,024</w:t>
            </w:r>
          </w:p>
        </w:tc>
        <w:tc>
          <w:tcPr>
            <w:tcW w:w="1664" w:type="pct"/>
            <w:tcBorders>
              <w:top w:val="nil"/>
              <w:left w:val="nil"/>
              <w:bottom w:val="single" w:sz="8" w:space="0" w:color="FFFFFF"/>
              <w:right w:val="single" w:sz="8" w:space="0" w:color="FFFFFF"/>
            </w:tcBorders>
            <w:shd w:val="clear" w:color="000000" w:fill="E7EEEF"/>
            <w:vAlign w:val="center"/>
            <w:hideMark/>
          </w:tcPr>
          <w:p w14:paraId="7EE5E4AF"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2.32</w:t>
            </w:r>
          </w:p>
        </w:tc>
        <w:tc>
          <w:tcPr>
            <w:tcW w:w="1492" w:type="pct"/>
            <w:tcBorders>
              <w:top w:val="nil"/>
              <w:left w:val="nil"/>
              <w:bottom w:val="single" w:sz="8" w:space="0" w:color="FFFFFF"/>
              <w:right w:val="single" w:sz="8" w:space="0" w:color="FFFFFF"/>
            </w:tcBorders>
            <w:shd w:val="clear" w:color="000000" w:fill="E7EEEF"/>
            <w:vAlign w:val="center"/>
            <w:hideMark/>
          </w:tcPr>
          <w:p w14:paraId="5483053C"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11,653</w:t>
            </w:r>
          </w:p>
        </w:tc>
      </w:tr>
      <w:tr w:rsidR="002023D7" w:rsidRPr="002023D7" w14:paraId="1F15D01F" w14:textId="77777777" w:rsidTr="002023D7">
        <w:trPr>
          <w:trHeight w:val="315"/>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01070176"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2017</w:t>
            </w:r>
          </w:p>
        </w:tc>
        <w:tc>
          <w:tcPr>
            <w:tcW w:w="1386" w:type="pct"/>
            <w:tcBorders>
              <w:top w:val="nil"/>
              <w:left w:val="nil"/>
              <w:bottom w:val="single" w:sz="8" w:space="0" w:color="FFFFFF"/>
              <w:right w:val="single" w:sz="8" w:space="0" w:color="FFFFFF"/>
            </w:tcBorders>
            <w:shd w:val="clear" w:color="000000" w:fill="D0CECE"/>
            <w:vAlign w:val="center"/>
            <w:hideMark/>
          </w:tcPr>
          <w:p w14:paraId="04CFAB44"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5,349</w:t>
            </w:r>
          </w:p>
        </w:tc>
        <w:tc>
          <w:tcPr>
            <w:tcW w:w="1664" w:type="pct"/>
            <w:tcBorders>
              <w:top w:val="nil"/>
              <w:left w:val="nil"/>
              <w:bottom w:val="single" w:sz="8" w:space="0" w:color="FFFFFF"/>
              <w:right w:val="single" w:sz="8" w:space="0" w:color="FFFFFF"/>
            </w:tcBorders>
            <w:shd w:val="clear" w:color="000000" w:fill="D0CECE"/>
            <w:vAlign w:val="center"/>
            <w:hideMark/>
          </w:tcPr>
          <w:p w14:paraId="2DEA074D"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2.25</w:t>
            </w:r>
          </w:p>
        </w:tc>
        <w:tc>
          <w:tcPr>
            <w:tcW w:w="1492" w:type="pct"/>
            <w:tcBorders>
              <w:top w:val="nil"/>
              <w:left w:val="nil"/>
              <w:bottom w:val="single" w:sz="8" w:space="0" w:color="FFFFFF"/>
              <w:right w:val="single" w:sz="8" w:space="0" w:color="FFFFFF"/>
            </w:tcBorders>
            <w:shd w:val="clear" w:color="000000" w:fill="D0CECE"/>
            <w:vAlign w:val="center"/>
            <w:hideMark/>
          </w:tcPr>
          <w:p w14:paraId="0626F1C5"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12,026</w:t>
            </w:r>
          </w:p>
        </w:tc>
      </w:tr>
    </w:tbl>
    <w:p w14:paraId="2ABA832C" w14:textId="7F8784C2" w:rsidR="00C22011" w:rsidRPr="009924DA" w:rsidRDefault="00290DC3" w:rsidP="00290DC3">
      <w:pPr>
        <w:jc w:val="right"/>
      </w:pPr>
      <w:r w:rsidRPr="00520FF4">
        <w:rPr>
          <w:rStyle w:val="SubtleEmphasis"/>
          <w:sz w:val="18"/>
        </w:rPr>
        <w:t>Source: ONS, FAME, Cebr analysis</w:t>
      </w:r>
    </w:p>
    <w:p w14:paraId="4A9875C9" w14:textId="77777777" w:rsidR="00DA5557" w:rsidRDefault="00DA5557" w:rsidP="00DA5557">
      <w:pPr>
        <w:pStyle w:val="Heading2"/>
      </w:pPr>
      <w:bookmarkStart w:id="116" w:name="_Toc20139753"/>
      <w:r>
        <w:t>The wider economic impacts through employment</w:t>
      </w:r>
      <w:bookmarkEnd w:id="116"/>
    </w:p>
    <w:p w14:paraId="0331CA71" w14:textId="25CCF62F" w:rsidR="008E7CB5" w:rsidRDefault="009A794C" w:rsidP="00F075F8">
      <w:r>
        <w:t xml:space="preserve">In this section, we consider the wider economic impact that the Solent-based Maritime sector and Portsmouth Naval Base make through employment. </w:t>
      </w:r>
      <w:r w:rsidR="00A73109">
        <w:fldChar w:fldCharType="begin"/>
      </w:r>
      <w:r w:rsidR="00A73109">
        <w:instrText xml:space="preserve"> REF _Ref499907559 \h </w:instrText>
      </w:r>
      <w:r w:rsidR="00A73109">
        <w:fldChar w:fldCharType="separate"/>
      </w:r>
      <w:r w:rsidR="00D17FEA">
        <w:t xml:space="preserve">Figure </w:t>
      </w:r>
      <w:r w:rsidR="00D17FEA">
        <w:rPr>
          <w:noProof/>
        </w:rPr>
        <w:t>18</w:t>
      </w:r>
      <w:r w:rsidR="00A73109">
        <w:fldChar w:fldCharType="end"/>
      </w:r>
      <w:r w:rsidR="00A73109">
        <w:t xml:space="preserve"> </w:t>
      </w:r>
      <w:r>
        <w:t xml:space="preserve">below illustrates the </w:t>
      </w:r>
      <w:r w:rsidR="00F22CF7">
        <w:t xml:space="preserve">direct, indirect and induced </w:t>
      </w:r>
      <w:r w:rsidR="00DA0EEC">
        <w:t xml:space="preserve">employment </w:t>
      </w:r>
      <w:r w:rsidR="00F22CF7">
        <w:t>impacts</w:t>
      </w:r>
      <w:r>
        <w:t xml:space="preserve"> </w:t>
      </w:r>
      <w:r w:rsidR="00F22CF7">
        <w:t>associated with</w:t>
      </w:r>
      <w:r>
        <w:t xml:space="preserve"> the Solent-ba</w:t>
      </w:r>
      <w:r w:rsidR="008E7CB5">
        <w:t>sed Maritime sector. Collectively, the Solent-based maritime industries and Portsmouth Naval Base directly contributed 28,800 jobs in 2017</w:t>
      </w:r>
      <w:r w:rsidR="0080602B">
        <w:t>.</w:t>
      </w:r>
      <w:r w:rsidR="008E7CB5">
        <w:t xml:space="preserve"> </w:t>
      </w:r>
      <w:r w:rsidR="0080602B">
        <w:t>O</w:t>
      </w:r>
      <w:r w:rsidR="008E7CB5">
        <w:t xml:space="preserve">nce the indirect and induced economic channels are taken into consideration the industries directly and indirectly supported approximately 152,000 jobs. </w:t>
      </w:r>
    </w:p>
    <w:p w14:paraId="476F2A6B" w14:textId="4952CEE3" w:rsidR="00291A61" w:rsidRDefault="008E7CB5" w:rsidP="00F075F8">
      <w:r w:rsidRPr="008E7CB5">
        <w:rPr>
          <w:b/>
        </w:rPr>
        <w:t>Alternatively, for</w:t>
      </w:r>
      <w:r w:rsidR="00B33FD4">
        <w:rPr>
          <w:b/>
        </w:rPr>
        <w:t xml:space="preserve"> every 1 job </w:t>
      </w:r>
      <w:r w:rsidR="000B472F">
        <w:rPr>
          <w:b/>
        </w:rPr>
        <w:t>initially created</w:t>
      </w:r>
      <w:r w:rsidR="00B33FD4" w:rsidRPr="00E31A52">
        <w:rPr>
          <w:b/>
        </w:rPr>
        <w:t xml:space="preserve"> by </w:t>
      </w:r>
      <w:r w:rsidR="00C12E41">
        <w:rPr>
          <w:b/>
        </w:rPr>
        <w:t>these entities in 2017</w:t>
      </w:r>
      <w:r w:rsidR="00B33FD4" w:rsidRPr="00E31A52">
        <w:rPr>
          <w:b/>
        </w:rPr>
        <w:t xml:space="preserve">, </w:t>
      </w:r>
      <w:r w:rsidR="00C12E41">
        <w:rPr>
          <w:b/>
        </w:rPr>
        <w:t>a total of 5.27</w:t>
      </w:r>
      <w:r w:rsidR="00225FBC">
        <w:rPr>
          <w:b/>
        </w:rPr>
        <w:t xml:space="preserve"> </w:t>
      </w:r>
      <w:r w:rsidR="00B33FD4">
        <w:rPr>
          <w:b/>
        </w:rPr>
        <w:t xml:space="preserve">jobs were </w:t>
      </w:r>
      <w:r w:rsidR="00E423BE">
        <w:rPr>
          <w:b/>
        </w:rPr>
        <w:t>contributed</w:t>
      </w:r>
      <w:r w:rsidR="00B33FD4">
        <w:rPr>
          <w:b/>
        </w:rPr>
        <w:t xml:space="preserve"> in the wider </w:t>
      </w:r>
      <w:r w:rsidR="00A06C21">
        <w:rPr>
          <w:b/>
        </w:rPr>
        <w:t xml:space="preserve">Solent LEP </w:t>
      </w:r>
      <w:r w:rsidR="00B33FD4">
        <w:rPr>
          <w:b/>
        </w:rPr>
        <w:t xml:space="preserve">region. </w:t>
      </w:r>
    </w:p>
    <w:p w14:paraId="0EBB2D8E" w14:textId="19D887FD" w:rsidR="00F075F8" w:rsidRDefault="00F075F8" w:rsidP="00F075F8">
      <w:pPr>
        <w:pStyle w:val="Caption"/>
        <w:keepNext/>
      </w:pPr>
      <w:bookmarkStart w:id="117" w:name="_Ref499907711"/>
      <w:r>
        <w:t xml:space="preserve">Figure </w:t>
      </w:r>
      <w:bookmarkEnd w:id="117"/>
      <w:r w:rsidR="009924DA">
        <w:t>1</w:t>
      </w:r>
      <w:r w:rsidR="009924DA">
        <w:rPr>
          <w:noProof/>
        </w:rPr>
        <w:t>8</w:t>
      </w:r>
      <w:r>
        <w:t xml:space="preserve">: </w:t>
      </w:r>
      <w:r w:rsidRPr="00F23A3A">
        <w:t>Employment multiplier impacts of the Solent-based Maritime sector</w:t>
      </w:r>
      <w:r w:rsidR="00C12E41">
        <w:t xml:space="preserve"> and Portsmouth Naval Base, 2017</w:t>
      </w:r>
    </w:p>
    <w:p w14:paraId="3DCF5C87" w14:textId="528B1DD8" w:rsidR="00DA0EEC" w:rsidRDefault="002C5486" w:rsidP="00B30422">
      <w:pPr>
        <w:spacing w:after="0"/>
        <w:rPr>
          <w:noProof/>
          <w:lang w:eastAsia="en-GB"/>
        </w:rPr>
      </w:pPr>
      <w:r w:rsidRPr="002C5486">
        <w:rPr>
          <w:noProof/>
          <w:lang w:eastAsia="en-GB"/>
        </w:rPr>
        <mc:AlternateContent>
          <mc:Choice Requires="wpg">
            <w:drawing>
              <wp:anchor distT="0" distB="0" distL="114300" distR="114300" simplePos="0" relativeHeight="251664384" behindDoc="0" locked="0" layoutInCell="1" allowOverlap="1" wp14:anchorId="2D3F4CB6" wp14:editId="66BE24E8">
                <wp:simplePos x="0" y="0"/>
                <wp:positionH relativeFrom="margin">
                  <wp:align>left</wp:align>
                </wp:positionH>
                <wp:positionV relativeFrom="paragraph">
                  <wp:posOffset>8255</wp:posOffset>
                </wp:positionV>
                <wp:extent cx="5759450" cy="2141855"/>
                <wp:effectExtent l="0" t="0" r="0" b="0"/>
                <wp:wrapNone/>
                <wp:docPr id="55" name="Group 3"/>
                <wp:cNvGraphicFramePr/>
                <a:graphic xmlns:a="http://schemas.openxmlformats.org/drawingml/2006/main">
                  <a:graphicData uri="http://schemas.microsoft.com/office/word/2010/wordprocessingGroup">
                    <wpg:wgp>
                      <wpg:cNvGrpSpPr/>
                      <wpg:grpSpPr>
                        <a:xfrm>
                          <a:off x="0" y="0"/>
                          <a:ext cx="5759450" cy="2141855"/>
                          <a:chOff x="0" y="0"/>
                          <a:chExt cx="6508545" cy="1930620"/>
                        </a:xfrm>
                      </wpg:grpSpPr>
                      <wps:wsp>
                        <wps:cNvPr id="56" name="Down Arrow 56"/>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Down Arrow 57"/>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2495" y="1584320"/>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C22ED" w14:textId="77777777" w:rsidR="00D17FEA" w:rsidRDefault="00D17FEA" w:rsidP="002C5486">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152,000 jobs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E4AF05" w14:textId="77777777" w:rsidR="00D17FEA" w:rsidRDefault="00D17FEA" w:rsidP="002C5486">
                              <w:pPr>
                                <w:pStyle w:val="NormalWeb"/>
                                <w:spacing w:before="0" w:beforeAutospacing="0" w:after="0" w:afterAutospacing="0"/>
                                <w:jc w:val="center"/>
                                <w:rPr>
                                  <w:rFonts w:asciiTheme="minorHAnsi" w:hAnsi="+mn-ea" w:cstheme="minorBidi"/>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6D0B92A2" w14:textId="77777777" w:rsidR="00D17FEA" w:rsidRDefault="00D17FEA" w:rsidP="002C5486">
                              <w:pPr>
                                <w:pStyle w:val="NormalWeb"/>
                                <w:spacing w:before="0" w:beforeAutospacing="0" w:after="0" w:afterAutospacing="0"/>
                                <w:jc w:val="center"/>
                              </w:pPr>
                            </w:p>
                            <w:p w14:paraId="6E1B333F" w14:textId="77777777" w:rsidR="00D17FEA" w:rsidRDefault="00D17FEA" w:rsidP="002C5486">
                              <w:pPr>
                                <w:pStyle w:val="NormalWeb"/>
                                <w:spacing w:before="0" w:beforeAutospacing="0" w:after="0" w:afterAutospacing="0"/>
                                <w:jc w:val="center"/>
                              </w:pPr>
                              <w:r>
                                <w:rPr>
                                  <w:rFonts w:asciiTheme="minorHAnsi" w:hAnsi="Calibri" w:cstheme="minorBidi"/>
                                  <w:color w:val="FFFFFF" w:themeColor="background1"/>
                                  <w:kern w:val="24"/>
                                  <w:sz w:val="32"/>
                                  <w:szCs w:val="32"/>
                                </w:rPr>
                                <w:t>29,000 jobs</w:t>
                              </w:r>
                            </w:p>
                          </w:txbxContent>
                        </wps:txbx>
                        <wps:bodyPr rtlCol="0" anchor="t" anchorCtr="0"/>
                      </wps:wsp>
                      <wps:wsp>
                        <wps:cNvPr id="60" name="Rounded Rectangle 60"/>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9EF53" w14:textId="3A56CCCE" w:rsidR="00D17FEA" w:rsidRDefault="00D17FEA" w:rsidP="002C5486">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rPr>
                                <w:t>)</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77,000 jobs</w:t>
                              </w:r>
                            </w:p>
                          </w:txbxContent>
                        </wps:txbx>
                        <wps:bodyPr rtlCol="0" anchor="t" anchorCtr="0"/>
                      </wps:wsp>
                      <wps:wsp>
                        <wps:cNvPr id="61" name="Rounded Rectangle 61"/>
                        <wps:cNvSpPr/>
                        <wps:spPr>
                          <a:xfrm>
                            <a:off x="4648213" y="462211"/>
                            <a:ext cx="1584176" cy="96493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AF0B4F" w14:textId="2D7105BA" w:rsidR="00D17FEA" w:rsidRDefault="00D17FEA" w:rsidP="002C5486">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 </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rPr>
                                <w:t>)</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46,000 jobs</w:t>
                              </w:r>
                            </w:p>
                          </w:txbxContent>
                        </wps:txbx>
                        <wps:bodyPr rtlCol="0" anchor="t" anchorCtr="0"/>
                      </wps:wsp>
                      <wps:wsp>
                        <wps:cNvPr id="62" name="Rectangle 62"/>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1AC78" w14:textId="77777777" w:rsidR="00D17FEA" w:rsidRDefault="00D17FEA" w:rsidP="002C5486">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3F4CB6" id="_x0000_s1042" style="position:absolute;margin-left:0;margin-top:.65pt;width:453.5pt;height:168.65pt;z-index:251664384;mso-position-horizontal:left;mso-position-horizontal-relative:margin;mso-width-relative:margin;mso-height-relative:margin"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">
                <v:shape id="Down Arrow 56" o:spid="_x0000_s1043"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ScEA&#10;AADbAAAADwAAAGRycy9kb3ducmV2LnhtbESPQWvCQBSE7wX/w/IKvdVNhcQaXUULBa9VL729Zl+T&#10;YN7bkN2azb93C4Ueh5n5htnsInfqRoNvnRh4mWegSCpnW6kNXM7vz6+gfECx2DkhAxN52G1nDxss&#10;rRvlg26nUKsEEV+igSaEvtTaVw0x+rnrSZL37QbGkORQazvgmODc6UWWFZqxlbTQYE9vDVXX0w8b&#10;kBVz9CtH/afPDy1PX/GwXxrz9Bj3a1CBYvgP/7WP1kBewO+X9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U3EnBAAAA2wAAAA8AAAAAAAAAAAAAAAAAmAIAAGRycy9kb3du&#10;cmV2LnhtbFBLBQYAAAAABAAEAPUAAACGAwAAAAA=&#10;" adj="10800" fillcolor="#c4c4c6 [1302]" stroked="f" strokeweight="2pt"/>
                <v:shape id="Down Arrow 57" o:spid="_x0000_s1044"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50sAA&#10;AADbAAAADwAAAGRycy9kb3ducmV2LnhtbESPzYoCMRCE74LvEFrYm2YUXNfRKCos7NWfy97aSTsz&#10;ON0ZJlHj22+EBY9FVX1FLdeRG3WnztdODIxHGSiSwtlaSgOn4/fwC5QPKBYbJ2TgSR7Wq35vibl1&#10;D9nT/RBKlSDiczRQhdDmWvuiIkY/ci1J8i6uYwxJdqW2HT4SnBs9ybJPzVhLWqiwpV1FxfVwYwMy&#10;Z45+7qj99dNtzc9z3G5mxnwM4mYBKlAM7/B/+8camM7g9SX9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h50sAAAADbAAAADwAAAAAAAAAAAAAAAACYAgAAZHJzL2Rvd25y&#10;ZXYueG1sUEsFBgAAAAAEAAQA9QAAAIUDAAAAAA==&#10;" adj="10800" fillcolor="#c4c4c6 [1302]" stroked="f" strokeweight="2pt"/>
                <v:rect id="Rectangle 58" o:spid="_x0000_s1045"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7fVb0A&#10;AADbAAAADwAAAGRycy9kb3ducmV2LnhtbERPTWvCQBC9C/6HZQre6qYFi0RXCQGhPZqq5yE7JsHd&#10;2ZBdNfXXO4eCx8f7Xm9H79SNhtgFNvAxz0AR18F23Bg4/O7el6BiQrboApOBP4qw3Uwna8xtuPOe&#10;blVqlIRwzNFAm1Kfax3rljzGeeiJhTuHwWMSODTaDniXcO/0Z5Z9aY8dS0OLPZUt1Zfq6g0smH4W&#10;qXq48lgU5yvWx/IUnTGzt7FYgUo0ppf43/1txSdj5Yv8AL1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r7fVb0AAADbAAAADwAAAAAAAAAAAAAAAACYAgAAZHJzL2Rvd25yZXYu&#10;eG1sUEsFBgAAAAAEAAQA9QAAAIIDAAAAAA==&#10;" fillcolor="#6d6e71 [3206]" stroked="f" strokeweight="2pt">
                  <v:textbox>
                    <w:txbxContent>
                      <w:p w14:paraId="3F4C22ED" w14:textId="77777777" w:rsidR="00D17FEA" w:rsidRDefault="00D17FEA" w:rsidP="002C5486">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152,000 jobs</w:t>
                        </w:r>
                      </w:p>
                    </w:txbxContent>
                  </v:textbox>
                </v:rect>
                <v:roundrect id="Rounded Rectangle 59" o:spid="_x0000_s1046"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xrMIA&#10;AADbAAAADwAAAGRycy9kb3ducmV2LnhtbESP0WrCQBRE3wX/YbmCL1I3Wiw2uooURF+1/YDb7DWJ&#10;2b0bstsk+vVuQfBxmJkzzHrbWyNaanzpWMFsmoAgzpwuOVfw871/W4LwAVmjcUwKbuRhuxkO1phq&#10;1/GJ2nPIRYSwT1FBEUKdSumzgiz6qauJo3dxjcUQZZNL3WAX4dbIeZJ8SIslx4UCa/oqKKvOf1bB&#10;Hffvl5s51OVvO6mc6ZbdtcqUGo/63QpEoD68ws/2UStYfML/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LGswgAAANsAAAAPAAAAAAAAAAAAAAAAAJgCAABkcnMvZG93&#10;bnJldi54bWxQSwUGAAAAAAQABAD1AAAAhwMAAAAA&#10;" fillcolor="#008c9b [3204]" stroked="f" strokeweight="2pt">
                  <v:textbox>
                    <w:txbxContent>
                      <w:p w14:paraId="66E4AF05" w14:textId="77777777" w:rsidR="00D17FEA" w:rsidRDefault="00D17FEA" w:rsidP="002C5486">
                        <w:pPr>
                          <w:pStyle w:val="NormalWeb"/>
                          <w:spacing w:before="0" w:beforeAutospacing="0" w:after="0" w:afterAutospacing="0"/>
                          <w:jc w:val="center"/>
                          <w:rPr>
                            <w:rFonts w:asciiTheme="minorHAnsi" w:hAnsi="+mn-ea" w:cstheme="minorBidi"/>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6D0B92A2" w14:textId="77777777" w:rsidR="00D17FEA" w:rsidRDefault="00D17FEA" w:rsidP="002C5486">
                        <w:pPr>
                          <w:pStyle w:val="NormalWeb"/>
                          <w:spacing w:before="0" w:beforeAutospacing="0" w:after="0" w:afterAutospacing="0"/>
                          <w:jc w:val="center"/>
                        </w:pPr>
                      </w:p>
                      <w:p w14:paraId="6E1B333F" w14:textId="77777777" w:rsidR="00D17FEA" w:rsidRDefault="00D17FEA" w:rsidP="002C5486">
                        <w:pPr>
                          <w:pStyle w:val="NormalWeb"/>
                          <w:spacing w:before="0" w:beforeAutospacing="0" w:after="0" w:afterAutospacing="0"/>
                          <w:jc w:val="center"/>
                        </w:pPr>
                        <w:r>
                          <w:rPr>
                            <w:rFonts w:asciiTheme="minorHAnsi" w:hAnsi="Calibri" w:cstheme="minorBidi"/>
                            <w:color w:val="FFFFFF" w:themeColor="background1"/>
                            <w:kern w:val="24"/>
                            <w:sz w:val="32"/>
                            <w:szCs w:val="32"/>
                          </w:rPr>
                          <w:t>29,000 jobs</w:t>
                        </w:r>
                      </w:p>
                    </w:txbxContent>
                  </v:textbox>
                </v:roundrect>
                <v:roundrect id="Rounded Rectangle 60" o:spid="_x0000_s1047"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O3r8A&#10;AADbAAAADwAAAGRycy9kb3ducmV2LnhtbERPTYvCMBC9C/sfwizsTdNVEa3GUhaFvShY9T40Y1u2&#10;mXSTqPXfm4Pg8fG+V1lvWnEj5xvLCr5HCQji0uqGKwWn43Y4B+EDssbWMil4kIds/TFYYartnQ90&#10;K0IlYgj7FBXUIXSplL6syaAf2Y44chfrDIYIXSW1w3sMN60cJ8lMGmw4NtTY0U9N5V9xNQqSLrd+&#10;/5hOJsfNeRf+p9o1C63U12efL0EE6sNb/HL/agWzuD5+i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6g7evwAAANsAAAAPAAAAAAAAAAAAAAAAAJgCAABkcnMvZG93bnJl&#10;di54bWxQSwUGAAAAAAQABAD1AAAAhAMAAAAA&#10;" fillcolor="#0070c0" stroked="f" strokeweight="2pt">
                  <v:textbox>
                    <w:txbxContent>
                      <w:p w14:paraId="2489EF53" w14:textId="3A56CCCE" w:rsidR="00D17FEA" w:rsidRDefault="00D17FEA" w:rsidP="002C5486">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proofErr w:type="gramStart"/>
                        <w:r>
                          <w:rPr>
                            <w:rFonts w:asciiTheme="minorHAnsi" w:hAnsi="Calibri" w:cstheme="minorBidi"/>
                            <w:b/>
                            <w:bCs/>
                            <w:color w:val="FFFFFF" w:themeColor="background1"/>
                            <w:kern w:val="24"/>
                          </w:rPr>
                          <w:t>)</w:t>
                        </w:r>
                        <w:proofErr w:type="gramEnd"/>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77,000 jobs</w:t>
                        </w:r>
                      </w:p>
                    </w:txbxContent>
                  </v:textbox>
                </v:roundrect>
                <v:roundrect id="Rounded Rectangle 61" o:spid="_x0000_s1048" style="position:absolute;left:46482;top:4622;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c6sQA&#10;AADbAAAADwAAAGRycy9kb3ducmV2LnhtbESPQWvCQBSE74L/YXmCF9FNLAaJriIFobSXmuj9mX0m&#10;wezbNLvVtL++WxA8DjPzDbPe9qYRN+pcbVlBPItAEBdW11wqOOb76RKE88gaG8uk4IccbDfDwRpT&#10;be98oFvmSxEg7FJUUHnfplK6oiKDbmZb4uBdbGfQB9mVUnd4D3DTyHkUJdJgzWGhwpZeKyqu2bdR&#10;UL8ndj95+crPyxN/ZvIj/l1cT0qNR/1uBcJT75/hR/tNK0hi+P8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XOrEAAAA2wAAAA8AAAAAAAAAAAAAAAAAmAIAAGRycy9k&#10;b3ducmV2LnhtbFBLBQYAAAAABAAEAPUAAACJAwAAAAA=&#10;" fillcolor="#7030a0" stroked="f" strokeweight="2pt">
                  <v:textbox>
                    <w:txbxContent>
                      <w:p w14:paraId="5AAF0B4F" w14:textId="2D7105BA" w:rsidR="00D17FEA" w:rsidRDefault="00D17FEA" w:rsidP="002C5486">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 </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proofErr w:type="gramStart"/>
                        <w:r>
                          <w:rPr>
                            <w:rFonts w:asciiTheme="minorHAnsi" w:hAnsi="Calibri" w:cstheme="minorBidi"/>
                            <w:b/>
                            <w:bCs/>
                            <w:color w:val="FFFFFF" w:themeColor="background1"/>
                            <w:kern w:val="24"/>
                          </w:rPr>
                          <w:t>)</w:t>
                        </w:r>
                        <w:proofErr w:type="gramEnd"/>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46,000 jobs</w:t>
                        </w:r>
                      </w:p>
                    </w:txbxContent>
                  </v:textbox>
                </v:roundrect>
                <v:rect id="Rectangle 62" o:spid="_x0000_s1049"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iAsEA&#10;AADbAAAADwAAAGRycy9kb3ducmV2LnhtbESPQWvCQBSE7wX/w/IEb3WjkFBSVwkBwR5Nm54f2WcS&#10;3H0bsqtJ/fVuodDjMDPfMLvDbI240+h7xwo26wQEceN0z62Cr8/j6xsIH5A1Gsek4Ic8HPaLlx3m&#10;2k18pnsVWhEh7HNU0IUw5FL6piOLfu0G4uhd3GgxRDm2Uo84Rbg1cpskmbTYc1zocKCyo+Za3ayC&#10;lOkjDdXDlHVRXG7Y1OW3N0qtlnPxDiLQHP7Df+2TVpBt4fd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6IgLBAAAA2wAAAA8AAAAAAAAAAAAAAAAAmAIAAGRycy9kb3du&#10;cmV2LnhtbFBLBQYAAAAABAAEAPUAAACGAwAAAAA=&#10;" fillcolor="#6d6e71 [3206]" stroked="f" strokeweight="2pt">
                  <v:textbox>
                    <w:txbxContent>
                      <w:p w14:paraId="0851AC78" w14:textId="77777777" w:rsidR="00D17FEA" w:rsidRDefault="00D17FEA" w:rsidP="002C5486">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Employment</w:t>
                        </w:r>
                      </w:p>
                    </w:txbxContent>
                  </v:textbox>
                </v:rect>
                <w10:wrap anchorx="margin"/>
              </v:group>
            </w:pict>
          </mc:Fallback>
        </mc:AlternateContent>
      </w:r>
      <w:r w:rsidRPr="002C5486">
        <w:rPr>
          <w:noProof/>
          <w:lang w:eastAsia="en-GB"/>
        </w:rPr>
        <w:t xml:space="preserve"> </w:t>
      </w:r>
    </w:p>
    <w:p w14:paraId="358DBFE6" w14:textId="0D73BA6B" w:rsidR="002C5486" w:rsidRDefault="002C5486" w:rsidP="00B30422">
      <w:pPr>
        <w:spacing w:after="0"/>
        <w:rPr>
          <w:noProof/>
          <w:lang w:eastAsia="en-GB"/>
        </w:rPr>
      </w:pPr>
    </w:p>
    <w:p w14:paraId="139B4908" w14:textId="77777777" w:rsidR="002C5486" w:rsidRDefault="002C5486" w:rsidP="00B30422">
      <w:pPr>
        <w:spacing w:after="0"/>
        <w:rPr>
          <w:noProof/>
          <w:lang w:eastAsia="en-GB"/>
        </w:rPr>
      </w:pPr>
    </w:p>
    <w:p w14:paraId="15B5BB6D" w14:textId="77777777" w:rsidR="002C5486" w:rsidRDefault="002C5486" w:rsidP="00B30422">
      <w:pPr>
        <w:spacing w:after="0"/>
        <w:rPr>
          <w:noProof/>
          <w:lang w:eastAsia="en-GB"/>
        </w:rPr>
      </w:pPr>
    </w:p>
    <w:p w14:paraId="27B9AF8E" w14:textId="77777777" w:rsidR="002C5486" w:rsidRDefault="002C5486" w:rsidP="00B30422">
      <w:pPr>
        <w:spacing w:after="0"/>
        <w:rPr>
          <w:noProof/>
          <w:lang w:eastAsia="en-GB"/>
        </w:rPr>
      </w:pPr>
    </w:p>
    <w:p w14:paraId="63E3CAF2" w14:textId="77777777" w:rsidR="002C5486" w:rsidRDefault="002C5486" w:rsidP="00B30422">
      <w:pPr>
        <w:spacing w:after="0"/>
        <w:rPr>
          <w:noProof/>
          <w:lang w:eastAsia="en-GB"/>
        </w:rPr>
      </w:pPr>
    </w:p>
    <w:p w14:paraId="43B1D31B" w14:textId="77777777" w:rsidR="002C5486" w:rsidRDefault="002C5486" w:rsidP="00B30422">
      <w:pPr>
        <w:spacing w:after="0"/>
        <w:rPr>
          <w:noProof/>
          <w:lang w:eastAsia="en-GB"/>
        </w:rPr>
      </w:pPr>
    </w:p>
    <w:p w14:paraId="314E5482" w14:textId="77777777" w:rsidR="002C5486" w:rsidRDefault="002C5486" w:rsidP="00B30422">
      <w:pPr>
        <w:spacing w:after="0"/>
        <w:rPr>
          <w:noProof/>
          <w:lang w:eastAsia="en-GB"/>
        </w:rPr>
      </w:pPr>
    </w:p>
    <w:p w14:paraId="6C89968E" w14:textId="77777777" w:rsidR="002C5486" w:rsidRDefault="002C5486" w:rsidP="00B30422">
      <w:pPr>
        <w:spacing w:after="0"/>
        <w:rPr>
          <w:noProof/>
          <w:lang w:eastAsia="en-GB"/>
        </w:rPr>
      </w:pPr>
    </w:p>
    <w:p w14:paraId="7B9922B4" w14:textId="77777777" w:rsidR="002C5486" w:rsidRDefault="002C5486" w:rsidP="00B30422">
      <w:pPr>
        <w:spacing w:after="0"/>
        <w:rPr>
          <w:noProof/>
          <w:lang w:eastAsia="en-GB"/>
        </w:rPr>
      </w:pPr>
    </w:p>
    <w:p w14:paraId="0FD9EC7B" w14:textId="77777777" w:rsidR="002C5486" w:rsidRDefault="002C5486" w:rsidP="00B30422">
      <w:pPr>
        <w:spacing w:after="0"/>
        <w:rPr>
          <w:noProof/>
          <w:lang w:eastAsia="en-GB"/>
        </w:rPr>
      </w:pPr>
    </w:p>
    <w:p w14:paraId="05441D6F" w14:textId="77777777" w:rsidR="002C5486" w:rsidRPr="00DA0EEC" w:rsidRDefault="002C5486" w:rsidP="00B30422">
      <w:pPr>
        <w:spacing w:after="0"/>
      </w:pPr>
    </w:p>
    <w:p w14:paraId="22910238" w14:textId="77777777" w:rsidR="002C5486" w:rsidRDefault="002C5486" w:rsidP="00291A61">
      <w:pPr>
        <w:spacing w:before="60" w:after="120"/>
        <w:jc w:val="right"/>
        <w:rPr>
          <w:rStyle w:val="SubtleEmphasis"/>
          <w:sz w:val="18"/>
        </w:rPr>
      </w:pPr>
    </w:p>
    <w:p w14:paraId="571D8CDF" w14:textId="77777777" w:rsidR="00291A61" w:rsidRPr="00B86153" w:rsidRDefault="00291A61" w:rsidP="00291A61">
      <w:pPr>
        <w:spacing w:before="60" w:after="120"/>
        <w:jc w:val="right"/>
        <w:rPr>
          <w:i/>
        </w:rPr>
      </w:pPr>
      <w:r w:rsidRPr="00095712">
        <w:rPr>
          <w:rStyle w:val="SubtleEmphasis"/>
          <w:sz w:val="18"/>
        </w:rPr>
        <w:t>Source: ONS, FAME, Cebr analysis</w:t>
      </w:r>
    </w:p>
    <w:p w14:paraId="430D36ED" w14:textId="77777777" w:rsidR="0080602B" w:rsidRDefault="0080602B" w:rsidP="00AB5D9A">
      <w:pPr>
        <w:spacing w:after="120"/>
      </w:pPr>
      <w:bookmarkStart w:id="118" w:name="_Ref485315327"/>
    </w:p>
    <w:p w14:paraId="6D00F15F" w14:textId="77777777" w:rsidR="0080602B" w:rsidRDefault="0080602B" w:rsidP="00AB5D9A">
      <w:pPr>
        <w:spacing w:after="120"/>
      </w:pPr>
    </w:p>
    <w:p w14:paraId="5838AA18" w14:textId="77777777" w:rsidR="0080602B" w:rsidRDefault="0080602B" w:rsidP="00AB5D9A">
      <w:pPr>
        <w:spacing w:after="120"/>
      </w:pPr>
    </w:p>
    <w:p w14:paraId="10E239CE" w14:textId="77777777" w:rsidR="0080602B" w:rsidRDefault="0080602B" w:rsidP="00AB5D9A">
      <w:pPr>
        <w:spacing w:after="120"/>
      </w:pPr>
    </w:p>
    <w:p w14:paraId="51D05A91" w14:textId="77777777" w:rsidR="0080602B" w:rsidRDefault="0080602B" w:rsidP="00AB5D9A">
      <w:pPr>
        <w:spacing w:after="120"/>
      </w:pPr>
    </w:p>
    <w:p w14:paraId="7F65523A" w14:textId="5FF14CCC" w:rsidR="003F6121" w:rsidRDefault="00F075F8" w:rsidP="00AB5D9A">
      <w:pPr>
        <w:spacing w:after="120"/>
      </w:pPr>
      <w:r>
        <w:lastRenderedPageBreak/>
        <w:fldChar w:fldCharType="begin"/>
      </w:r>
      <w:r>
        <w:instrText xml:space="preserve"> REF _Ref499907740 \h </w:instrText>
      </w:r>
      <w:r>
        <w:fldChar w:fldCharType="separate"/>
      </w:r>
      <w:r w:rsidR="00D17FEA">
        <w:t xml:space="preserve">Table </w:t>
      </w:r>
      <w:r w:rsidR="00D17FEA">
        <w:rPr>
          <w:noProof/>
        </w:rPr>
        <w:t>19</w:t>
      </w:r>
      <w:r>
        <w:fldChar w:fldCharType="end"/>
      </w:r>
      <w:r>
        <w:t xml:space="preserve"> </w:t>
      </w:r>
      <w:r w:rsidR="00ED23DE">
        <w:t>below</w:t>
      </w:r>
      <w:r w:rsidR="00AE1A28">
        <w:t xml:space="preserve"> shows the estimated aggregate GVA impacts from the Solent-based maritime industries and Portsmouth Naval Base, taken in isolation.</w:t>
      </w:r>
      <w:r w:rsidR="00AE1A28" w:rsidRPr="00020D65">
        <w:t xml:space="preserve"> </w:t>
      </w:r>
      <w:bookmarkEnd w:id="118"/>
      <w:r w:rsidR="008E7CB5">
        <w:t xml:space="preserve">The shipping industry contributes the largest total impact with 107,000 jobs. </w:t>
      </w:r>
    </w:p>
    <w:p w14:paraId="78697074" w14:textId="77ABA23B" w:rsidR="00F075F8" w:rsidRDefault="00F075F8" w:rsidP="00F075F8">
      <w:pPr>
        <w:pStyle w:val="Caption"/>
        <w:keepNext/>
      </w:pPr>
      <w:bookmarkStart w:id="119" w:name="_Ref499907740"/>
      <w:r>
        <w:t xml:space="preserve">Table </w:t>
      </w:r>
      <w:r w:rsidR="00F604FD">
        <w:rPr>
          <w:noProof/>
        </w:rPr>
        <w:fldChar w:fldCharType="begin"/>
      </w:r>
      <w:r w:rsidR="00F604FD">
        <w:rPr>
          <w:noProof/>
        </w:rPr>
        <w:instrText xml:space="preserve"> SEQ Table \* ARABIC </w:instrText>
      </w:r>
      <w:r w:rsidR="00F604FD">
        <w:rPr>
          <w:noProof/>
        </w:rPr>
        <w:fldChar w:fldCharType="separate"/>
      </w:r>
      <w:r w:rsidR="00D17FEA">
        <w:rPr>
          <w:noProof/>
        </w:rPr>
        <w:t>19</w:t>
      </w:r>
      <w:r w:rsidR="00F604FD">
        <w:rPr>
          <w:noProof/>
        </w:rPr>
        <w:fldChar w:fldCharType="end"/>
      </w:r>
      <w:bookmarkEnd w:id="119"/>
      <w:r>
        <w:t xml:space="preserve">: </w:t>
      </w:r>
      <w:r w:rsidR="008E7CB5">
        <w:t>Employment impacts in 2017</w:t>
      </w:r>
      <w:r w:rsidRPr="00680C3E">
        <w:t xml:space="preserve"> disaggregated by industry and Portsmouth Naval Base, thousands of jobs</w:t>
      </w:r>
    </w:p>
    <w:tbl>
      <w:tblPr>
        <w:tblW w:w="9288" w:type="dxa"/>
        <w:tblLook w:val="04A0" w:firstRow="1" w:lastRow="0" w:firstColumn="1" w:lastColumn="0" w:noHBand="0" w:noVBand="1"/>
      </w:tblPr>
      <w:tblGrid>
        <w:gridCol w:w="3108"/>
        <w:gridCol w:w="1514"/>
        <w:gridCol w:w="1555"/>
        <w:gridCol w:w="1555"/>
        <w:gridCol w:w="1556"/>
      </w:tblGrid>
      <w:tr w:rsidR="008E7CB5" w:rsidRPr="008E7CB5" w14:paraId="17577B39" w14:textId="77777777" w:rsidTr="008E7CB5">
        <w:trPr>
          <w:trHeight w:val="484"/>
        </w:trPr>
        <w:tc>
          <w:tcPr>
            <w:tcW w:w="3108" w:type="dxa"/>
            <w:tcBorders>
              <w:top w:val="single" w:sz="8" w:space="0" w:color="FFFFFF"/>
              <w:left w:val="nil"/>
              <w:bottom w:val="single" w:sz="12" w:space="0" w:color="FFFFFF"/>
              <w:right w:val="single" w:sz="8" w:space="0" w:color="FFFFFF"/>
            </w:tcBorders>
            <w:shd w:val="clear" w:color="000000" w:fill="008C9B"/>
            <w:vAlign w:val="center"/>
            <w:hideMark/>
          </w:tcPr>
          <w:p w14:paraId="45C6EF6E" w14:textId="77777777" w:rsidR="008E7CB5" w:rsidRPr="008E7CB5" w:rsidRDefault="008E7CB5" w:rsidP="008E7CB5">
            <w:pPr>
              <w:spacing w:after="0"/>
              <w:rPr>
                <w:rFonts w:ascii="Calibri" w:eastAsia="Times New Roman" w:hAnsi="Calibri"/>
                <w:b/>
                <w:bCs/>
                <w:color w:val="FFFFFF"/>
                <w:sz w:val="20"/>
                <w:lang w:eastAsia="en-GB"/>
              </w:rPr>
            </w:pPr>
            <w:r w:rsidRPr="008E7CB5">
              <w:rPr>
                <w:rFonts w:ascii="Calibri" w:eastAsia="Times New Roman" w:hAnsi="Calibri"/>
                <w:b/>
                <w:bCs/>
                <w:color w:val="FFFFFF"/>
                <w:sz w:val="20"/>
                <w:lang w:eastAsia="en-GB"/>
              </w:rPr>
              <w:t>Employment in 2017</w:t>
            </w:r>
          </w:p>
        </w:tc>
        <w:tc>
          <w:tcPr>
            <w:tcW w:w="1514" w:type="dxa"/>
            <w:tcBorders>
              <w:top w:val="single" w:sz="8" w:space="0" w:color="FFFFFF"/>
              <w:left w:val="nil"/>
              <w:bottom w:val="single" w:sz="12" w:space="0" w:color="FFFFFF"/>
              <w:right w:val="single" w:sz="8" w:space="0" w:color="FFFFFF"/>
            </w:tcBorders>
            <w:shd w:val="clear" w:color="000000" w:fill="008C9B"/>
            <w:vAlign w:val="center"/>
            <w:hideMark/>
          </w:tcPr>
          <w:p w14:paraId="7BDC305D" w14:textId="77777777" w:rsidR="008E7CB5" w:rsidRPr="008E7CB5" w:rsidRDefault="008E7CB5" w:rsidP="008E7CB5">
            <w:pPr>
              <w:spacing w:after="0"/>
              <w:jc w:val="center"/>
              <w:rPr>
                <w:rFonts w:ascii="Calibri" w:eastAsia="Times New Roman" w:hAnsi="Calibri"/>
                <w:b/>
                <w:bCs/>
                <w:color w:val="FFFFFF"/>
                <w:sz w:val="20"/>
                <w:lang w:eastAsia="en-GB"/>
              </w:rPr>
            </w:pPr>
            <w:r w:rsidRPr="008E7CB5">
              <w:rPr>
                <w:rFonts w:ascii="Calibri" w:eastAsia="Times New Roman" w:hAnsi="Calibri"/>
                <w:b/>
                <w:bCs/>
                <w:color w:val="FFFFFF"/>
                <w:sz w:val="20"/>
                <w:lang w:eastAsia="en-GB"/>
              </w:rPr>
              <w:t xml:space="preserve">Direct Impact (thousands)    </w:t>
            </w:r>
          </w:p>
        </w:tc>
        <w:tc>
          <w:tcPr>
            <w:tcW w:w="1555" w:type="dxa"/>
            <w:tcBorders>
              <w:top w:val="single" w:sz="8" w:space="0" w:color="FFFFFF"/>
              <w:left w:val="nil"/>
              <w:bottom w:val="single" w:sz="12" w:space="0" w:color="FFFFFF"/>
              <w:right w:val="single" w:sz="8" w:space="0" w:color="FFFFFF"/>
            </w:tcBorders>
            <w:shd w:val="clear" w:color="000000" w:fill="008C9B"/>
            <w:vAlign w:val="center"/>
            <w:hideMark/>
          </w:tcPr>
          <w:p w14:paraId="49386515" w14:textId="77777777" w:rsidR="008E7CB5" w:rsidRPr="008E7CB5" w:rsidRDefault="008E7CB5" w:rsidP="008E7CB5">
            <w:pPr>
              <w:spacing w:after="0"/>
              <w:jc w:val="center"/>
              <w:rPr>
                <w:rFonts w:ascii="Calibri" w:eastAsia="Times New Roman" w:hAnsi="Calibri"/>
                <w:b/>
                <w:bCs/>
                <w:color w:val="FFFFFF"/>
                <w:sz w:val="20"/>
                <w:lang w:eastAsia="en-GB"/>
              </w:rPr>
            </w:pPr>
            <w:r w:rsidRPr="008E7CB5">
              <w:rPr>
                <w:rFonts w:ascii="Calibri" w:eastAsia="Times New Roman" w:hAnsi="Calibri"/>
                <w:b/>
                <w:bCs/>
                <w:color w:val="FFFFFF"/>
                <w:sz w:val="20"/>
                <w:lang w:eastAsia="en-GB"/>
              </w:rPr>
              <w:t>Indirect Impact</w:t>
            </w:r>
          </w:p>
        </w:tc>
        <w:tc>
          <w:tcPr>
            <w:tcW w:w="1555" w:type="dxa"/>
            <w:tcBorders>
              <w:top w:val="single" w:sz="8" w:space="0" w:color="FFFFFF"/>
              <w:left w:val="nil"/>
              <w:bottom w:val="single" w:sz="12" w:space="0" w:color="FFFFFF"/>
              <w:right w:val="single" w:sz="8" w:space="0" w:color="FFFFFF"/>
            </w:tcBorders>
            <w:shd w:val="clear" w:color="000000" w:fill="008C9B"/>
            <w:vAlign w:val="center"/>
            <w:hideMark/>
          </w:tcPr>
          <w:p w14:paraId="138AB5DE" w14:textId="77777777" w:rsidR="008E7CB5" w:rsidRPr="008E7CB5" w:rsidRDefault="008E7CB5" w:rsidP="008E7CB5">
            <w:pPr>
              <w:spacing w:after="0"/>
              <w:jc w:val="center"/>
              <w:rPr>
                <w:rFonts w:ascii="Calibri" w:eastAsia="Times New Roman" w:hAnsi="Calibri"/>
                <w:b/>
                <w:bCs/>
                <w:color w:val="FFFFFF"/>
                <w:sz w:val="20"/>
                <w:lang w:eastAsia="en-GB"/>
              </w:rPr>
            </w:pPr>
            <w:r w:rsidRPr="008E7CB5">
              <w:rPr>
                <w:rFonts w:ascii="Calibri" w:eastAsia="Times New Roman" w:hAnsi="Calibri"/>
                <w:b/>
                <w:bCs/>
                <w:color w:val="FFFFFF"/>
                <w:sz w:val="20"/>
                <w:lang w:eastAsia="en-GB"/>
              </w:rPr>
              <w:t>Induced Impact</w:t>
            </w:r>
          </w:p>
        </w:tc>
        <w:tc>
          <w:tcPr>
            <w:tcW w:w="1556" w:type="dxa"/>
            <w:tcBorders>
              <w:top w:val="single" w:sz="8" w:space="0" w:color="FFFFFF"/>
              <w:left w:val="nil"/>
              <w:bottom w:val="single" w:sz="12" w:space="0" w:color="FFFFFF"/>
              <w:right w:val="single" w:sz="8" w:space="0" w:color="FFFFFF"/>
            </w:tcBorders>
            <w:shd w:val="clear" w:color="000000" w:fill="008C9B"/>
            <w:vAlign w:val="center"/>
            <w:hideMark/>
          </w:tcPr>
          <w:p w14:paraId="4B6FB3F4" w14:textId="77777777" w:rsidR="008E7CB5" w:rsidRPr="008E7CB5" w:rsidRDefault="008E7CB5" w:rsidP="008E7CB5">
            <w:pPr>
              <w:spacing w:after="0"/>
              <w:jc w:val="center"/>
              <w:rPr>
                <w:rFonts w:ascii="Calibri" w:eastAsia="Times New Roman" w:hAnsi="Calibri"/>
                <w:b/>
                <w:bCs/>
                <w:color w:val="FFFFFF"/>
                <w:sz w:val="20"/>
                <w:lang w:eastAsia="en-GB"/>
              </w:rPr>
            </w:pPr>
            <w:r w:rsidRPr="008E7CB5">
              <w:rPr>
                <w:rFonts w:ascii="Calibri" w:eastAsia="Times New Roman" w:hAnsi="Calibri"/>
                <w:b/>
                <w:bCs/>
                <w:color w:val="FFFFFF"/>
                <w:sz w:val="20"/>
                <w:lang w:eastAsia="en-GB"/>
              </w:rPr>
              <w:t>Total Impact (thousands)</w:t>
            </w:r>
          </w:p>
        </w:tc>
      </w:tr>
      <w:tr w:rsidR="008E7CB5" w:rsidRPr="008E7CB5" w14:paraId="7901A155" w14:textId="77777777" w:rsidTr="008E7CB5">
        <w:trPr>
          <w:trHeight w:val="304"/>
        </w:trPr>
        <w:tc>
          <w:tcPr>
            <w:tcW w:w="3108" w:type="dxa"/>
            <w:tcBorders>
              <w:top w:val="nil"/>
              <w:left w:val="single" w:sz="8" w:space="0" w:color="FFFFFF"/>
              <w:bottom w:val="single" w:sz="8" w:space="0" w:color="FFFFFF"/>
              <w:right w:val="single" w:sz="8" w:space="0" w:color="FFFFFF"/>
            </w:tcBorders>
            <w:shd w:val="clear" w:color="000000" w:fill="008C9B"/>
            <w:vAlign w:val="bottom"/>
            <w:hideMark/>
          </w:tcPr>
          <w:p w14:paraId="121EFC8C" w14:textId="77777777" w:rsidR="008E7CB5" w:rsidRPr="008E7CB5" w:rsidRDefault="008E7CB5" w:rsidP="008E7CB5">
            <w:pPr>
              <w:spacing w:after="0"/>
              <w:rPr>
                <w:rFonts w:ascii="Calibri" w:eastAsia="Times New Roman" w:hAnsi="Calibri"/>
                <w:b/>
                <w:bCs/>
                <w:color w:val="FFFFFF"/>
                <w:sz w:val="20"/>
                <w:lang w:eastAsia="en-GB"/>
              </w:rPr>
            </w:pPr>
            <w:r w:rsidRPr="008E7CB5">
              <w:rPr>
                <w:rFonts w:ascii="Calibri" w:eastAsia="Times New Roman" w:hAnsi="Calibri"/>
                <w:b/>
                <w:bCs/>
                <w:color w:val="FFFFFF"/>
                <w:sz w:val="20"/>
                <w:lang w:eastAsia="en-GB"/>
              </w:rPr>
              <w:t>TOTAL</w:t>
            </w:r>
          </w:p>
        </w:tc>
        <w:tc>
          <w:tcPr>
            <w:tcW w:w="1514" w:type="dxa"/>
            <w:tcBorders>
              <w:top w:val="nil"/>
              <w:left w:val="nil"/>
              <w:bottom w:val="single" w:sz="8" w:space="0" w:color="FFFFFF"/>
              <w:right w:val="single" w:sz="8" w:space="0" w:color="FFFFFF"/>
            </w:tcBorders>
            <w:shd w:val="clear" w:color="000000" w:fill="E7EEEF"/>
            <w:vAlign w:val="center"/>
            <w:hideMark/>
          </w:tcPr>
          <w:p w14:paraId="49CB3B3C"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29</w:t>
            </w:r>
          </w:p>
        </w:tc>
        <w:tc>
          <w:tcPr>
            <w:tcW w:w="1555" w:type="dxa"/>
            <w:tcBorders>
              <w:top w:val="nil"/>
              <w:left w:val="nil"/>
              <w:bottom w:val="single" w:sz="8" w:space="0" w:color="FFFFFF"/>
              <w:right w:val="single" w:sz="8" w:space="0" w:color="FFFFFF"/>
            </w:tcBorders>
            <w:shd w:val="clear" w:color="000000" w:fill="E7EEEF"/>
            <w:vAlign w:val="center"/>
            <w:hideMark/>
          </w:tcPr>
          <w:p w14:paraId="14AC455D"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77</w:t>
            </w:r>
          </w:p>
        </w:tc>
        <w:tc>
          <w:tcPr>
            <w:tcW w:w="1555" w:type="dxa"/>
            <w:tcBorders>
              <w:top w:val="nil"/>
              <w:left w:val="nil"/>
              <w:bottom w:val="single" w:sz="8" w:space="0" w:color="FFFFFF"/>
              <w:right w:val="single" w:sz="8" w:space="0" w:color="FFFFFF"/>
            </w:tcBorders>
            <w:shd w:val="clear" w:color="000000" w:fill="E7EEEF"/>
            <w:vAlign w:val="center"/>
            <w:hideMark/>
          </w:tcPr>
          <w:p w14:paraId="2FEDCF16"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46</w:t>
            </w:r>
          </w:p>
        </w:tc>
        <w:tc>
          <w:tcPr>
            <w:tcW w:w="1556" w:type="dxa"/>
            <w:tcBorders>
              <w:top w:val="nil"/>
              <w:left w:val="nil"/>
              <w:bottom w:val="single" w:sz="8" w:space="0" w:color="FFFFFF"/>
              <w:right w:val="single" w:sz="8" w:space="0" w:color="FFFFFF"/>
            </w:tcBorders>
            <w:shd w:val="clear" w:color="000000" w:fill="E7EEEF"/>
            <w:vAlign w:val="center"/>
            <w:hideMark/>
          </w:tcPr>
          <w:p w14:paraId="512E51B6"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152</w:t>
            </w:r>
          </w:p>
        </w:tc>
      </w:tr>
      <w:tr w:rsidR="008E7CB5" w:rsidRPr="008E7CB5" w14:paraId="0A17B4ED" w14:textId="77777777" w:rsidTr="008E7CB5">
        <w:trPr>
          <w:trHeight w:val="290"/>
        </w:trPr>
        <w:tc>
          <w:tcPr>
            <w:tcW w:w="3108" w:type="dxa"/>
            <w:tcBorders>
              <w:top w:val="nil"/>
              <w:left w:val="single" w:sz="8" w:space="0" w:color="FFFFFF"/>
              <w:bottom w:val="single" w:sz="8" w:space="0" w:color="FFFFFF"/>
              <w:right w:val="single" w:sz="8" w:space="0" w:color="FFFFFF"/>
            </w:tcBorders>
            <w:shd w:val="clear" w:color="000000" w:fill="008C9B"/>
            <w:vAlign w:val="bottom"/>
            <w:hideMark/>
          </w:tcPr>
          <w:p w14:paraId="4E974180" w14:textId="77777777" w:rsidR="008E7CB5" w:rsidRPr="008E7CB5" w:rsidRDefault="008E7CB5" w:rsidP="008E7CB5">
            <w:pPr>
              <w:spacing w:after="0"/>
              <w:rPr>
                <w:rFonts w:ascii="Calibri" w:eastAsia="Times New Roman" w:hAnsi="Calibri"/>
                <w:color w:val="FFFFFF"/>
                <w:sz w:val="20"/>
                <w:lang w:eastAsia="en-GB"/>
              </w:rPr>
            </w:pPr>
            <w:r w:rsidRPr="008E7CB5">
              <w:rPr>
                <w:rFonts w:ascii="Calibri" w:eastAsia="Times New Roman" w:hAnsi="Calibri"/>
                <w:color w:val="FFFFFF"/>
                <w:sz w:val="20"/>
                <w:lang w:eastAsia="en-GB"/>
              </w:rPr>
              <w:t>Shipping</w:t>
            </w:r>
          </w:p>
        </w:tc>
        <w:tc>
          <w:tcPr>
            <w:tcW w:w="1514" w:type="dxa"/>
            <w:tcBorders>
              <w:top w:val="nil"/>
              <w:left w:val="nil"/>
              <w:bottom w:val="single" w:sz="8" w:space="0" w:color="FFFFFF"/>
              <w:right w:val="single" w:sz="8" w:space="0" w:color="FFFFFF"/>
            </w:tcBorders>
            <w:shd w:val="clear" w:color="000000" w:fill="D0CECE"/>
            <w:vAlign w:val="center"/>
            <w:hideMark/>
          </w:tcPr>
          <w:p w14:paraId="1BB89CA6"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10</w:t>
            </w:r>
          </w:p>
        </w:tc>
        <w:tc>
          <w:tcPr>
            <w:tcW w:w="1555" w:type="dxa"/>
            <w:tcBorders>
              <w:top w:val="nil"/>
              <w:left w:val="nil"/>
              <w:bottom w:val="single" w:sz="8" w:space="0" w:color="FFFFFF"/>
              <w:right w:val="single" w:sz="8" w:space="0" w:color="FFFFFF"/>
            </w:tcBorders>
            <w:shd w:val="clear" w:color="000000" w:fill="D0CECE"/>
            <w:vAlign w:val="center"/>
            <w:hideMark/>
          </w:tcPr>
          <w:p w14:paraId="145E5B48"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60</w:t>
            </w:r>
          </w:p>
        </w:tc>
        <w:tc>
          <w:tcPr>
            <w:tcW w:w="1555" w:type="dxa"/>
            <w:tcBorders>
              <w:top w:val="nil"/>
              <w:left w:val="nil"/>
              <w:bottom w:val="single" w:sz="8" w:space="0" w:color="FFFFFF"/>
              <w:right w:val="single" w:sz="8" w:space="0" w:color="FFFFFF"/>
            </w:tcBorders>
            <w:shd w:val="clear" w:color="000000" w:fill="D0CECE"/>
            <w:vAlign w:val="center"/>
            <w:hideMark/>
          </w:tcPr>
          <w:p w14:paraId="02E09DDF"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37</w:t>
            </w:r>
          </w:p>
        </w:tc>
        <w:tc>
          <w:tcPr>
            <w:tcW w:w="1556" w:type="dxa"/>
            <w:tcBorders>
              <w:top w:val="nil"/>
              <w:left w:val="nil"/>
              <w:bottom w:val="single" w:sz="8" w:space="0" w:color="FFFFFF"/>
              <w:right w:val="single" w:sz="8" w:space="0" w:color="FFFFFF"/>
            </w:tcBorders>
            <w:shd w:val="clear" w:color="000000" w:fill="D0CECE"/>
            <w:vAlign w:val="center"/>
            <w:hideMark/>
          </w:tcPr>
          <w:p w14:paraId="7E1516C6"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107</w:t>
            </w:r>
          </w:p>
        </w:tc>
      </w:tr>
      <w:tr w:rsidR="008E7CB5" w:rsidRPr="008E7CB5" w14:paraId="6C5C57D3" w14:textId="77777777" w:rsidTr="008E7CB5">
        <w:trPr>
          <w:trHeight w:val="290"/>
        </w:trPr>
        <w:tc>
          <w:tcPr>
            <w:tcW w:w="3108" w:type="dxa"/>
            <w:tcBorders>
              <w:top w:val="nil"/>
              <w:left w:val="single" w:sz="8" w:space="0" w:color="FFFFFF"/>
              <w:bottom w:val="single" w:sz="8" w:space="0" w:color="FFFFFF"/>
              <w:right w:val="single" w:sz="8" w:space="0" w:color="FFFFFF"/>
            </w:tcBorders>
            <w:shd w:val="clear" w:color="000000" w:fill="008C9B"/>
            <w:vAlign w:val="bottom"/>
            <w:hideMark/>
          </w:tcPr>
          <w:p w14:paraId="4A84B067" w14:textId="77777777" w:rsidR="008E7CB5" w:rsidRPr="008E7CB5" w:rsidRDefault="008E7CB5" w:rsidP="008E7CB5">
            <w:pPr>
              <w:spacing w:after="0"/>
              <w:rPr>
                <w:rFonts w:ascii="Calibri" w:eastAsia="Times New Roman" w:hAnsi="Calibri"/>
                <w:color w:val="FFFFFF"/>
                <w:sz w:val="20"/>
                <w:lang w:eastAsia="en-GB"/>
              </w:rPr>
            </w:pPr>
            <w:r w:rsidRPr="008E7CB5">
              <w:rPr>
                <w:rFonts w:ascii="Calibri" w:eastAsia="Times New Roman" w:hAnsi="Calibri"/>
                <w:color w:val="FFFFFF"/>
                <w:sz w:val="20"/>
                <w:lang w:eastAsia="en-GB"/>
              </w:rPr>
              <w:t>Ports</w:t>
            </w:r>
          </w:p>
        </w:tc>
        <w:tc>
          <w:tcPr>
            <w:tcW w:w="1514" w:type="dxa"/>
            <w:tcBorders>
              <w:top w:val="nil"/>
              <w:left w:val="nil"/>
              <w:bottom w:val="single" w:sz="8" w:space="0" w:color="FFFFFF"/>
              <w:right w:val="single" w:sz="8" w:space="0" w:color="FFFFFF"/>
            </w:tcBorders>
            <w:shd w:val="clear" w:color="000000" w:fill="E7EEEF"/>
            <w:vAlign w:val="center"/>
            <w:hideMark/>
          </w:tcPr>
          <w:p w14:paraId="5F70441F"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3</w:t>
            </w:r>
          </w:p>
        </w:tc>
        <w:tc>
          <w:tcPr>
            <w:tcW w:w="1555" w:type="dxa"/>
            <w:tcBorders>
              <w:top w:val="nil"/>
              <w:left w:val="nil"/>
              <w:bottom w:val="single" w:sz="8" w:space="0" w:color="FFFFFF"/>
              <w:right w:val="single" w:sz="8" w:space="0" w:color="FFFFFF"/>
            </w:tcBorders>
            <w:shd w:val="clear" w:color="000000" w:fill="E7EEEF"/>
            <w:vAlign w:val="center"/>
            <w:hideMark/>
          </w:tcPr>
          <w:p w14:paraId="70F237E5"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3</w:t>
            </w:r>
          </w:p>
        </w:tc>
        <w:tc>
          <w:tcPr>
            <w:tcW w:w="1555" w:type="dxa"/>
            <w:tcBorders>
              <w:top w:val="nil"/>
              <w:left w:val="nil"/>
              <w:bottom w:val="single" w:sz="8" w:space="0" w:color="FFFFFF"/>
              <w:right w:val="single" w:sz="8" w:space="0" w:color="FFFFFF"/>
            </w:tcBorders>
            <w:shd w:val="clear" w:color="000000" w:fill="E7EEEF"/>
            <w:vAlign w:val="center"/>
            <w:hideMark/>
          </w:tcPr>
          <w:p w14:paraId="175735D8"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2</w:t>
            </w:r>
          </w:p>
        </w:tc>
        <w:tc>
          <w:tcPr>
            <w:tcW w:w="1556" w:type="dxa"/>
            <w:tcBorders>
              <w:top w:val="nil"/>
              <w:left w:val="nil"/>
              <w:bottom w:val="single" w:sz="8" w:space="0" w:color="FFFFFF"/>
              <w:right w:val="single" w:sz="8" w:space="0" w:color="FFFFFF"/>
            </w:tcBorders>
            <w:shd w:val="clear" w:color="000000" w:fill="E7EEEF"/>
            <w:vAlign w:val="center"/>
            <w:hideMark/>
          </w:tcPr>
          <w:p w14:paraId="07B95772"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8</w:t>
            </w:r>
          </w:p>
        </w:tc>
      </w:tr>
      <w:tr w:rsidR="008E7CB5" w:rsidRPr="008E7CB5" w14:paraId="060A0804" w14:textId="77777777" w:rsidTr="008E7CB5">
        <w:trPr>
          <w:trHeight w:val="290"/>
        </w:trPr>
        <w:tc>
          <w:tcPr>
            <w:tcW w:w="3108" w:type="dxa"/>
            <w:tcBorders>
              <w:top w:val="nil"/>
              <w:left w:val="single" w:sz="8" w:space="0" w:color="FFFFFF"/>
              <w:bottom w:val="single" w:sz="8" w:space="0" w:color="FFFFFF"/>
              <w:right w:val="single" w:sz="8" w:space="0" w:color="FFFFFF"/>
            </w:tcBorders>
            <w:shd w:val="clear" w:color="000000" w:fill="008C9B"/>
            <w:vAlign w:val="bottom"/>
            <w:hideMark/>
          </w:tcPr>
          <w:p w14:paraId="2DA22853" w14:textId="77777777" w:rsidR="008E7CB5" w:rsidRPr="008E7CB5" w:rsidRDefault="008E7CB5" w:rsidP="008E7CB5">
            <w:pPr>
              <w:spacing w:after="0"/>
              <w:rPr>
                <w:rFonts w:ascii="Calibri" w:eastAsia="Times New Roman" w:hAnsi="Calibri"/>
                <w:color w:val="FFFFFF"/>
                <w:sz w:val="20"/>
                <w:lang w:eastAsia="en-GB"/>
              </w:rPr>
            </w:pPr>
            <w:r w:rsidRPr="008E7CB5">
              <w:rPr>
                <w:rFonts w:ascii="Calibri" w:eastAsia="Times New Roman" w:hAnsi="Calibri"/>
                <w:color w:val="FFFFFF"/>
                <w:sz w:val="20"/>
                <w:lang w:eastAsia="en-GB"/>
              </w:rPr>
              <w:t>Leisure Marine</w:t>
            </w:r>
          </w:p>
        </w:tc>
        <w:tc>
          <w:tcPr>
            <w:tcW w:w="1514" w:type="dxa"/>
            <w:tcBorders>
              <w:top w:val="nil"/>
              <w:left w:val="nil"/>
              <w:bottom w:val="single" w:sz="8" w:space="0" w:color="FFFFFF"/>
              <w:right w:val="single" w:sz="8" w:space="0" w:color="FFFFFF"/>
            </w:tcBorders>
            <w:shd w:val="clear" w:color="000000" w:fill="D0CECE"/>
            <w:vAlign w:val="center"/>
            <w:hideMark/>
          </w:tcPr>
          <w:p w14:paraId="40F1B691" w14:textId="77777777" w:rsidR="008E7CB5" w:rsidRPr="008E7CB5" w:rsidRDefault="008E7CB5" w:rsidP="008E7CB5">
            <w:pPr>
              <w:spacing w:after="0"/>
              <w:jc w:val="center"/>
              <w:rPr>
                <w:rFonts w:ascii="Calibri" w:eastAsia="Times New Roman" w:hAnsi="Calibri"/>
                <w:b/>
                <w:bCs/>
                <w:color w:val="000000"/>
                <w:sz w:val="20"/>
                <w:lang w:eastAsia="en-GB"/>
              </w:rPr>
            </w:pPr>
            <w:r w:rsidRPr="008E7CB5">
              <w:rPr>
                <w:rFonts w:ascii="Calibri" w:eastAsia="Times New Roman" w:hAnsi="Calibri"/>
                <w:b/>
                <w:bCs/>
                <w:color w:val="000000"/>
                <w:sz w:val="20"/>
                <w:lang w:eastAsia="en-GB"/>
              </w:rPr>
              <w:t>5</w:t>
            </w:r>
          </w:p>
        </w:tc>
        <w:tc>
          <w:tcPr>
            <w:tcW w:w="1555" w:type="dxa"/>
            <w:tcBorders>
              <w:top w:val="nil"/>
              <w:left w:val="nil"/>
              <w:bottom w:val="single" w:sz="8" w:space="0" w:color="FFFFFF"/>
              <w:right w:val="single" w:sz="8" w:space="0" w:color="FFFFFF"/>
            </w:tcBorders>
            <w:shd w:val="clear" w:color="000000" w:fill="D0CECE"/>
            <w:vAlign w:val="center"/>
            <w:hideMark/>
          </w:tcPr>
          <w:p w14:paraId="13F5BE48"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4</w:t>
            </w:r>
          </w:p>
        </w:tc>
        <w:tc>
          <w:tcPr>
            <w:tcW w:w="1555" w:type="dxa"/>
            <w:tcBorders>
              <w:top w:val="nil"/>
              <w:left w:val="nil"/>
              <w:bottom w:val="single" w:sz="8" w:space="0" w:color="FFFFFF"/>
              <w:right w:val="single" w:sz="8" w:space="0" w:color="FFFFFF"/>
            </w:tcBorders>
            <w:shd w:val="clear" w:color="000000" w:fill="D0CECE"/>
            <w:vAlign w:val="center"/>
            <w:hideMark/>
          </w:tcPr>
          <w:p w14:paraId="55918F52" w14:textId="77777777" w:rsidR="008E7CB5" w:rsidRPr="008E7CB5" w:rsidRDefault="008E7CB5" w:rsidP="008E7CB5">
            <w:pPr>
              <w:spacing w:after="0"/>
              <w:jc w:val="center"/>
              <w:rPr>
                <w:rFonts w:ascii="Calibri" w:eastAsia="Times New Roman" w:hAnsi="Calibri"/>
                <w:b/>
                <w:bCs/>
                <w:color w:val="000000"/>
                <w:sz w:val="20"/>
                <w:lang w:eastAsia="en-GB"/>
              </w:rPr>
            </w:pPr>
            <w:r w:rsidRPr="008E7CB5">
              <w:rPr>
                <w:rFonts w:ascii="Calibri" w:eastAsia="Times New Roman" w:hAnsi="Calibri"/>
                <w:b/>
                <w:bCs/>
                <w:color w:val="000000"/>
                <w:sz w:val="20"/>
                <w:lang w:eastAsia="en-GB"/>
              </w:rPr>
              <w:t>2</w:t>
            </w:r>
          </w:p>
        </w:tc>
        <w:tc>
          <w:tcPr>
            <w:tcW w:w="1556" w:type="dxa"/>
            <w:tcBorders>
              <w:top w:val="nil"/>
              <w:left w:val="nil"/>
              <w:bottom w:val="single" w:sz="8" w:space="0" w:color="FFFFFF"/>
              <w:right w:val="single" w:sz="8" w:space="0" w:color="FFFFFF"/>
            </w:tcBorders>
            <w:shd w:val="clear" w:color="000000" w:fill="D0CECE"/>
            <w:vAlign w:val="center"/>
            <w:hideMark/>
          </w:tcPr>
          <w:p w14:paraId="4C341B59"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12</w:t>
            </w:r>
          </w:p>
        </w:tc>
      </w:tr>
      <w:tr w:rsidR="008E7CB5" w:rsidRPr="008E7CB5" w14:paraId="3F8D45C5" w14:textId="77777777" w:rsidTr="008E7CB5">
        <w:trPr>
          <w:trHeight w:val="290"/>
        </w:trPr>
        <w:tc>
          <w:tcPr>
            <w:tcW w:w="3108" w:type="dxa"/>
            <w:tcBorders>
              <w:top w:val="nil"/>
              <w:left w:val="single" w:sz="8" w:space="0" w:color="FFFFFF"/>
              <w:bottom w:val="single" w:sz="8" w:space="0" w:color="FFFFFF"/>
              <w:right w:val="single" w:sz="8" w:space="0" w:color="FFFFFF"/>
            </w:tcBorders>
            <w:shd w:val="clear" w:color="000000" w:fill="008C9B"/>
            <w:vAlign w:val="bottom"/>
            <w:hideMark/>
          </w:tcPr>
          <w:p w14:paraId="49E23D65" w14:textId="77777777" w:rsidR="008E7CB5" w:rsidRPr="008E7CB5" w:rsidRDefault="008E7CB5" w:rsidP="008E7CB5">
            <w:pPr>
              <w:spacing w:after="0"/>
              <w:rPr>
                <w:rFonts w:ascii="Calibri" w:eastAsia="Times New Roman" w:hAnsi="Calibri"/>
                <w:color w:val="FFFFFF"/>
                <w:sz w:val="20"/>
                <w:lang w:eastAsia="en-GB"/>
              </w:rPr>
            </w:pPr>
            <w:r w:rsidRPr="008E7CB5">
              <w:rPr>
                <w:rFonts w:ascii="Calibri" w:eastAsia="Times New Roman" w:hAnsi="Calibri"/>
                <w:color w:val="FFFFFF"/>
                <w:sz w:val="20"/>
                <w:lang w:eastAsia="en-GB"/>
              </w:rPr>
              <w:t>Marine Engineering</w:t>
            </w:r>
          </w:p>
        </w:tc>
        <w:tc>
          <w:tcPr>
            <w:tcW w:w="1514" w:type="dxa"/>
            <w:tcBorders>
              <w:top w:val="nil"/>
              <w:left w:val="nil"/>
              <w:bottom w:val="single" w:sz="8" w:space="0" w:color="FFFFFF"/>
              <w:right w:val="single" w:sz="8" w:space="0" w:color="FFFFFF"/>
            </w:tcBorders>
            <w:shd w:val="clear" w:color="000000" w:fill="E7EEEF"/>
            <w:vAlign w:val="center"/>
            <w:hideMark/>
          </w:tcPr>
          <w:p w14:paraId="075A3186"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1</w:t>
            </w:r>
          </w:p>
        </w:tc>
        <w:tc>
          <w:tcPr>
            <w:tcW w:w="1555" w:type="dxa"/>
            <w:tcBorders>
              <w:top w:val="nil"/>
              <w:left w:val="nil"/>
              <w:bottom w:val="single" w:sz="8" w:space="0" w:color="FFFFFF"/>
              <w:right w:val="single" w:sz="8" w:space="0" w:color="FFFFFF"/>
            </w:tcBorders>
            <w:shd w:val="clear" w:color="000000" w:fill="E7EEEF"/>
            <w:vAlign w:val="center"/>
            <w:hideMark/>
          </w:tcPr>
          <w:p w14:paraId="2A2A8F63"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1</w:t>
            </w:r>
          </w:p>
        </w:tc>
        <w:tc>
          <w:tcPr>
            <w:tcW w:w="1555" w:type="dxa"/>
            <w:tcBorders>
              <w:top w:val="nil"/>
              <w:left w:val="nil"/>
              <w:bottom w:val="single" w:sz="8" w:space="0" w:color="FFFFFF"/>
              <w:right w:val="single" w:sz="8" w:space="0" w:color="FFFFFF"/>
            </w:tcBorders>
            <w:shd w:val="clear" w:color="000000" w:fill="E7EEEF"/>
            <w:vAlign w:val="center"/>
            <w:hideMark/>
          </w:tcPr>
          <w:p w14:paraId="3DCB9B29"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0</w:t>
            </w:r>
          </w:p>
        </w:tc>
        <w:tc>
          <w:tcPr>
            <w:tcW w:w="1556" w:type="dxa"/>
            <w:tcBorders>
              <w:top w:val="nil"/>
              <w:left w:val="nil"/>
              <w:bottom w:val="single" w:sz="8" w:space="0" w:color="FFFFFF"/>
              <w:right w:val="single" w:sz="8" w:space="0" w:color="FFFFFF"/>
            </w:tcBorders>
            <w:shd w:val="clear" w:color="000000" w:fill="E7EEEF"/>
            <w:vAlign w:val="center"/>
            <w:hideMark/>
          </w:tcPr>
          <w:p w14:paraId="470C57B3"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2</w:t>
            </w:r>
          </w:p>
        </w:tc>
      </w:tr>
      <w:tr w:rsidR="008E7CB5" w:rsidRPr="008E7CB5" w14:paraId="73146899" w14:textId="77777777" w:rsidTr="008E7CB5">
        <w:trPr>
          <w:trHeight w:val="290"/>
        </w:trPr>
        <w:tc>
          <w:tcPr>
            <w:tcW w:w="3108" w:type="dxa"/>
            <w:tcBorders>
              <w:top w:val="nil"/>
              <w:left w:val="single" w:sz="8" w:space="0" w:color="FFFFFF"/>
              <w:bottom w:val="single" w:sz="8" w:space="0" w:color="FFFFFF"/>
              <w:right w:val="single" w:sz="8" w:space="0" w:color="FFFFFF"/>
            </w:tcBorders>
            <w:shd w:val="clear" w:color="000000" w:fill="008C9B"/>
            <w:vAlign w:val="bottom"/>
            <w:hideMark/>
          </w:tcPr>
          <w:p w14:paraId="29BA64F1" w14:textId="77777777" w:rsidR="008E7CB5" w:rsidRPr="008E7CB5" w:rsidRDefault="008E7CB5" w:rsidP="008E7CB5">
            <w:pPr>
              <w:spacing w:after="0"/>
              <w:rPr>
                <w:rFonts w:ascii="Calibri" w:eastAsia="Times New Roman" w:hAnsi="Calibri"/>
                <w:color w:val="FFFFFF"/>
                <w:sz w:val="20"/>
                <w:lang w:eastAsia="en-GB"/>
              </w:rPr>
            </w:pPr>
            <w:r w:rsidRPr="008E7CB5">
              <w:rPr>
                <w:rFonts w:ascii="Calibri" w:eastAsia="Times New Roman" w:hAnsi="Calibri"/>
                <w:color w:val="FFFFFF"/>
                <w:sz w:val="20"/>
                <w:lang w:eastAsia="en-GB"/>
              </w:rPr>
              <w:t>Maritime Business Services</w:t>
            </w:r>
          </w:p>
        </w:tc>
        <w:tc>
          <w:tcPr>
            <w:tcW w:w="1514" w:type="dxa"/>
            <w:tcBorders>
              <w:top w:val="nil"/>
              <w:left w:val="nil"/>
              <w:bottom w:val="single" w:sz="8" w:space="0" w:color="FFFFFF"/>
              <w:right w:val="single" w:sz="8" w:space="0" w:color="FFFFFF"/>
            </w:tcBorders>
            <w:shd w:val="clear" w:color="000000" w:fill="D0CECE"/>
            <w:vAlign w:val="center"/>
            <w:hideMark/>
          </w:tcPr>
          <w:p w14:paraId="6EBF4B3D"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1</w:t>
            </w:r>
          </w:p>
        </w:tc>
        <w:tc>
          <w:tcPr>
            <w:tcW w:w="1555" w:type="dxa"/>
            <w:tcBorders>
              <w:top w:val="nil"/>
              <w:left w:val="nil"/>
              <w:bottom w:val="single" w:sz="8" w:space="0" w:color="FFFFFF"/>
              <w:right w:val="single" w:sz="8" w:space="0" w:color="FFFFFF"/>
            </w:tcBorders>
            <w:shd w:val="clear" w:color="000000" w:fill="D0CECE"/>
            <w:vAlign w:val="center"/>
            <w:hideMark/>
          </w:tcPr>
          <w:p w14:paraId="3BB64D42"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1</w:t>
            </w:r>
          </w:p>
        </w:tc>
        <w:tc>
          <w:tcPr>
            <w:tcW w:w="1555" w:type="dxa"/>
            <w:tcBorders>
              <w:top w:val="nil"/>
              <w:left w:val="nil"/>
              <w:bottom w:val="single" w:sz="8" w:space="0" w:color="FFFFFF"/>
              <w:right w:val="single" w:sz="8" w:space="0" w:color="FFFFFF"/>
            </w:tcBorders>
            <w:shd w:val="clear" w:color="000000" w:fill="D0CECE"/>
            <w:vAlign w:val="center"/>
            <w:hideMark/>
          </w:tcPr>
          <w:p w14:paraId="5BBEBE9B"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0</w:t>
            </w:r>
          </w:p>
        </w:tc>
        <w:tc>
          <w:tcPr>
            <w:tcW w:w="1556" w:type="dxa"/>
            <w:tcBorders>
              <w:top w:val="nil"/>
              <w:left w:val="nil"/>
              <w:bottom w:val="single" w:sz="8" w:space="0" w:color="FFFFFF"/>
              <w:right w:val="single" w:sz="8" w:space="0" w:color="FFFFFF"/>
            </w:tcBorders>
            <w:shd w:val="clear" w:color="000000" w:fill="D0CECE"/>
            <w:vAlign w:val="center"/>
            <w:hideMark/>
          </w:tcPr>
          <w:p w14:paraId="3FA33426"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2</w:t>
            </w:r>
          </w:p>
        </w:tc>
      </w:tr>
      <w:tr w:rsidR="008E7CB5" w:rsidRPr="008E7CB5" w14:paraId="51EEC10B" w14:textId="77777777" w:rsidTr="008E7CB5">
        <w:trPr>
          <w:trHeight w:val="290"/>
        </w:trPr>
        <w:tc>
          <w:tcPr>
            <w:tcW w:w="3108" w:type="dxa"/>
            <w:tcBorders>
              <w:top w:val="nil"/>
              <w:left w:val="single" w:sz="8" w:space="0" w:color="FFFFFF"/>
              <w:bottom w:val="single" w:sz="8" w:space="0" w:color="FFFFFF"/>
              <w:right w:val="single" w:sz="8" w:space="0" w:color="FFFFFF"/>
            </w:tcBorders>
            <w:shd w:val="clear" w:color="000000" w:fill="008C9B"/>
            <w:vAlign w:val="bottom"/>
            <w:hideMark/>
          </w:tcPr>
          <w:p w14:paraId="70FDAAC4" w14:textId="77777777" w:rsidR="008E7CB5" w:rsidRPr="008E7CB5" w:rsidRDefault="008E7CB5" w:rsidP="008E7CB5">
            <w:pPr>
              <w:spacing w:after="0"/>
              <w:rPr>
                <w:rFonts w:ascii="Calibri" w:eastAsia="Times New Roman" w:hAnsi="Calibri"/>
                <w:color w:val="FFFFFF"/>
                <w:sz w:val="20"/>
                <w:lang w:eastAsia="en-GB"/>
              </w:rPr>
            </w:pPr>
            <w:r w:rsidRPr="008E7CB5">
              <w:rPr>
                <w:rFonts w:ascii="Calibri" w:eastAsia="Times New Roman" w:hAnsi="Calibri"/>
                <w:color w:val="FFFFFF"/>
                <w:sz w:val="20"/>
                <w:lang w:eastAsia="en-GB"/>
              </w:rPr>
              <w:t>Portsmouth Naval Base</w:t>
            </w:r>
          </w:p>
        </w:tc>
        <w:tc>
          <w:tcPr>
            <w:tcW w:w="1514" w:type="dxa"/>
            <w:tcBorders>
              <w:top w:val="nil"/>
              <w:left w:val="nil"/>
              <w:bottom w:val="single" w:sz="8" w:space="0" w:color="FFFFFF"/>
              <w:right w:val="single" w:sz="8" w:space="0" w:color="FFFFFF"/>
            </w:tcBorders>
            <w:shd w:val="clear" w:color="000000" w:fill="E7EEEF"/>
            <w:vAlign w:val="center"/>
            <w:hideMark/>
          </w:tcPr>
          <w:p w14:paraId="4E8D24B4"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9</w:t>
            </w:r>
          </w:p>
        </w:tc>
        <w:tc>
          <w:tcPr>
            <w:tcW w:w="1555" w:type="dxa"/>
            <w:tcBorders>
              <w:top w:val="nil"/>
              <w:left w:val="nil"/>
              <w:bottom w:val="single" w:sz="8" w:space="0" w:color="FFFFFF"/>
              <w:right w:val="single" w:sz="8" w:space="0" w:color="FFFFFF"/>
            </w:tcBorders>
            <w:shd w:val="clear" w:color="000000" w:fill="E7EEEF"/>
            <w:vAlign w:val="center"/>
            <w:hideMark/>
          </w:tcPr>
          <w:p w14:paraId="17C5DED7"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8</w:t>
            </w:r>
          </w:p>
        </w:tc>
        <w:tc>
          <w:tcPr>
            <w:tcW w:w="1555" w:type="dxa"/>
            <w:tcBorders>
              <w:top w:val="nil"/>
              <w:left w:val="nil"/>
              <w:bottom w:val="single" w:sz="8" w:space="0" w:color="FFFFFF"/>
              <w:right w:val="single" w:sz="8" w:space="0" w:color="FFFFFF"/>
            </w:tcBorders>
            <w:shd w:val="clear" w:color="000000" w:fill="E7EEEF"/>
            <w:vAlign w:val="center"/>
            <w:hideMark/>
          </w:tcPr>
          <w:p w14:paraId="1D02A298"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4</w:t>
            </w:r>
          </w:p>
        </w:tc>
        <w:tc>
          <w:tcPr>
            <w:tcW w:w="1556" w:type="dxa"/>
            <w:tcBorders>
              <w:top w:val="nil"/>
              <w:left w:val="nil"/>
              <w:bottom w:val="single" w:sz="8" w:space="0" w:color="FFFFFF"/>
              <w:right w:val="single" w:sz="8" w:space="0" w:color="FFFFFF"/>
            </w:tcBorders>
            <w:shd w:val="clear" w:color="000000" w:fill="E7EEEF"/>
            <w:vAlign w:val="center"/>
            <w:hideMark/>
          </w:tcPr>
          <w:p w14:paraId="09245573" w14:textId="77777777" w:rsidR="008E7CB5" w:rsidRPr="008E7CB5" w:rsidRDefault="008E7CB5" w:rsidP="008E7CB5">
            <w:pPr>
              <w:spacing w:after="0"/>
              <w:jc w:val="center"/>
              <w:rPr>
                <w:rFonts w:ascii="Calibri" w:eastAsia="Times New Roman" w:hAnsi="Calibri"/>
                <w:color w:val="000000"/>
                <w:sz w:val="20"/>
                <w:lang w:eastAsia="en-GB"/>
              </w:rPr>
            </w:pPr>
            <w:r w:rsidRPr="008E7CB5">
              <w:rPr>
                <w:rFonts w:ascii="Calibri" w:eastAsia="Times New Roman" w:hAnsi="Calibri"/>
                <w:color w:val="000000"/>
                <w:sz w:val="20"/>
                <w:lang w:eastAsia="en-GB"/>
              </w:rPr>
              <w:t>21</w:t>
            </w:r>
          </w:p>
        </w:tc>
      </w:tr>
    </w:tbl>
    <w:p w14:paraId="2D8AE7D8" w14:textId="4586CF42" w:rsidR="003F6121" w:rsidRPr="00B86153" w:rsidRDefault="008E1B04" w:rsidP="008E1B04">
      <w:pPr>
        <w:spacing w:before="60" w:after="120"/>
        <w:ind w:left="6480"/>
        <w:rPr>
          <w:i/>
        </w:rPr>
      </w:pPr>
      <w:r>
        <w:t xml:space="preserve">         </w:t>
      </w:r>
      <w:r w:rsidR="003F6121" w:rsidRPr="00095712">
        <w:rPr>
          <w:rStyle w:val="SubtleEmphasis"/>
          <w:sz w:val="18"/>
        </w:rPr>
        <w:t>Source: ONS, FAME, Cebr analysis</w:t>
      </w:r>
    </w:p>
    <w:p w14:paraId="1A7898B9" w14:textId="3BB14260" w:rsidR="00AB5D9A" w:rsidRDefault="00F075F8" w:rsidP="00F075F8">
      <w:r>
        <w:fldChar w:fldCharType="begin"/>
      </w:r>
      <w:r>
        <w:instrText xml:space="preserve"> REF _Ref499907762 \h </w:instrText>
      </w:r>
      <w:r>
        <w:fldChar w:fldCharType="separate"/>
      </w:r>
      <w:r w:rsidR="00D17FEA">
        <w:t xml:space="preserve">Table </w:t>
      </w:r>
      <w:r w:rsidR="00D17FEA">
        <w:rPr>
          <w:noProof/>
        </w:rPr>
        <w:t>20</w:t>
      </w:r>
      <w:r>
        <w:fldChar w:fldCharType="end"/>
      </w:r>
      <w:r>
        <w:t xml:space="preserve"> </w:t>
      </w:r>
      <w:r w:rsidR="00222C22">
        <w:t>overleaf shows</w:t>
      </w:r>
      <w:r w:rsidR="00FB5E34">
        <w:t xml:space="preserve"> how</w:t>
      </w:r>
      <w:r w:rsidR="00222C22">
        <w:t xml:space="preserve"> the total employment impact </w:t>
      </w:r>
      <w:r w:rsidR="009C51F5">
        <w:t xml:space="preserve">of the industries and Portsmouth Naval Base </w:t>
      </w:r>
      <w:r w:rsidR="00222C22">
        <w:t xml:space="preserve">is estimated to have evolved since 2010. </w:t>
      </w:r>
      <w:r w:rsidR="004F273C" w:rsidRPr="00A74D2A">
        <w:t>T</w:t>
      </w:r>
      <w:r w:rsidR="00E2625F" w:rsidRPr="00A74D2A">
        <w:t xml:space="preserve">he direct impact through employment </w:t>
      </w:r>
      <w:r w:rsidR="004F273C" w:rsidRPr="00A74D2A">
        <w:t>increased</w:t>
      </w:r>
      <w:r w:rsidR="00E2625F" w:rsidRPr="00A74D2A">
        <w:t xml:space="preserve"> from around </w:t>
      </w:r>
      <w:r w:rsidR="004F273C" w:rsidRPr="00A74D2A">
        <w:t>25</w:t>
      </w:r>
      <w:r w:rsidR="00CB1297" w:rsidRPr="00A74D2A">
        <w:t>,</w:t>
      </w:r>
      <w:r w:rsidR="004F273C" w:rsidRPr="00A74D2A">
        <w:t>900</w:t>
      </w:r>
      <w:r w:rsidR="00507A02" w:rsidRPr="00A74D2A">
        <w:t xml:space="preserve"> </w:t>
      </w:r>
      <w:r w:rsidR="00E2625F" w:rsidRPr="00A74D2A">
        <w:t xml:space="preserve">jobs to </w:t>
      </w:r>
      <w:r w:rsidR="004F273C" w:rsidRPr="00A74D2A">
        <w:t>28</w:t>
      </w:r>
      <w:r w:rsidR="00507A02" w:rsidRPr="00A74D2A">
        <w:t>,</w:t>
      </w:r>
      <w:r w:rsidR="004F273C" w:rsidRPr="00A74D2A">
        <w:t>800</w:t>
      </w:r>
      <w:r w:rsidR="00D10A15" w:rsidRPr="00A74D2A">
        <w:t xml:space="preserve"> </w:t>
      </w:r>
      <w:r w:rsidR="00E2625F" w:rsidRPr="00A74D2A">
        <w:t>jobs between 2010 and 201</w:t>
      </w:r>
      <w:r w:rsidR="004F273C" w:rsidRPr="00A74D2A">
        <w:t xml:space="preserve">7. </w:t>
      </w:r>
      <w:r w:rsidR="00AA384D">
        <w:t>The total footprint of</w:t>
      </w:r>
      <w:r w:rsidR="00E2625F" w:rsidRPr="00A74D2A">
        <w:t xml:space="preserve"> employment in the Solent LEP </w:t>
      </w:r>
      <w:r w:rsidR="004F273C" w:rsidRPr="00A74D2A">
        <w:t>increased</w:t>
      </w:r>
      <w:r w:rsidR="00FB5E34" w:rsidRPr="00A74D2A">
        <w:t xml:space="preserve"> from </w:t>
      </w:r>
      <w:r w:rsidR="00D10A15" w:rsidRPr="00A74D2A">
        <w:t>13</w:t>
      </w:r>
      <w:r w:rsidR="004F273C" w:rsidRPr="00A74D2A">
        <w:t>6</w:t>
      </w:r>
      <w:r w:rsidR="00CB1297" w:rsidRPr="00A74D2A">
        <w:t>,</w:t>
      </w:r>
      <w:r w:rsidR="004F273C" w:rsidRPr="00A74D2A">
        <w:t>600</w:t>
      </w:r>
      <w:r w:rsidR="00D10A15" w:rsidRPr="00A74D2A">
        <w:t xml:space="preserve"> </w:t>
      </w:r>
      <w:r w:rsidR="00FB5E34" w:rsidRPr="00A74D2A">
        <w:t>jobs</w:t>
      </w:r>
      <w:r w:rsidR="00E2625F" w:rsidRPr="00A74D2A">
        <w:t xml:space="preserve"> </w:t>
      </w:r>
      <w:r w:rsidR="00E9295F" w:rsidRPr="00A74D2A">
        <w:t xml:space="preserve">in 2010 </w:t>
      </w:r>
      <w:r w:rsidR="00E2625F" w:rsidRPr="00A74D2A">
        <w:t xml:space="preserve">to </w:t>
      </w:r>
      <w:r w:rsidR="00D10A15" w:rsidRPr="00A74D2A">
        <w:t>1</w:t>
      </w:r>
      <w:r w:rsidR="004F273C" w:rsidRPr="00A74D2A">
        <w:t>51</w:t>
      </w:r>
      <w:r w:rsidR="00CB1297" w:rsidRPr="00A74D2A">
        <w:t>,</w:t>
      </w:r>
      <w:r w:rsidR="004F273C" w:rsidRPr="00A74D2A">
        <w:t>9</w:t>
      </w:r>
      <w:r w:rsidR="00D10A15" w:rsidRPr="00A74D2A">
        <w:t xml:space="preserve">00 </w:t>
      </w:r>
      <w:r w:rsidR="00E2625F" w:rsidRPr="00A74D2A">
        <w:t>jobs</w:t>
      </w:r>
      <w:r w:rsidR="00E9295F" w:rsidRPr="00A74D2A">
        <w:t xml:space="preserve"> in 20</w:t>
      </w:r>
      <w:r w:rsidR="004F273C" w:rsidRPr="00A74D2A">
        <w:t>17</w:t>
      </w:r>
      <w:r w:rsidR="00E2625F" w:rsidRPr="00A74D2A">
        <w:t>.</w:t>
      </w:r>
      <w:r w:rsidR="00E2625F">
        <w:t xml:space="preserve"> </w:t>
      </w:r>
    </w:p>
    <w:p w14:paraId="551D85A7" w14:textId="5C3D1CDD" w:rsidR="00F075F8" w:rsidRDefault="00F075F8" w:rsidP="00F075F8">
      <w:pPr>
        <w:pStyle w:val="Caption"/>
        <w:keepNext/>
      </w:pPr>
      <w:bookmarkStart w:id="120" w:name="_Ref499907762"/>
      <w:r>
        <w:t xml:space="preserve">Table </w:t>
      </w:r>
      <w:r w:rsidR="00F604FD">
        <w:rPr>
          <w:noProof/>
        </w:rPr>
        <w:fldChar w:fldCharType="begin"/>
      </w:r>
      <w:r w:rsidR="00F604FD">
        <w:rPr>
          <w:noProof/>
        </w:rPr>
        <w:instrText xml:space="preserve"> SEQ Table \* ARABIC </w:instrText>
      </w:r>
      <w:r w:rsidR="00F604FD">
        <w:rPr>
          <w:noProof/>
        </w:rPr>
        <w:fldChar w:fldCharType="separate"/>
      </w:r>
      <w:r w:rsidR="00D17FEA">
        <w:rPr>
          <w:noProof/>
        </w:rPr>
        <w:t>20</w:t>
      </w:r>
      <w:r w:rsidR="00F604FD">
        <w:rPr>
          <w:noProof/>
        </w:rPr>
        <w:fldChar w:fldCharType="end"/>
      </w:r>
      <w:bookmarkEnd w:id="120"/>
      <w:r>
        <w:t xml:space="preserve">: </w:t>
      </w:r>
      <w:r w:rsidRPr="00C864B4">
        <w:t>Direct and Total Employment impac</w:t>
      </w:r>
      <w:r w:rsidR="009779FB">
        <w:t>t of the Solent-based Maritime S</w:t>
      </w:r>
      <w:r w:rsidRPr="00C864B4">
        <w:t>ector and Por</w:t>
      </w:r>
      <w:r w:rsidR="009924DA">
        <w:t>tsmouth Naval Base, 2010 to 2017</w:t>
      </w:r>
      <w:r w:rsidRPr="00C864B4">
        <w:t>, thousands of jobs</w:t>
      </w:r>
    </w:p>
    <w:tbl>
      <w:tblPr>
        <w:tblW w:w="5000" w:type="pct"/>
        <w:tblLook w:val="04A0" w:firstRow="1" w:lastRow="0" w:firstColumn="1" w:lastColumn="0" w:noHBand="0" w:noVBand="1"/>
      </w:tblPr>
      <w:tblGrid>
        <w:gridCol w:w="881"/>
        <w:gridCol w:w="2680"/>
        <w:gridCol w:w="3196"/>
        <w:gridCol w:w="2871"/>
      </w:tblGrid>
      <w:tr w:rsidR="002023D7" w:rsidRPr="002023D7" w14:paraId="300F8CF4" w14:textId="77777777" w:rsidTr="002023D7">
        <w:trPr>
          <w:trHeight w:val="525"/>
        </w:trPr>
        <w:tc>
          <w:tcPr>
            <w:tcW w:w="457" w:type="pct"/>
            <w:tcBorders>
              <w:top w:val="single" w:sz="8" w:space="0" w:color="FFFFFF"/>
              <w:left w:val="nil"/>
              <w:bottom w:val="single" w:sz="12" w:space="0" w:color="FFFFFF"/>
              <w:right w:val="single" w:sz="8" w:space="0" w:color="FFFFFF"/>
            </w:tcBorders>
            <w:shd w:val="clear" w:color="000000" w:fill="008C9B"/>
            <w:vAlign w:val="center"/>
            <w:hideMark/>
          </w:tcPr>
          <w:p w14:paraId="02C37C39"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Year</w:t>
            </w:r>
          </w:p>
        </w:tc>
        <w:tc>
          <w:tcPr>
            <w:tcW w:w="1391" w:type="pct"/>
            <w:tcBorders>
              <w:top w:val="single" w:sz="8" w:space="0" w:color="FFFFFF"/>
              <w:left w:val="nil"/>
              <w:bottom w:val="single" w:sz="12" w:space="0" w:color="FFFFFF"/>
              <w:right w:val="single" w:sz="8" w:space="0" w:color="FFFFFF"/>
            </w:tcBorders>
            <w:shd w:val="clear" w:color="000000" w:fill="008C9B"/>
            <w:vAlign w:val="center"/>
            <w:hideMark/>
          </w:tcPr>
          <w:p w14:paraId="20813DAC" w14:textId="77777777" w:rsidR="002023D7" w:rsidRPr="002023D7" w:rsidRDefault="002023D7" w:rsidP="002023D7">
            <w:pPr>
              <w:spacing w:after="0"/>
              <w:jc w:val="center"/>
              <w:rPr>
                <w:rFonts w:ascii="Calibri" w:eastAsia="Times New Roman" w:hAnsi="Calibri"/>
                <w:b/>
                <w:bCs/>
                <w:color w:val="FFFFFF"/>
                <w:sz w:val="20"/>
                <w:lang w:eastAsia="en-GB"/>
              </w:rPr>
            </w:pPr>
            <w:r w:rsidRPr="002023D7">
              <w:rPr>
                <w:rFonts w:ascii="Calibri" w:eastAsia="Times New Roman" w:hAnsi="Calibri"/>
                <w:b/>
                <w:bCs/>
                <w:color w:val="FFFFFF"/>
                <w:sz w:val="20"/>
                <w:lang w:eastAsia="en-GB"/>
              </w:rPr>
              <w:t>Direct Impact (Thousands)</w:t>
            </w:r>
          </w:p>
        </w:tc>
        <w:tc>
          <w:tcPr>
            <w:tcW w:w="1660" w:type="pct"/>
            <w:tcBorders>
              <w:top w:val="single" w:sz="8" w:space="0" w:color="FFFFFF"/>
              <w:left w:val="nil"/>
              <w:bottom w:val="single" w:sz="12" w:space="0" w:color="FFFFFF"/>
              <w:right w:val="single" w:sz="8" w:space="0" w:color="FFFFFF"/>
            </w:tcBorders>
            <w:shd w:val="clear" w:color="000000" w:fill="008C9B"/>
            <w:vAlign w:val="center"/>
            <w:hideMark/>
          </w:tcPr>
          <w:p w14:paraId="1927B459" w14:textId="77777777" w:rsidR="002023D7" w:rsidRPr="002023D7" w:rsidRDefault="002023D7" w:rsidP="002023D7">
            <w:pPr>
              <w:spacing w:after="0"/>
              <w:jc w:val="center"/>
              <w:rPr>
                <w:rFonts w:ascii="Calibri" w:eastAsia="Times New Roman" w:hAnsi="Calibri"/>
                <w:b/>
                <w:bCs/>
                <w:color w:val="FFFFFF"/>
                <w:sz w:val="20"/>
                <w:lang w:eastAsia="en-GB"/>
              </w:rPr>
            </w:pPr>
            <w:r w:rsidRPr="002023D7">
              <w:rPr>
                <w:rFonts w:ascii="Calibri" w:eastAsia="Times New Roman" w:hAnsi="Calibri"/>
                <w:b/>
                <w:bCs/>
                <w:color w:val="FFFFFF"/>
                <w:sz w:val="20"/>
                <w:lang w:eastAsia="en-GB"/>
              </w:rPr>
              <w:t>Composite Employment multiplier</w:t>
            </w:r>
          </w:p>
        </w:tc>
        <w:tc>
          <w:tcPr>
            <w:tcW w:w="1491" w:type="pct"/>
            <w:tcBorders>
              <w:top w:val="single" w:sz="8" w:space="0" w:color="FFFFFF"/>
              <w:left w:val="nil"/>
              <w:bottom w:val="single" w:sz="12" w:space="0" w:color="FFFFFF"/>
              <w:right w:val="single" w:sz="8" w:space="0" w:color="FFFFFF"/>
            </w:tcBorders>
            <w:shd w:val="clear" w:color="000000" w:fill="008C9B"/>
            <w:vAlign w:val="center"/>
            <w:hideMark/>
          </w:tcPr>
          <w:p w14:paraId="233E820A" w14:textId="77777777" w:rsidR="002023D7" w:rsidRPr="002023D7" w:rsidRDefault="002023D7" w:rsidP="002023D7">
            <w:pPr>
              <w:spacing w:after="0"/>
              <w:jc w:val="center"/>
              <w:rPr>
                <w:rFonts w:ascii="Calibri" w:eastAsia="Times New Roman" w:hAnsi="Calibri"/>
                <w:b/>
                <w:bCs/>
                <w:color w:val="FFFFFF"/>
                <w:sz w:val="20"/>
                <w:lang w:eastAsia="en-GB"/>
              </w:rPr>
            </w:pPr>
            <w:r w:rsidRPr="002023D7">
              <w:rPr>
                <w:rFonts w:ascii="Calibri" w:eastAsia="Times New Roman" w:hAnsi="Calibri"/>
                <w:b/>
                <w:bCs/>
                <w:color w:val="FFFFFF"/>
                <w:sz w:val="20"/>
                <w:lang w:eastAsia="en-GB"/>
              </w:rPr>
              <w:t>Aggregate employment impacts</w:t>
            </w:r>
          </w:p>
        </w:tc>
      </w:tr>
      <w:tr w:rsidR="002023D7" w:rsidRPr="002023D7" w14:paraId="26947B09" w14:textId="77777777" w:rsidTr="002023D7">
        <w:trPr>
          <w:trHeight w:val="330"/>
        </w:trPr>
        <w:tc>
          <w:tcPr>
            <w:tcW w:w="457" w:type="pct"/>
            <w:tcBorders>
              <w:top w:val="single" w:sz="8" w:space="0" w:color="FFFFFF"/>
              <w:left w:val="nil"/>
              <w:bottom w:val="single" w:sz="12" w:space="0" w:color="FFFFFF"/>
              <w:right w:val="single" w:sz="8" w:space="0" w:color="FFFFFF"/>
            </w:tcBorders>
            <w:shd w:val="clear" w:color="000000" w:fill="008C9B"/>
            <w:vAlign w:val="center"/>
            <w:hideMark/>
          </w:tcPr>
          <w:p w14:paraId="5F9F45E1"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2010</w:t>
            </w:r>
          </w:p>
        </w:tc>
        <w:tc>
          <w:tcPr>
            <w:tcW w:w="1391" w:type="pct"/>
            <w:tcBorders>
              <w:top w:val="nil"/>
              <w:left w:val="nil"/>
              <w:bottom w:val="single" w:sz="8" w:space="0" w:color="FFFFFF"/>
              <w:right w:val="single" w:sz="8" w:space="0" w:color="FFFFFF"/>
            </w:tcBorders>
            <w:shd w:val="clear" w:color="000000" w:fill="E7EEEF"/>
            <w:vAlign w:val="center"/>
            <w:hideMark/>
          </w:tcPr>
          <w:p w14:paraId="7C48AF63"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25,918</w:t>
            </w:r>
          </w:p>
        </w:tc>
        <w:tc>
          <w:tcPr>
            <w:tcW w:w="1660" w:type="pct"/>
            <w:tcBorders>
              <w:top w:val="nil"/>
              <w:left w:val="nil"/>
              <w:bottom w:val="single" w:sz="8" w:space="0" w:color="FFFFFF"/>
              <w:right w:val="single" w:sz="8" w:space="0" w:color="FFFFFF"/>
            </w:tcBorders>
            <w:shd w:val="clear" w:color="000000" w:fill="E7EEEF"/>
            <w:vAlign w:val="center"/>
            <w:hideMark/>
          </w:tcPr>
          <w:p w14:paraId="0B7D6354"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4.37</w:t>
            </w:r>
          </w:p>
        </w:tc>
        <w:tc>
          <w:tcPr>
            <w:tcW w:w="1491" w:type="pct"/>
            <w:tcBorders>
              <w:top w:val="nil"/>
              <w:left w:val="nil"/>
              <w:bottom w:val="single" w:sz="8" w:space="0" w:color="FFFFFF"/>
              <w:right w:val="single" w:sz="8" w:space="0" w:color="FFFFFF"/>
            </w:tcBorders>
            <w:shd w:val="clear" w:color="000000" w:fill="E7EEEF"/>
            <w:vAlign w:val="center"/>
            <w:hideMark/>
          </w:tcPr>
          <w:p w14:paraId="64583274"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113,373</w:t>
            </w:r>
          </w:p>
        </w:tc>
      </w:tr>
      <w:tr w:rsidR="002023D7" w:rsidRPr="002023D7" w14:paraId="137C2317" w14:textId="77777777" w:rsidTr="002023D7">
        <w:trPr>
          <w:trHeight w:val="315"/>
        </w:trPr>
        <w:tc>
          <w:tcPr>
            <w:tcW w:w="457" w:type="pct"/>
            <w:tcBorders>
              <w:top w:val="single" w:sz="8" w:space="0" w:color="FFFFFF"/>
              <w:left w:val="nil"/>
              <w:bottom w:val="single" w:sz="12" w:space="0" w:color="FFFFFF"/>
              <w:right w:val="single" w:sz="8" w:space="0" w:color="FFFFFF"/>
            </w:tcBorders>
            <w:shd w:val="clear" w:color="000000" w:fill="008C9B"/>
            <w:vAlign w:val="center"/>
            <w:hideMark/>
          </w:tcPr>
          <w:p w14:paraId="2940DB84"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2011</w:t>
            </w:r>
          </w:p>
        </w:tc>
        <w:tc>
          <w:tcPr>
            <w:tcW w:w="1391" w:type="pct"/>
            <w:tcBorders>
              <w:top w:val="nil"/>
              <w:left w:val="nil"/>
              <w:bottom w:val="single" w:sz="8" w:space="0" w:color="FFFFFF"/>
              <w:right w:val="single" w:sz="8" w:space="0" w:color="FFFFFF"/>
            </w:tcBorders>
            <w:shd w:val="clear" w:color="000000" w:fill="D0CECE"/>
            <w:vAlign w:val="center"/>
            <w:hideMark/>
          </w:tcPr>
          <w:p w14:paraId="3832293A"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26,793</w:t>
            </w:r>
          </w:p>
        </w:tc>
        <w:tc>
          <w:tcPr>
            <w:tcW w:w="1660" w:type="pct"/>
            <w:tcBorders>
              <w:top w:val="nil"/>
              <w:left w:val="nil"/>
              <w:bottom w:val="single" w:sz="8" w:space="0" w:color="FFFFFF"/>
              <w:right w:val="single" w:sz="8" w:space="0" w:color="FFFFFF"/>
            </w:tcBorders>
            <w:shd w:val="clear" w:color="000000" w:fill="D0CECE"/>
            <w:vAlign w:val="center"/>
            <w:hideMark/>
          </w:tcPr>
          <w:p w14:paraId="77645A7A"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4.36</w:t>
            </w:r>
          </w:p>
        </w:tc>
        <w:tc>
          <w:tcPr>
            <w:tcW w:w="1491" w:type="pct"/>
            <w:tcBorders>
              <w:top w:val="nil"/>
              <w:left w:val="nil"/>
              <w:bottom w:val="single" w:sz="8" w:space="0" w:color="FFFFFF"/>
              <w:right w:val="single" w:sz="8" w:space="0" w:color="FFFFFF"/>
            </w:tcBorders>
            <w:shd w:val="clear" w:color="000000" w:fill="D0CECE"/>
            <w:vAlign w:val="center"/>
            <w:hideMark/>
          </w:tcPr>
          <w:p w14:paraId="5FEFF44D"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116,847</w:t>
            </w:r>
          </w:p>
        </w:tc>
      </w:tr>
      <w:tr w:rsidR="002023D7" w:rsidRPr="002023D7" w14:paraId="0DB31297" w14:textId="77777777" w:rsidTr="002023D7">
        <w:trPr>
          <w:trHeight w:val="315"/>
        </w:trPr>
        <w:tc>
          <w:tcPr>
            <w:tcW w:w="457" w:type="pct"/>
            <w:tcBorders>
              <w:top w:val="single" w:sz="8" w:space="0" w:color="FFFFFF"/>
              <w:left w:val="nil"/>
              <w:bottom w:val="single" w:sz="12" w:space="0" w:color="FFFFFF"/>
              <w:right w:val="single" w:sz="8" w:space="0" w:color="FFFFFF"/>
            </w:tcBorders>
            <w:shd w:val="clear" w:color="000000" w:fill="008C9B"/>
            <w:vAlign w:val="center"/>
            <w:hideMark/>
          </w:tcPr>
          <w:p w14:paraId="1C5AD92A"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2012</w:t>
            </w:r>
          </w:p>
        </w:tc>
        <w:tc>
          <w:tcPr>
            <w:tcW w:w="1391" w:type="pct"/>
            <w:tcBorders>
              <w:top w:val="nil"/>
              <w:left w:val="nil"/>
              <w:bottom w:val="single" w:sz="8" w:space="0" w:color="FFFFFF"/>
              <w:right w:val="single" w:sz="8" w:space="0" w:color="FFFFFF"/>
            </w:tcBorders>
            <w:shd w:val="clear" w:color="000000" w:fill="E7EEEF"/>
            <w:vAlign w:val="center"/>
            <w:hideMark/>
          </w:tcPr>
          <w:p w14:paraId="6449CF63"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26,559</w:t>
            </w:r>
          </w:p>
        </w:tc>
        <w:tc>
          <w:tcPr>
            <w:tcW w:w="1660" w:type="pct"/>
            <w:tcBorders>
              <w:top w:val="nil"/>
              <w:left w:val="nil"/>
              <w:bottom w:val="single" w:sz="8" w:space="0" w:color="FFFFFF"/>
              <w:right w:val="single" w:sz="8" w:space="0" w:color="FFFFFF"/>
            </w:tcBorders>
            <w:shd w:val="clear" w:color="000000" w:fill="E7EEEF"/>
            <w:vAlign w:val="center"/>
            <w:hideMark/>
          </w:tcPr>
          <w:p w14:paraId="7EA5EC77"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4.51</w:t>
            </w:r>
          </w:p>
        </w:tc>
        <w:tc>
          <w:tcPr>
            <w:tcW w:w="1491" w:type="pct"/>
            <w:tcBorders>
              <w:top w:val="nil"/>
              <w:left w:val="nil"/>
              <w:bottom w:val="single" w:sz="8" w:space="0" w:color="FFFFFF"/>
              <w:right w:val="single" w:sz="8" w:space="0" w:color="FFFFFF"/>
            </w:tcBorders>
            <w:shd w:val="clear" w:color="000000" w:fill="E7EEEF"/>
            <w:vAlign w:val="center"/>
            <w:hideMark/>
          </w:tcPr>
          <w:p w14:paraId="3E6D99D3"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119,731</w:t>
            </w:r>
          </w:p>
        </w:tc>
      </w:tr>
      <w:tr w:rsidR="002023D7" w:rsidRPr="002023D7" w14:paraId="6ED5C04A" w14:textId="77777777" w:rsidTr="002023D7">
        <w:trPr>
          <w:trHeight w:val="315"/>
        </w:trPr>
        <w:tc>
          <w:tcPr>
            <w:tcW w:w="457" w:type="pct"/>
            <w:tcBorders>
              <w:top w:val="single" w:sz="8" w:space="0" w:color="FFFFFF"/>
              <w:left w:val="nil"/>
              <w:bottom w:val="single" w:sz="12" w:space="0" w:color="FFFFFF"/>
              <w:right w:val="single" w:sz="8" w:space="0" w:color="FFFFFF"/>
            </w:tcBorders>
            <w:shd w:val="clear" w:color="000000" w:fill="008C9B"/>
            <w:vAlign w:val="center"/>
            <w:hideMark/>
          </w:tcPr>
          <w:p w14:paraId="29DCE3A7"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2013</w:t>
            </w:r>
          </w:p>
        </w:tc>
        <w:tc>
          <w:tcPr>
            <w:tcW w:w="1391" w:type="pct"/>
            <w:tcBorders>
              <w:top w:val="nil"/>
              <w:left w:val="nil"/>
              <w:bottom w:val="single" w:sz="8" w:space="0" w:color="FFFFFF"/>
              <w:right w:val="single" w:sz="8" w:space="0" w:color="FFFFFF"/>
            </w:tcBorders>
            <w:shd w:val="clear" w:color="000000" w:fill="D0CECE"/>
            <w:vAlign w:val="center"/>
            <w:hideMark/>
          </w:tcPr>
          <w:p w14:paraId="1A164B5F" w14:textId="77777777" w:rsidR="002023D7" w:rsidRPr="002023D7" w:rsidRDefault="002023D7" w:rsidP="002023D7">
            <w:pPr>
              <w:spacing w:after="0"/>
              <w:jc w:val="center"/>
              <w:rPr>
                <w:rFonts w:ascii="Calibri" w:eastAsia="Times New Roman" w:hAnsi="Calibri"/>
                <w:bCs/>
                <w:color w:val="000000"/>
                <w:sz w:val="20"/>
                <w:lang w:eastAsia="en-GB"/>
              </w:rPr>
            </w:pPr>
            <w:r w:rsidRPr="002023D7">
              <w:rPr>
                <w:rFonts w:ascii="Calibri" w:eastAsia="Times New Roman" w:hAnsi="Calibri"/>
                <w:bCs/>
                <w:color w:val="000000"/>
                <w:sz w:val="20"/>
                <w:lang w:eastAsia="en-GB"/>
              </w:rPr>
              <w:t>25,992</w:t>
            </w:r>
          </w:p>
        </w:tc>
        <w:tc>
          <w:tcPr>
            <w:tcW w:w="1660" w:type="pct"/>
            <w:tcBorders>
              <w:top w:val="nil"/>
              <w:left w:val="nil"/>
              <w:bottom w:val="single" w:sz="8" w:space="0" w:color="FFFFFF"/>
              <w:right w:val="single" w:sz="8" w:space="0" w:color="FFFFFF"/>
            </w:tcBorders>
            <w:shd w:val="clear" w:color="000000" w:fill="D0CECE"/>
            <w:vAlign w:val="center"/>
            <w:hideMark/>
          </w:tcPr>
          <w:p w14:paraId="64563CD9"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4.71</w:t>
            </w:r>
          </w:p>
        </w:tc>
        <w:tc>
          <w:tcPr>
            <w:tcW w:w="1491" w:type="pct"/>
            <w:tcBorders>
              <w:top w:val="nil"/>
              <w:left w:val="nil"/>
              <w:bottom w:val="single" w:sz="8" w:space="0" w:color="FFFFFF"/>
              <w:right w:val="single" w:sz="8" w:space="0" w:color="FFFFFF"/>
            </w:tcBorders>
            <w:shd w:val="clear" w:color="000000" w:fill="D0CECE"/>
            <w:vAlign w:val="center"/>
            <w:hideMark/>
          </w:tcPr>
          <w:p w14:paraId="5B6939A8"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122,475</w:t>
            </w:r>
          </w:p>
        </w:tc>
      </w:tr>
      <w:tr w:rsidR="002023D7" w:rsidRPr="002023D7" w14:paraId="72A26222" w14:textId="77777777" w:rsidTr="002023D7">
        <w:trPr>
          <w:trHeight w:val="315"/>
        </w:trPr>
        <w:tc>
          <w:tcPr>
            <w:tcW w:w="457" w:type="pct"/>
            <w:tcBorders>
              <w:top w:val="single" w:sz="8" w:space="0" w:color="FFFFFF"/>
              <w:left w:val="nil"/>
              <w:bottom w:val="single" w:sz="12" w:space="0" w:color="FFFFFF"/>
              <w:right w:val="single" w:sz="8" w:space="0" w:color="FFFFFF"/>
            </w:tcBorders>
            <w:shd w:val="clear" w:color="000000" w:fill="008C9B"/>
            <w:vAlign w:val="center"/>
            <w:hideMark/>
          </w:tcPr>
          <w:p w14:paraId="193EC40E"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2014</w:t>
            </w:r>
          </w:p>
        </w:tc>
        <w:tc>
          <w:tcPr>
            <w:tcW w:w="1391" w:type="pct"/>
            <w:tcBorders>
              <w:top w:val="nil"/>
              <w:left w:val="nil"/>
              <w:bottom w:val="single" w:sz="8" w:space="0" w:color="FFFFFF"/>
              <w:right w:val="single" w:sz="8" w:space="0" w:color="FFFFFF"/>
            </w:tcBorders>
            <w:shd w:val="clear" w:color="000000" w:fill="E7EEEF"/>
            <w:vAlign w:val="center"/>
            <w:hideMark/>
          </w:tcPr>
          <w:p w14:paraId="17F41997"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24,333</w:t>
            </w:r>
          </w:p>
        </w:tc>
        <w:tc>
          <w:tcPr>
            <w:tcW w:w="1660" w:type="pct"/>
            <w:tcBorders>
              <w:top w:val="nil"/>
              <w:left w:val="nil"/>
              <w:bottom w:val="single" w:sz="8" w:space="0" w:color="FFFFFF"/>
              <w:right w:val="single" w:sz="8" w:space="0" w:color="FFFFFF"/>
            </w:tcBorders>
            <w:shd w:val="clear" w:color="000000" w:fill="E7EEEF"/>
            <w:vAlign w:val="center"/>
            <w:hideMark/>
          </w:tcPr>
          <w:p w14:paraId="0A867ACB"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4.56</w:t>
            </w:r>
          </w:p>
        </w:tc>
        <w:tc>
          <w:tcPr>
            <w:tcW w:w="1491" w:type="pct"/>
            <w:tcBorders>
              <w:top w:val="nil"/>
              <w:left w:val="nil"/>
              <w:bottom w:val="single" w:sz="8" w:space="0" w:color="FFFFFF"/>
              <w:right w:val="single" w:sz="8" w:space="0" w:color="FFFFFF"/>
            </w:tcBorders>
            <w:shd w:val="clear" w:color="000000" w:fill="E7EEEF"/>
            <w:vAlign w:val="center"/>
            <w:hideMark/>
          </w:tcPr>
          <w:p w14:paraId="6421756A"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110,896</w:t>
            </w:r>
          </w:p>
        </w:tc>
      </w:tr>
      <w:tr w:rsidR="002023D7" w:rsidRPr="002023D7" w14:paraId="4D88BFAA" w14:textId="77777777" w:rsidTr="002023D7">
        <w:trPr>
          <w:trHeight w:val="315"/>
        </w:trPr>
        <w:tc>
          <w:tcPr>
            <w:tcW w:w="457" w:type="pct"/>
            <w:tcBorders>
              <w:top w:val="single" w:sz="8" w:space="0" w:color="FFFFFF"/>
              <w:left w:val="nil"/>
              <w:bottom w:val="single" w:sz="12" w:space="0" w:color="FFFFFF"/>
              <w:right w:val="single" w:sz="8" w:space="0" w:color="FFFFFF"/>
            </w:tcBorders>
            <w:shd w:val="clear" w:color="000000" w:fill="008C9B"/>
            <w:vAlign w:val="center"/>
            <w:hideMark/>
          </w:tcPr>
          <w:p w14:paraId="5A9BB181"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2015</w:t>
            </w:r>
          </w:p>
        </w:tc>
        <w:tc>
          <w:tcPr>
            <w:tcW w:w="1391" w:type="pct"/>
            <w:tcBorders>
              <w:top w:val="nil"/>
              <w:left w:val="nil"/>
              <w:bottom w:val="single" w:sz="8" w:space="0" w:color="FFFFFF"/>
              <w:right w:val="single" w:sz="8" w:space="0" w:color="FFFFFF"/>
            </w:tcBorders>
            <w:shd w:val="clear" w:color="000000" w:fill="D0CECE"/>
            <w:vAlign w:val="center"/>
            <w:hideMark/>
          </w:tcPr>
          <w:p w14:paraId="21F58525"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25,950</w:t>
            </w:r>
          </w:p>
        </w:tc>
        <w:tc>
          <w:tcPr>
            <w:tcW w:w="1660" w:type="pct"/>
            <w:tcBorders>
              <w:top w:val="nil"/>
              <w:left w:val="nil"/>
              <w:bottom w:val="single" w:sz="8" w:space="0" w:color="FFFFFF"/>
              <w:right w:val="single" w:sz="8" w:space="0" w:color="FFFFFF"/>
            </w:tcBorders>
            <w:shd w:val="clear" w:color="000000" w:fill="D0CECE"/>
            <w:vAlign w:val="center"/>
            <w:hideMark/>
          </w:tcPr>
          <w:p w14:paraId="6301A9C4"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4.23</w:t>
            </w:r>
          </w:p>
        </w:tc>
        <w:tc>
          <w:tcPr>
            <w:tcW w:w="1491" w:type="pct"/>
            <w:tcBorders>
              <w:top w:val="nil"/>
              <w:left w:val="nil"/>
              <w:bottom w:val="single" w:sz="8" w:space="0" w:color="FFFFFF"/>
              <w:right w:val="single" w:sz="8" w:space="0" w:color="FFFFFF"/>
            </w:tcBorders>
            <w:shd w:val="clear" w:color="000000" w:fill="D0CECE"/>
            <w:vAlign w:val="center"/>
            <w:hideMark/>
          </w:tcPr>
          <w:p w14:paraId="51DAAF6D"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109,757</w:t>
            </w:r>
          </w:p>
        </w:tc>
      </w:tr>
      <w:tr w:rsidR="002023D7" w:rsidRPr="002023D7" w14:paraId="351D6B07" w14:textId="77777777" w:rsidTr="002023D7">
        <w:trPr>
          <w:trHeight w:val="315"/>
        </w:trPr>
        <w:tc>
          <w:tcPr>
            <w:tcW w:w="457" w:type="pct"/>
            <w:tcBorders>
              <w:top w:val="single" w:sz="8" w:space="0" w:color="FFFFFF"/>
              <w:left w:val="nil"/>
              <w:bottom w:val="single" w:sz="12" w:space="0" w:color="FFFFFF"/>
              <w:right w:val="single" w:sz="8" w:space="0" w:color="FFFFFF"/>
            </w:tcBorders>
            <w:shd w:val="clear" w:color="000000" w:fill="008C9B"/>
            <w:vAlign w:val="center"/>
            <w:hideMark/>
          </w:tcPr>
          <w:p w14:paraId="122DB926"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2016</w:t>
            </w:r>
          </w:p>
        </w:tc>
        <w:tc>
          <w:tcPr>
            <w:tcW w:w="1391" w:type="pct"/>
            <w:tcBorders>
              <w:top w:val="nil"/>
              <w:left w:val="nil"/>
              <w:bottom w:val="single" w:sz="8" w:space="0" w:color="FFFFFF"/>
              <w:right w:val="single" w:sz="8" w:space="0" w:color="FFFFFF"/>
            </w:tcBorders>
            <w:shd w:val="clear" w:color="000000" w:fill="E7EEEF"/>
            <w:vAlign w:val="center"/>
            <w:hideMark/>
          </w:tcPr>
          <w:p w14:paraId="7F2498DA"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28,226</w:t>
            </w:r>
          </w:p>
        </w:tc>
        <w:tc>
          <w:tcPr>
            <w:tcW w:w="1660" w:type="pct"/>
            <w:tcBorders>
              <w:top w:val="nil"/>
              <w:left w:val="nil"/>
              <w:bottom w:val="single" w:sz="8" w:space="0" w:color="FFFFFF"/>
              <w:right w:val="single" w:sz="8" w:space="0" w:color="FFFFFF"/>
            </w:tcBorders>
            <w:shd w:val="clear" w:color="000000" w:fill="E7EEEF"/>
            <w:vAlign w:val="center"/>
            <w:hideMark/>
          </w:tcPr>
          <w:p w14:paraId="3A08F049"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4.87</w:t>
            </w:r>
          </w:p>
        </w:tc>
        <w:tc>
          <w:tcPr>
            <w:tcW w:w="1491" w:type="pct"/>
            <w:tcBorders>
              <w:top w:val="nil"/>
              <w:left w:val="nil"/>
              <w:bottom w:val="single" w:sz="8" w:space="0" w:color="FFFFFF"/>
              <w:right w:val="single" w:sz="8" w:space="0" w:color="FFFFFF"/>
            </w:tcBorders>
            <w:shd w:val="clear" w:color="000000" w:fill="E7EEEF"/>
            <w:vAlign w:val="center"/>
            <w:hideMark/>
          </w:tcPr>
          <w:p w14:paraId="03F6FB90"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137,380</w:t>
            </w:r>
          </w:p>
        </w:tc>
      </w:tr>
      <w:tr w:rsidR="002023D7" w:rsidRPr="002023D7" w14:paraId="4D743DB3" w14:textId="77777777" w:rsidTr="002023D7">
        <w:trPr>
          <w:trHeight w:val="315"/>
        </w:trPr>
        <w:tc>
          <w:tcPr>
            <w:tcW w:w="457" w:type="pct"/>
            <w:tcBorders>
              <w:top w:val="single" w:sz="8" w:space="0" w:color="FFFFFF"/>
              <w:left w:val="nil"/>
              <w:bottom w:val="single" w:sz="12" w:space="0" w:color="FFFFFF"/>
              <w:right w:val="single" w:sz="8" w:space="0" w:color="FFFFFF"/>
            </w:tcBorders>
            <w:shd w:val="clear" w:color="000000" w:fill="008C9B"/>
            <w:vAlign w:val="center"/>
            <w:hideMark/>
          </w:tcPr>
          <w:p w14:paraId="449FA95C" w14:textId="77777777" w:rsidR="002023D7" w:rsidRPr="002023D7" w:rsidRDefault="002023D7" w:rsidP="002023D7">
            <w:pPr>
              <w:spacing w:after="0"/>
              <w:jc w:val="center"/>
              <w:rPr>
                <w:rFonts w:ascii="Calibri" w:eastAsia="Times New Roman" w:hAnsi="Calibri"/>
                <w:color w:val="FFFFFF"/>
                <w:sz w:val="20"/>
                <w:lang w:eastAsia="en-GB"/>
              </w:rPr>
            </w:pPr>
            <w:r w:rsidRPr="002023D7">
              <w:rPr>
                <w:rFonts w:ascii="Calibri" w:eastAsia="Times New Roman" w:hAnsi="Calibri"/>
                <w:color w:val="FFFFFF"/>
                <w:sz w:val="20"/>
                <w:lang w:eastAsia="en-GB"/>
              </w:rPr>
              <w:t>2017</w:t>
            </w:r>
          </w:p>
        </w:tc>
        <w:tc>
          <w:tcPr>
            <w:tcW w:w="1391" w:type="pct"/>
            <w:tcBorders>
              <w:top w:val="nil"/>
              <w:left w:val="nil"/>
              <w:bottom w:val="single" w:sz="8" w:space="0" w:color="FFFFFF"/>
              <w:right w:val="single" w:sz="8" w:space="0" w:color="FFFFFF"/>
            </w:tcBorders>
            <w:shd w:val="clear" w:color="000000" w:fill="D0CECE"/>
            <w:vAlign w:val="center"/>
            <w:hideMark/>
          </w:tcPr>
          <w:p w14:paraId="3C3102A4"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28,814</w:t>
            </w:r>
          </w:p>
        </w:tc>
        <w:tc>
          <w:tcPr>
            <w:tcW w:w="1660" w:type="pct"/>
            <w:tcBorders>
              <w:top w:val="nil"/>
              <w:left w:val="nil"/>
              <w:bottom w:val="single" w:sz="8" w:space="0" w:color="FFFFFF"/>
              <w:right w:val="single" w:sz="8" w:space="0" w:color="FFFFFF"/>
            </w:tcBorders>
            <w:shd w:val="clear" w:color="000000" w:fill="D0CECE"/>
            <w:vAlign w:val="center"/>
            <w:hideMark/>
          </w:tcPr>
          <w:p w14:paraId="3F3F2DB6"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5.27</w:t>
            </w:r>
          </w:p>
        </w:tc>
        <w:tc>
          <w:tcPr>
            <w:tcW w:w="1491" w:type="pct"/>
            <w:tcBorders>
              <w:top w:val="nil"/>
              <w:left w:val="nil"/>
              <w:bottom w:val="single" w:sz="8" w:space="0" w:color="FFFFFF"/>
              <w:right w:val="single" w:sz="8" w:space="0" w:color="FFFFFF"/>
            </w:tcBorders>
            <w:shd w:val="clear" w:color="000000" w:fill="D0CECE"/>
            <w:vAlign w:val="center"/>
            <w:hideMark/>
          </w:tcPr>
          <w:p w14:paraId="75C97AAD" w14:textId="77777777" w:rsidR="002023D7" w:rsidRPr="002023D7" w:rsidRDefault="002023D7" w:rsidP="002023D7">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151,901</w:t>
            </w:r>
          </w:p>
        </w:tc>
      </w:tr>
    </w:tbl>
    <w:p w14:paraId="7F6FE9CB" w14:textId="06B916DA" w:rsidR="002023D7" w:rsidRDefault="002023D7" w:rsidP="00A74D2A">
      <w:pPr>
        <w:spacing w:before="60" w:after="120"/>
        <w:rPr>
          <w:rStyle w:val="SubtleEmphasis"/>
          <w:sz w:val="18"/>
        </w:rPr>
      </w:pPr>
    </w:p>
    <w:p w14:paraId="41653F55" w14:textId="036914EC" w:rsidR="003F6121" w:rsidRPr="00B86153" w:rsidRDefault="003F6121" w:rsidP="002023D7">
      <w:pPr>
        <w:spacing w:before="60" w:after="120"/>
        <w:jc w:val="right"/>
        <w:rPr>
          <w:i/>
        </w:rPr>
      </w:pPr>
      <w:r w:rsidRPr="00095712">
        <w:rPr>
          <w:rStyle w:val="SubtleEmphasis"/>
          <w:sz w:val="18"/>
        </w:rPr>
        <w:t>Source: ONS, FAME, Cebr analysis</w:t>
      </w:r>
    </w:p>
    <w:p w14:paraId="56C4E33E" w14:textId="77777777" w:rsidR="00291A61" w:rsidRDefault="00FE1907" w:rsidP="00FE1907">
      <w:pPr>
        <w:pStyle w:val="Heading2"/>
      </w:pPr>
      <w:bookmarkStart w:id="121" w:name="_Toc486961889"/>
      <w:bookmarkStart w:id="122" w:name="_Toc486961920"/>
      <w:bookmarkStart w:id="123" w:name="_Toc486961944"/>
      <w:bookmarkStart w:id="124" w:name="_Toc486961968"/>
      <w:bookmarkStart w:id="125" w:name="_Toc486962023"/>
      <w:bookmarkStart w:id="126" w:name="_Toc486962055"/>
      <w:bookmarkStart w:id="127" w:name="_Toc486962090"/>
      <w:bookmarkStart w:id="128" w:name="_Toc486962114"/>
      <w:bookmarkStart w:id="129" w:name="_Toc486962138"/>
      <w:bookmarkStart w:id="130" w:name="_Toc20139754"/>
      <w:bookmarkEnd w:id="121"/>
      <w:bookmarkEnd w:id="122"/>
      <w:bookmarkEnd w:id="123"/>
      <w:bookmarkEnd w:id="124"/>
      <w:bookmarkEnd w:id="125"/>
      <w:bookmarkEnd w:id="126"/>
      <w:bookmarkEnd w:id="127"/>
      <w:bookmarkEnd w:id="128"/>
      <w:bookmarkEnd w:id="129"/>
      <w:r>
        <w:t>The wider economic impacts through the compensation of employees</w:t>
      </w:r>
      <w:bookmarkEnd w:id="130"/>
    </w:p>
    <w:p w14:paraId="5A4EAF71" w14:textId="77777777" w:rsidR="00A7232E" w:rsidRDefault="00291A61" w:rsidP="00291A61">
      <w:r>
        <w:t xml:space="preserve">This </w:t>
      </w:r>
      <w:r w:rsidR="00FB57A0">
        <w:t>final sub</w:t>
      </w:r>
      <w:r>
        <w:t xml:space="preserve">section sets out the economic impact of the Solent-based Maritime </w:t>
      </w:r>
      <w:r w:rsidR="00A7232E">
        <w:t>sector</w:t>
      </w:r>
      <w:r>
        <w:t xml:space="preserve"> </w:t>
      </w:r>
      <w:r w:rsidR="00582DE2">
        <w:t xml:space="preserve">and Portsmouth Naval Base </w:t>
      </w:r>
      <w:r w:rsidR="00DA750C">
        <w:t>through the compensation of employees</w:t>
      </w:r>
      <w:r>
        <w:t xml:space="preserve">. </w:t>
      </w:r>
    </w:p>
    <w:p w14:paraId="17AD6DCD" w14:textId="7D81A445" w:rsidR="007749EF" w:rsidRDefault="00F075F8" w:rsidP="00582DE2">
      <w:r>
        <w:fldChar w:fldCharType="begin"/>
      </w:r>
      <w:r>
        <w:instrText xml:space="preserve"> REF _Ref499907797 \h </w:instrText>
      </w:r>
      <w:r>
        <w:fldChar w:fldCharType="separate"/>
      </w:r>
      <w:r w:rsidR="00D17FEA">
        <w:t xml:space="preserve">Figure </w:t>
      </w:r>
      <w:r w:rsidR="00D17FEA">
        <w:rPr>
          <w:noProof/>
        </w:rPr>
        <w:t>22</w:t>
      </w:r>
      <w:r>
        <w:fldChar w:fldCharType="end"/>
      </w:r>
      <w:r>
        <w:t xml:space="preserve"> </w:t>
      </w:r>
      <w:r w:rsidR="00582DE2">
        <w:t xml:space="preserve">below illustrates the direct, indirect and induced </w:t>
      </w:r>
      <w:r w:rsidR="0011101A">
        <w:t>compensation of employee</w:t>
      </w:r>
      <w:r w:rsidR="00582DE2">
        <w:t xml:space="preserve"> impacts associated </w:t>
      </w:r>
      <w:r w:rsidR="008E7CB5">
        <w:t>with the Solent-based Maritime Sector.</w:t>
      </w:r>
      <w:r w:rsidR="008E7CB5" w:rsidRPr="008E7CB5">
        <w:t xml:space="preserve"> </w:t>
      </w:r>
      <w:r w:rsidR="008E7CB5">
        <w:t xml:space="preserve">Collectively, the Solent-based maritime industries and Portsmouth Naval Base directly contributed £1.1 billion in employee compensation in 2017; once the indirect and induced economic channels are taken into consideration the industries </w:t>
      </w:r>
      <w:r w:rsidR="009D3144">
        <w:t>supported</w:t>
      </w:r>
      <w:r w:rsidR="008E7CB5">
        <w:t xml:space="preserve"> £2.5 billion </w:t>
      </w:r>
      <w:r w:rsidR="0080602B">
        <w:t>in employee compensation.</w:t>
      </w:r>
    </w:p>
    <w:p w14:paraId="735A0C97" w14:textId="4B6092D0" w:rsidR="00291A61" w:rsidRDefault="0011101A" w:rsidP="00F075F8">
      <w:pPr>
        <w:spacing w:after="120"/>
        <w:rPr>
          <w:b/>
        </w:rPr>
      </w:pPr>
      <w:r>
        <w:t>Combining</w:t>
      </w:r>
      <w:r w:rsidR="00582DE2">
        <w:t xml:space="preserve"> each Maritime industry and Portsmouth Naval Base, </w:t>
      </w:r>
      <w:r w:rsidR="00582DE2">
        <w:rPr>
          <w:b/>
        </w:rPr>
        <w:t xml:space="preserve">for every </w:t>
      </w:r>
      <w:r>
        <w:rPr>
          <w:b/>
        </w:rPr>
        <w:t>£1</w:t>
      </w:r>
      <w:r w:rsidR="00582DE2">
        <w:rPr>
          <w:b/>
        </w:rPr>
        <w:t xml:space="preserve"> </w:t>
      </w:r>
      <w:r w:rsidR="003C56E4">
        <w:rPr>
          <w:b/>
        </w:rPr>
        <w:t xml:space="preserve">of employee compensation </w:t>
      </w:r>
      <w:r w:rsidR="000B472F">
        <w:rPr>
          <w:b/>
        </w:rPr>
        <w:t>initially generated</w:t>
      </w:r>
      <w:r w:rsidR="00582DE2" w:rsidRPr="00E31A52">
        <w:rPr>
          <w:b/>
        </w:rPr>
        <w:t xml:space="preserve"> by </w:t>
      </w:r>
      <w:r w:rsidR="0070662C">
        <w:rPr>
          <w:b/>
        </w:rPr>
        <w:t>these entities in 2017</w:t>
      </w:r>
      <w:r w:rsidR="00582DE2" w:rsidRPr="00E31A52">
        <w:rPr>
          <w:b/>
        </w:rPr>
        <w:t xml:space="preserve">, </w:t>
      </w:r>
      <w:r w:rsidR="00582DE2">
        <w:rPr>
          <w:b/>
        </w:rPr>
        <w:t xml:space="preserve">a total of </w:t>
      </w:r>
      <w:r>
        <w:rPr>
          <w:b/>
        </w:rPr>
        <w:t>£2.</w:t>
      </w:r>
      <w:r w:rsidR="0070662C">
        <w:rPr>
          <w:b/>
        </w:rPr>
        <w:t>30</w:t>
      </w:r>
      <w:r w:rsidR="00CC6DC3">
        <w:rPr>
          <w:b/>
        </w:rPr>
        <w:t xml:space="preserve"> </w:t>
      </w:r>
      <w:r>
        <w:rPr>
          <w:b/>
        </w:rPr>
        <w:t>in employee compensation was</w:t>
      </w:r>
      <w:r w:rsidR="000B472F">
        <w:rPr>
          <w:b/>
        </w:rPr>
        <w:t xml:space="preserve"> contributed</w:t>
      </w:r>
      <w:r w:rsidR="00582DE2">
        <w:rPr>
          <w:b/>
        </w:rPr>
        <w:t xml:space="preserve"> in the Solent LEP region. </w:t>
      </w:r>
    </w:p>
    <w:p w14:paraId="1CF55B94" w14:textId="77777777" w:rsidR="00F72C4A" w:rsidRPr="005834EB" w:rsidRDefault="00F72C4A" w:rsidP="00F075F8">
      <w:pPr>
        <w:spacing w:after="120"/>
      </w:pPr>
    </w:p>
    <w:p w14:paraId="484AB063" w14:textId="2DB670DE" w:rsidR="009779FB" w:rsidRDefault="00F075F8">
      <w:pPr>
        <w:pStyle w:val="Caption"/>
        <w:keepNext/>
      </w:pPr>
      <w:bookmarkStart w:id="131" w:name="_Ref499907797"/>
      <w:r>
        <w:t xml:space="preserve">Figure </w:t>
      </w:r>
      <w:r w:rsidR="00F604FD">
        <w:rPr>
          <w:noProof/>
        </w:rPr>
        <w:fldChar w:fldCharType="begin"/>
      </w:r>
      <w:r w:rsidR="00F604FD">
        <w:rPr>
          <w:noProof/>
        </w:rPr>
        <w:instrText xml:space="preserve"> SEQ Figure \* ARABIC </w:instrText>
      </w:r>
      <w:r w:rsidR="00F604FD">
        <w:rPr>
          <w:noProof/>
        </w:rPr>
        <w:fldChar w:fldCharType="separate"/>
      </w:r>
      <w:r w:rsidR="00D17FEA">
        <w:rPr>
          <w:noProof/>
        </w:rPr>
        <w:t>22</w:t>
      </w:r>
      <w:r w:rsidR="00F604FD">
        <w:rPr>
          <w:noProof/>
        </w:rPr>
        <w:fldChar w:fldCharType="end"/>
      </w:r>
      <w:bookmarkEnd w:id="131"/>
      <w:r>
        <w:t xml:space="preserve">: </w:t>
      </w:r>
      <w:r w:rsidRPr="00B2698F">
        <w:t>Employee compensation multiplier impact</w:t>
      </w:r>
      <w:r w:rsidR="009779FB">
        <w:t>s of the Solent-based Maritime S</w:t>
      </w:r>
      <w:r w:rsidRPr="00B2698F">
        <w:t>ector and P</w:t>
      </w:r>
      <w:r w:rsidR="00F6585F">
        <w:t>ortsmouth Naval Base, 2017</w:t>
      </w:r>
    </w:p>
    <w:p w14:paraId="7A229D4D" w14:textId="745D922A" w:rsidR="00F72C4A" w:rsidRDefault="00F72C4A" w:rsidP="009779FB">
      <w:pPr>
        <w:pStyle w:val="Caption"/>
        <w:keepNext/>
      </w:pPr>
      <w:r w:rsidRPr="00F72C4A">
        <w:rPr>
          <w:noProof/>
          <w:lang w:eastAsia="en-GB"/>
        </w:rPr>
        <mc:AlternateContent>
          <mc:Choice Requires="wpg">
            <w:drawing>
              <wp:anchor distT="0" distB="0" distL="114300" distR="114300" simplePos="0" relativeHeight="251666432" behindDoc="0" locked="0" layoutInCell="1" allowOverlap="1" wp14:anchorId="176A50E3" wp14:editId="628AB45D">
                <wp:simplePos x="0" y="0"/>
                <wp:positionH relativeFrom="margin">
                  <wp:align>left</wp:align>
                </wp:positionH>
                <wp:positionV relativeFrom="paragraph">
                  <wp:posOffset>6502</wp:posOffset>
                </wp:positionV>
                <wp:extent cx="5760000" cy="1982419"/>
                <wp:effectExtent l="0" t="0" r="0" b="0"/>
                <wp:wrapNone/>
                <wp:docPr id="63" name="Group 3"/>
                <wp:cNvGraphicFramePr/>
                <a:graphic xmlns:a="http://schemas.openxmlformats.org/drawingml/2006/main">
                  <a:graphicData uri="http://schemas.microsoft.com/office/word/2010/wordprocessingGroup">
                    <wpg:wgp>
                      <wpg:cNvGrpSpPr/>
                      <wpg:grpSpPr>
                        <a:xfrm>
                          <a:off x="0" y="0"/>
                          <a:ext cx="5760000" cy="1982419"/>
                          <a:chOff x="0" y="0"/>
                          <a:chExt cx="6508545" cy="1930620"/>
                        </a:xfrm>
                      </wpg:grpSpPr>
                      <wps:wsp>
                        <wps:cNvPr id="128" name="Down Arrow 128"/>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9" name="Down Arrow 129"/>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2495" y="1584320"/>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5011BF" w14:textId="77777777" w:rsidR="00D17FEA" w:rsidRPr="00056F55" w:rsidRDefault="00D17FEA" w:rsidP="00F72C4A">
                              <w:pPr>
                                <w:pStyle w:val="NormalWeb"/>
                                <w:spacing w:before="0" w:beforeAutospacing="0" w:after="160" w:afterAutospacing="0" w:line="256" w:lineRule="auto"/>
                                <w:jc w:val="center"/>
                                <w:rPr>
                                  <w:sz w:val="22"/>
                                </w:rPr>
                              </w:pPr>
                              <w:r w:rsidRPr="00056F55">
                                <w:rPr>
                                  <w:rFonts w:asciiTheme="minorHAnsi" w:eastAsia="Calibri" w:hAnsi="Calibri"/>
                                  <w:color w:val="FFFFFF" w:themeColor="light1"/>
                                  <w:kern w:val="24"/>
                                  <w:sz w:val="28"/>
                                  <w:szCs w:val="32"/>
                                </w:rPr>
                                <w:t xml:space="preserve">Total Impact </w:t>
                              </w:r>
                              <w:r w:rsidRPr="00056F55">
                                <w:rPr>
                                  <w:rFonts w:asciiTheme="minorHAnsi" w:eastAsia="Calibri" w:hAnsi="Calibri"/>
                                  <w:color w:val="FFFFFF" w:themeColor="light1"/>
                                  <w:kern w:val="24"/>
                                  <w:sz w:val="32"/>
                                  <w:szCs w:val="36"/>
                                </w:rPr>
                                <w:t>= ❶+❷+❸ = £2.5bn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ounded Rectangle 135"/>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46518" w14:textId="77777777" w:rsidR="00D17FEA" w:rsidRDefault="00D17FEA" w:rsidP="00F72C4A">
                              <w:pPr>
                                <w:pStyle w:val="NormalWeb"/>
                                <w:spacing w:before="0" w:beforeAutospacing="0" w:after="0" w:afterAutospacing="0"/>
                                <w:jc w:val="center"/>
                                <w:rPr>
                                  <w:rFonts w:asciiTheme="minorHAnsi" w:hAnsi="+mn-ea" w:cstheme="minorBidi"/>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w:t>
                              </w:r>
                            </w:p>
                            <w:p w14:paraId="37B1C34B" w14:textId="4DB72EDF" w:rsidR="00D17FEA" w:rsidRDefault="00D17FEA" w:rsidP="00F72C4A">
                              <w:pPr>
                                <w:pStyle w:val="NormalWeb"/>
                                <w:spacing w:before="0" w:beforeAutospacing="0" w:after="0" w:afterAutospacing="0"/>
                                <w:jc w:val="center"/>
                              </w:pPr>
                              <w:r>
                                <w:rPr>
                                  <w:rFonts w:asciiTheme="minorHAnsi" w:hAnsi="+mn-ea" w:cstheme="minorBidi"/>
                                  <w:b/>
                                  <w:bCs/>
                                  <w:color w:val="FFFFFF" w:themeColor="background1"/>
                                  <w:kern w:val="24"/>
                                  <w:sz w:val="26"/>
                                  <w:szCs w:val="26"/>
                                </w:rPr>
                                <w:t xml:space="preserve"> </w:t>
                              </w:r>
                            </w:p>
                            <w:p w14:paraId="399DE70B" w14:textId="77777777" w:rsidR="00D17FEA" w:rsidRDefault="00D17FEA" w:rsidP="00F72C4A">
                              <w:pPr>
                                <w:pStyle w:val="NormalWeb"/>
                                <w:spacing w:before="0" w:beforeAutospacing="0" w:after="0" w:afterAutospacing="0"/>
                                <w:jc w:val="center"/>
                              </w:pPr>
                              <w:r>
                                <w:rPr>
                                  <w:rFonts w:asciiTheme="minorHAnsi" w:hAnsi="Calibri" w:cstheme="minorBidi"/>
                                  <w:color w:val="FFFFFF" w:themeColor="background1"/>
                                  <w:kern w:val="24"/>
                                  <w:sz w:val="48"/>
                                  <w:szCs w:val="48"/>
                                </w:rPr>
                                <w:t>£1.1bn</w:t>
                              </w:r>
                            </w:p>
                          </w:txbxContent>
                        </wps:txbx>
                        <wps:bodyPr rtlCol="0" anchor="t" anchorCtr="0"/>
                      </wps:wsp>
                      <wps:wsp>
                        <wps:cNvPr id="136" name="Rounded Rectangle 136"/>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9D86D" w14:textId="6E1F4061" w:rsidR="00D17FEA" w:rsidRDefault="00D17FEA" w:rsidP="00F72C4A">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rPr>
                                <w:t>)</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£1.0bn</w:t>
                              </w:r>
                            </w:p>
                          </w:txbxContent>
                        </wps:txbx>
                        <wps:bodyPr rtlCol="0" anchor="t" anchorCtr="0"/>
                      </wps:wsp>
                      <wps:wsp>
                        <wps:cNvPr id="137" name="Rounded Rectangle 137"/>
                        <wps:cNvSpPr/>
                        <wps:spPr>
                          <a:xfrm>
                            <a:off x="4648213" y="462211"/>
                            <a:ext cx="1584176" cy="96493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253D9" w14:textId="77777777" w:rsidR="00D17FEA" w:rsidRDefault="00D17FEA" w:rsidP="00F72C4A">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w:t>
                              </w:r>
                              <w:r>
                                <w:rPr>
                                  <w:rFonts w:asciiTheme="minorHAnsi" w:hAnsi="+mn-ea" w:cstheme="minorBidi"/>
                                  <w:b/>
                                  <w:bCs/>
                                  <w:color w:val="FFFFFF" w:themeColor="background1"/>
                                  <w:kern w:val="24"/>
                                  <w:sz w:val="26"/>
                                  <w:szCs w:val="26"/>
                                </w:rPr>
                                <w:t>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£0.5bn</w:t>
                              </w:r>
                            </w:p>
                          </w:txbxContent>
                        </wps:txbx>
                        <wps:bodyPr rtlCol="0" anchor="t" anchorCtr="0"/>
                      </wps:wsp>
                      <wps:wsp>
                        <wps:cNvPr id="138" name="Rectangle 138"/>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CEA14" w14:textId="77777777" w:rsidR="00D17FEA" w:rsidRPr="00056F55" w:rsidRDefault="00D17FEA" w:rsidP="00F72C4A">
                              <w:pPr>
                                <w:pStyle w:val="NormalWeb"/>
                                <w:spacing w:before="0" w:beforeAutospacing="0" w:after="160" w:afterAutospacing="0" w:line="256" w:lineRule="auto"/>
                                <w:jc w:val="center"/>
                                <w:rPr>
                                  <w:sz w:val="22"/>
                                </w:rPr>
                              </w:pPr>
                              <w:r w:rsidRPr="00056F55">
                                <w:rPr>
                                  <w:rFonts w:asciiTheme="minorHAnsi" w:eastAsia="Calibri" w:hAnsi="Calibri"/>
                                  <w:b/>
                                  <w:bCs/>
                                  <w:color w:val="FFFFFF" w:themeColor="light1"/>
                                  <w:kern w:val="24"/>
                                  <w:sz w:val="28"/>
                                  <w:szCs w:val="32"/>
                                </w:rPr>
                                <w:t>Employee Compensation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76A50E3" id="_x0000_s1050" style="position:absolute;margin-left:0;margin-top:.5pt;width:453.55pt;height:156.1pt;z-index:251666432;mso-position-horizontal:left;mso-position-horizontal-relative:margin;mso-height-relative:margin"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">
                <v:shape id="Down Arrow 128" o:spid="_x0000_s1051"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dW8IA&#10;AADcAAAADwAAAGRycy9kb3ducmV2LnhtbESPQW/CMAyF75P2HyJP4jbSITFGISCYNInrgMtuXuO1&#10;FbVTNRmEf48PSNxsvef3Pi/XmTtzpiG2QRy8jQswJFXwrdQOjoev1w8wMaF47IKQgytFWK+en5ZY&#10;+nCRbzrvU200RGKJDpqU+tLaWDXEGMehJ1HtLwyMSdehtn7Ai4ZzZydF8W4ZW9GGBnv6bKg67f/Z&#10;gcyZc5wH6n/idNvy9TdvNzPnRi95swCTKKeH+X6984o/UVp9Riew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t1bwgAAANwAAAAPAAAAAAAAAAAAAAAAAJgCAABkcnMvZG93&#10;bnJldi54bWxQSwUGAAAAAAQABAD1AAAAhwMAAAAA&#10;" adj="10800" fillcolor="#c4c4c6 [1302]" stroked="f" strokeweight="2pt"/>
                <v:shape id="Down Arrow 129" o:spid="_x0000_s1052"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4wL8A&#10;AADcAAAADwAAAGRycy9kb3ducmV2LnhtbERPS2vCQBC+F/oflin01mwU1Ca6ihYErz4u3qbZMQlm&#10;ZkN2q+u/7wqF3ubje85iFblTNxp868TAKMtBkVTOtlIbOB23H5+gfECx2DkhAw/ysFq+viywtO4u&#10;e7odQq1SiPgSDTQh9KXWvmqI0WeuJ0ncxQ2MIcGh1nbAewrnTo/zfKoZW0kNDfb01VB1PfywASmY&#10;oy8c9Wc/2bT8+I6b9cyY97e4noMKFMO/+M+9s2n+uIDnM+kC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LnjAvwAAANwAAAAPAAAAAAAAAAAAAAAAAJgCAABkcnMvZG93bnJl&#10;di54bWxQSwUGAAAAAAQABAD1AAAAhAMAAAAA&#10;" adj="10800" fillcolor="#c4c4c6 [1302]" stroked="f" strokeweight="2pt"/>
                <v:rect id="Rectangle 134" o:spid="_x0000_s1053"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RA78A&#10;AADcAAAADwAAAGRycy9kb3ducmV2LnhtbERPTYvCMBC9C/6HMAt703RdXZZqlFIQ9Ghd9zw0Y1tM&#10;JqWJWv31RhC8zeN9zmLVWyMu1PnGsYKvcQKCuHS64UrB3349+gXhA7JG45gU3MjDajkcLDDV7so7&#10;uhShEjGEfYoK6hDaVEpf1mTRj11LHLmj6yyGCLtK6g6vMdwaOUmSH2mx4dhQY0t5TeWpOFsFM6bt&#10;LBR3kx+y7HjG8pD/e6PU50efzUEE6sNb/HJvdJz/PYXnM/E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o9EDvwAAANwAAAAPAAAAAAAAAAAAAAAAAJgCAABkcnMvZG93bnJl&#10;di54bWxQSwUGAAAAAAQABAD1AAAAhAMAAAAA&#10;" fillcolor="#6d6e71 [3206]" stroked="f" strokeweight="2pt">
                  <v:textbox>
                    <w:txbxContent>
                      <w:p w14:paraId="335011BF" w14:textId="77777777" w:rsidR="00D17FEA" w:rsidRPr="00056F55" w:rsidRDefault="00D17FEA" w:rsidP="00F72C4A">
                        <w:pPr>
                          <w:pStyle w:val="NormalWeb"/>
                          <w:spacing w:before="0" w:beforeAutospacing="0" w:after="160" w:afterAutospacing="0" w:line="256" w:lineRule="auto"/>
                          <w:jc w:val="center"/>
                          <w:rPr>
                            <w:sz w:val="22"/>
                          </w:rPr>
                        </w:pPr>
                        <w:r w:rsidRPr="00056F55">
                          <w:rPr>
                            <w:rFonts w:asciiTheme="minorHAnsi" w:eastAsia="Calibri" w:hAnsi="Calibri"/>
                            <w:color w:val="FFFFFF" w:themeColor="light1"/>
                            <w:kern w:val="24"/>
                            <w:sz w:val="28"/>
                            <w:szCs w:val="32"/>
                          </w:rPr>
                          <w:t xml:space="preserve">Total Impact </w:t>
                        </w:r>
                        <w:r w:rsidRPr="00056F55">
                          <w:rPr>
                            <w:rFonts w:asciiTheme="minorHAnsi" w:eastAsia="Calibri" w:hAnsi="Calibri"/>
                            <w:color w:val="FFFFFF" w:themeColor="light1"/>
                            <w:kern w:val="24"/>
                            <w:sz w:val="32"/>
                            <w:szCs w:val="36"/>
                          </w:rPr>
                          <w:t>= ❶+❷+❸ = £2.5bn</w:t>
                        </w:r>
                      </w:p>
                    </w:txbxContent>
                  </v:textbox>
                </v:rect>
                <v:roundrect id="Rounded Rectangle 135" o:spid="_x0000_s1054"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dLMIA&#10;AADcAAAADwAAAGRycy9kb3ducmV2LnhtbERPS2rDMBDdF3oHMYVsSiI3piW4UUIImHRbtweYWBPb&#10;tTQylupPTl8VAtnN431nu5+sEQP1vnGs4GWVgCAunW64UvD9lS83IHxA1mgck4KZPOx3jw9bzLQb&#10;+ZOGIlQihrDPUEEdQpdJ6cuaLPqV64gjd3G9xRBhX0nd4xjDrZHrJHmTFhuODTV2dKypbItfq+CK&#10;eXqZzalrzsNz68y4GX/aUqnF03R4BxFoCnfxzf2h4/z0Ff6fi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h0swgAAANwAAAAPAAAAAAAAAAAAAAAAAJgCAABkcnMvZG93&#10;bnJldi54bWxQSwUGAAAAAAQABAD1AAAAhwMAAAAA&#10;" fillcolor="#008c9b [3204]" stroked="f" strokeweight="2pt">
                  <v:textbox>
                    <w:txbxContent>
                      <w:p w14:paraId="71546518" w14:textId="77777777" w:rsidR="00D17FEA" w:rsidRDefault="00D17FEA" w:rsidP="00F72C4A">
                        <w:pPr>
                          <w:pStyle w:val="NormalWeb"/>
                          <w:spacing w:before="0" w:beforeAutospacing="0" w:after="0" w:afterAutospacing="0"/>
                          <w:jc w:val="center"/>
                          <w:rPr>
                            <w:rFonts w:asciiTheme="minorHAnsi" w:hAnsi="+mn-ea" w:cstheme="minorBidi"/>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w:t>
                        </w:r>
                      </w:p>
                      <w:p w14:paraId="37B1C34B" w14:textId="4DB72EDF" w:rsidR="00D17FEA" w:rsidRDefault="00D17FEA" w:rsidP="00F72C4A">
                        <w:pPr>
                          <w:pStyle w:val="NormalWeb"/>
                          <w:spacing w:before="0" w:beforeAutospacing="0" w:after="0" w:afterAutospacing="0"/>
                          <w:jc w:val="center"/>
                        </w:pPr>
                        <w:r>
                          <w:rPr>
                            <w:rFonts w:asciiTheme="minorHAnsi" w:hAnsi="+mn-ea" w:cstheme="minorBidi"/>
                            <w:b/>
                            <w:bCs/>
                            <w:color w:val="FFFFFF" w:themeColor="background1"/>
                            <w:kern w:val="24"/>
                            <w:sz w:val="26"/>
                            <w:szCs w:val="26"/>
                          </w:rPr>
                          <w:t xml:space="preserve"> </w:t>
                        </w:r>
                      </w:p>
                      <w:p w14:paraId="399DE70B" w14:textId="77777777" w:rsidR="00D17FEA" w:rsidRDefault="00D17FEA" w:rsidP="00F72C4A">
                        <w:pPr>
                          <w:pStyle w:val="NormalWeb"/>
                          <w:spacing w:before="0" w:beforeAutospacing="0" w:after="0" w:afterAutospacing="0"/>
                          <w:jc w:val="center"/>
                        </w:pPr>
                        <w:r>
                          <w:rPr>
                            <w:rFonts w:asciiTheme="minorHAnsi" w:hAnsi="Calibri" w:cstheme="minorBidi"/>
                            <w:color w:val="FFFFFF" w:themeColor="background1"/>
                            <w:kern w:val="24"/>
                            <w:sz w:val="48"/>
                            <w:szCs w:val="48"/>
                          </w:rPr>
                          <w:t>£1.1bn</w:t>
                        </w:r>
                      </w:p>
                    </w:txbxContent>
                  </v:textbox>
                </v:roundrect>
                <v:roundrect id="Rounded Rectangle 136" o:spid="_x0000_s1055"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8XL8A&#10;AADcAAAADwAAAGRycy9kb3ducmV2LnhtbERPS4vCMBC+C/6HMMLeNNWKaDWKiAt7WcHXfWjGtthM&#10;ahK1/vvNguBtPr7nLFatqcWDnK8sKxgOEhDEudUVFwpOx+/+FIQPyBpry6TgRR5Wy25ngZm2T97T&#10;4xAKEUPYZ6igDKHJpPR5SQb9wDbEkbtYZzBE6AqpHT5juKnlKEkm0mDFsaHEhjYl5dfD3ShImrX1&#10;u9c4TY/b82+4jbWrZlqpr167noMI1IaP+O3+0XF+OoH/Z+IF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ULxcvwAAANwAAAAPAAAAAAAAAAAAAAAAAJgCAABkcnMvZG93bnJl&#10;di54bWxQSwUGAAAAAAQABAD1AAAAhAMAAAAA&#10;" fillcolor="#0070c0" stroked="f" strokeweight="2pt">
                  <v:textbox>
                    <w:txbxContent>
                      <w:p w14:paraId="3E29D86D" w14:textId="6E1F4061" w:rsidR="00D17FEA" w:rsidRDefault="00D17FEA" w:rsidP="00F72C4A">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proofErr w:type="gramStart"/>
                        <w:r>
                          <w:rPr>
                            <w:rFonts w:asciiTheme="minorHAnsi" w:hAnsi="Calibri" w:cstheme="minorBidi"/>
                            <w:b/>
                            <w:bCs/>
                            <w:color w:val="FFFFFF" w:themeColor="background1"/>
                            <w:kern w:val="24"/>
                          </w:rPr>
                          <w:t>)</w:t>
                        </w:r>
                        <w:proofErr w:type="gramEnd"/>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£1.0bn</w:t>
                        </w:r>
                      </w:p>
                    </w:txbxContent>
                  </v:textbox>
                </v:roundrect>
                <v:roundrect id="Rounded Rectangle 137" o:spid="_x0000_s1056" style="position:absolute;left:46482;top:4622;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TQsIA&#10;AADcAAAADwAAAGRycy9kb3ducmV2LnhtbERPS4vCMBC+L/gfwgh7WTR1xQfVKLIgiF7cqvexGdti&#10;M6lNVqu/3gjC3ubje8503phSXKl2hWUFvW4Egji1uuBMwX637IxBOI+ssbRMCu7kYD5rfUwx1vbG&#10;v3RNfCZCCLsYFeTeV7GULs3JoOvaijhwJ1sb9AHWmdQ13kK4KeV3FA2lwYJDQ44V/eSUnpM/o6BY&#10;D+3yq3/ZHccH3iZy03sMzgelPtvNYgLCU+P/xW/3Sof5/RG8ngkX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9NCwgAAANwAAAAPAAAAAAAAAAAAAAAAAJgCAABkcnMvZG93&#10;bnJldi54bWxQSwUGAAAAAAQABAD1AAAAhwMAAAAA&#10;" fillcolor="#7030a0" stroked="f" strokeweight="2pt">
                  <v:textbox>
                    <w:txbxContent>
                      <w:p w14:paraId="23C253D9" w14:textId="77777777" w:rsidR="00D17FEA" w:rsidRDefault="00D17FEA" w:rsidP="00F72C4A">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w:t>
                        </w:r>
                        <w:proofErr w:type="gramStart"/>
                        <w:r>
                          <w:rPr>
                            <w:rFonts w:asciiTheme="minorHAnsi" w:hAnsi="+mn-ea" w:cstheme="minorBidi"/>
                            <w:b/>
                            <w:bCs/>
                            <w:color w:val="FFFFFF" w:themeColor="background1"/>
                            <w:kern w:val="24"/>
                            <w:sz w:val="26"/>
                            <w:szCs w:val="26"/>
                          </w:rPr>
                          <w:t>INDUCED</w:t>
                        </w:r>
                        <w:proofErr w:type="gramEnd"/>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£0.5bn</w:t>
                        </w:r>
                      </w:p>
                    </w:txbxContent>
                  </v:textbox>
                </v:roundrect>
                <v:rect id="Rectangle 138" o:spid="_x0000_s1057"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BsMA&#10;AADcAAAADwAAAGRycy9kb3ducmV2LnhtbESPT2vCQBDF7wW/wzKF3nTTFkVSVwkBoR6Nf85DdkxC&#10;d2dDdtXYT985CL3N8N6895vVZvRO3WiIXWAD77MMFHEdbMeNgeNhO12CignZogtMBh4UYbOevKww&#10;t+HOe7pVqVESwjFHA21Kfa51rFvyGGehJxbtEgaPSdah0XbAu4R7pz+ybKE9diwNLfZUtlT/VFdv&#10;YM60m6fq15WnorhcsT6V5+iMeXsdiy9Qicb0b35ef1vB/xRaeUYm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bBsMAAADcAAAADwAAAAAAAAAAAAAAAACYAgAAZHJzL2Rv&#10;d25yZXYueG1sUEsFBgAAAAAEAAQA9QAAAIgDAAAAAA==&#10;" fillcolor="#6d6e71 [3206]" stroked="f" strokeweight="2pt">
                  <v:textbox>
                    <w:txbxContent>
                      <w:p w14:paraId="28CCEA14" w14:textId="77777777" w:rsidR="00D17FEA" w:rsidRPr="00056F55" w:rsidRDefault="00D17FEA" w:rsidP="00F72C4A">
                        <w:pPr>
                          <w:pStyle w:val="NormalWeb"/>
                          <w:spacing w:before="0" w:beforeAutospacing="0" w:after="160" w:afterAutospacing="0" w:line="256" w:lineRule="auto"/>
                          <w:jc w:val="center"/>
                          <w:rPr>
                            <w:sz w:val="22"/>
                          </w:rPr>
                        </w:pPr>
                        <w:r w:rsidRPr="00056F55">
                          <w:rPr>
                            <w:rFonts w:asciiTheme="minorHAnsi" w:eastAsia="Calibri" w:hAnsi="Calibri"/>
                            <w:b/>
                            <w:bCs/>
                            <w:color w:val="FFFFFF" w:themeColor="light1"/>
                            <w:kern w:val="24"/>
                            <w:sz w:val="28"/>
                            <w:szCs w:val="32"/>
                          </w:rPr>
                          <w:t>Employee Compensation</w:t>
                        </w:r>
                      </w:p>
                    </w:txbxContent>
                  </v:textbox>
                </v:rect>
                <w10:wrap anchorx="margin"/>
              </v:group>
            </w:pict>
          </mc:Fallback>
        </mc:AlternateContent>
      </w:r>
    </w:p>
    <w:p w14:paraId="6BA8BCE2" w14:textId="64720BC2" w:rsidR="00F72C4A" w:rsidRDefault="00F72C4A" w:rsidP="00A74D2A"/>
    <w:p w14:paraId="2E6F2807" w14:textId="0B0C1E9F" w:rsidR="00F72C4A" w:rsidRDefault="00F72C4A" w:rsidP="00A74D2A"/>
    <w:p w14:paraId="09C609F8" w14:textId="77777777" w:rsidR="00F72C4A" w:rsidRDefault="00F72C4A" w:rsidP="00A74D2A"/>
    <w:p w14:paraId="6D35CA32" w14:textId="77777777" w:rsidR="00F72C4A" w:rsidRDefault="00F72C4A" w:rsidP="00A74D2A"/>
    <w:p w14:paraId="2859ADA7" w14:textId="77777777" w:rsidR="00F72C4A" w:rsidRDefault="00F72C4A" w:rsidP="00A74D2A"/>
    <w:p w14:paraId="309E79FA" w14:textId="75C9079C" w:rsidR="00F72C4A" w:rsidRPr="00A74D2A" w:rsidRDefault="00F72C4A" w:rsidP="00A74D2A"/>
    <w:p w14:paraId="6809AADF" w14:textId="77777777" w:rsidR="00E423BE" w:rsidRDefault="00E423BE" w:rsidP="004C61AB">
      <w:pPr>
        <w:spacing w:before="60" w:after="120"/>
        <w:jc w:val="right"/>
        <w:rPr>
          <w:rStyle w:val="SubtleEmphasis"/>
          <w:sz w:val="18"/>
        </w:rPr>
      </w:pPr>
    </w:p>
    <w:p w14:paraId="337E2108" w14:textId="51A7C292" w:rsidR="00291A61" w:rsidRPr="004C61AB" w:rsidRDefault="00291A61" w:rsidP="004C61AB">
      <w:pPr>
        <w:spacing w:before="60" w:after="120"/>
        <w:jc w:val="right"/>
        <w:rPr>
          <w:i/>
          <w:iCs/>
          <w:color w:val="404040" w:themeColor="text1" w:themeTint="BF"/>
          <w:sz w:val="18"/>
        </w:rPr>
      </w:pPr>
      <w:r w:rsidRPr="00F07A7B">
        <w:rPr>
          <w:rStyle w:val="SubtleEmphasis"/>
          <w:sz w:val="18"/>
        </w:rPr>
        <w:t>Source: ONS, FAME, Cebr analysis</w:t>
      </w:r>
    </w:p>
    <w:bookmarkStart w:id="132" w:name="_Ref485315379"/>
    <w:p w14:paraId="08C5EDBA" w14:textId="77777777" w:rsidR="004C61AB" w:rsidRDefault="00F075F8" w:rsidP="00F075F8">
      <w:pPr>
        <w:spacing w:after="120"/>
      </w:pPr>
      <w:r>
        <w:fldChar w:fldCharType="begin"/>
      </w:r>
      <w:r>
        <w:instrText xml:space="preserve"> REF _Ref499907831 \h </w:instrText>
      </w:r>
      <w:r>
        <w:fldChar w:fldCharType="separate"/>
      </w:r>
      <w:r w:rsidR="00D17FEA">
        <w:t xml:space="preserve">Table </w:t>
      </w:r>
      <w:r w:rsidR="00D17FEA">
        <w:rPr>
          <w:noProof/>
        </w:rPr>
        <w:t>21</w:t>
      </w:r>
      <w:r>
        <w:fldChar w:fldCharType="end"/>
      </w:r>
      <w:r>
        <w:t xml:space="preserve"> </w:t>
      </w:r>
      <w:r w:rsidR="007749EF">
        <w:t xml:space="preserve">below </w:t>
      </w:r>
      <w:r w:rsidR="00605F3E">
        <w:t>disaggregates the direct, indirect, induced and total impacts on the compensation of employees by Maritime industry and Portsmouth Naval Base.</w:t>
      </w:r>
      <w:bookmarkEnd w:id="132"/>
    </w:p>
    <w:p w14:paraId="2C3DA66E" w14:textId="60067420" w:rsidR="00F075F8" w:rsidRDefault="00F075F8" w:rsidP="00F075F8">
      <w:pPr>
        <w:pStyle w:val="Caption"/>
        <w:keepNext/>
      </w:pPr>
      <w:bookmarkStart w:id="133" w:name="_Ref499907831"/>
      <w:r>
        <w:t xml:space="preserve">Table </w:t>
      </w:r>
      <w:r w:rsidR="00F604FD">
        <w:rPr>
          <w:noProof/>
        </w:rPr>
        <w:fldChar w:fldCharType="begin"/>
      </w:r>
      <w:r w:rsidR="00F604FD">
        <w:rPr>
          <w:noProof/>
        </w:rPr>
        <w:instrText xml:space="preserve"> SEQ Table \* ARABIC </w:instrText>
      </w:r>
      <w:r w:rsidR="00F604FD">
        <w:rPr>
          <w:noProof/>
        </w:rPr>
        <w:fldChar w:fldCharType="separate"/>
      </w:r>
      <w:r w:rsidR="00D17FEA">
        <w:rPr>
          <w:noProof/>
        </w:rPr>
        <w:t>21</w:t>
      </w:r>
      <w:r w:rsidR="00F604FD">
        <w:rPr>
          <w:noProof/>
        </w:rPr>
        <w:fldChar w:fldCharType="end"/>
      </w:r>
      <w:bookmarkEnd w:id="133"/>
      <w:r>
        <w:t xml:space="preserve">: </w:t>
      </w:r>
      <w:r w:rsidRPr="00B277F1">
        <w:t>Empl</w:t>
      </w:r>
      <w:r w:rsidR="0070662C">
        <w:t>oyee compensation impact in 2017</w:t>
      </w:r>
      <w:r w:rsidRPr="00B277F1">
        <w:t>, £ million</w:t>
      </w:r>
    </w:p>
    <w:tbl>
      <w:tblPr>
        <w:tblW w:w="9470" w:type="dxa"/>
        <w:tblLook w:val="04A0" w:firstRow="1" w:lastRow="0" w:firstColumn="1" w:lastColumn="0" w:noHBand="0" w:noVBand="1"/>
      </w:tblPr>
      <w:tblGrid>
        <w:gridCol w:w="3261"/>
        <w:gridCol w:w="1448"/>
        <w:gridCol w:w="1587"/>
        <w:gridCol w:w="1587"/>
        <w:gridCol w:w="1587"/>
      </w:tblGrid>
      <w:tr w:rsidR="00641D75" w:rsidRPr="00641D75" w14:paraId="42428928" w14:textId="77777777" w:rsidTr="0080602B">
        <w:trPr>
          <w:trHeight w:val="20"/>
        </w:trPr>
        <w:tc>
          <w:tcPr>
            <w:tcW w:w="3261" w:type="dxa"/>
            <w:tcBorders>
              <w:top w:val="single" w:sz="8" w:space="0" w:color="FFFFFF"/>
              <w:left w:val="nil"/>
              <w:bottom w:val="single" w:sz="12" w:space="0" w:color="FFFFFF"/>
              <w:right w:val="single" w:sz="8" w:space="0" w:color="FFFFFF"/>
            </w:tcBorders>
            <w:shd w:val="clear" w:color="000000" w:fill="008C9B"/>
            <w:vAlign w:val="center"/>
            <w:hideMark/>
          </w:tcPr>
          <w:p w14:paraId="5C66D94C" w14:textId="77777777" w:rsidR="00641D75" w:rsidRPr="00641D75" w:rsidRDefault="00641D75" w:rsidP="00641D75">
            <w:pPr>
              <w:spacing w:after="0"/>
              <w:rPr>
                <w:rFonts w:ascii="Calibri" w:eastAsia="Times New Roman" w:hAnsi="Calibri"/>
                <w:b/>
                <w:bCs/>
                <w:color w:val="FFFFFF"/>
                <w:sz w:val="20"/>
                <w:lang w:eastAsia="en-GB"/>
              </w:rPr>
            </w:pPr>
            <w:r w:rsidRPr="00641D75">
              <w:rPr>
                <w:rFonts w:ascii="Calibri" w:eastAsia="Times New Roman" w:hAnsi="Calibri"/>
                <w:b/>
                <w:bCs/>
                <w:color w:val="FFFFFF"/>
                <w:sz w:val="20"/>
                <w:lang w:eastAsia="en-GB"/>
              </w:rPr>
              <w:t>Compensation of Employees in 2017</w:t>
            </w:r>
          </w:p>
        </w:tc>
        <w:tc>
          <w:tcPr>
            <w:tcW w:w="1448" w:type="dxa"/>
            <w:tcBorders>
              <w:top w:val="single" w:sz="8" w:space="0" w:color="FFFFFF"/>
              <w:left w:val="nil"/>
              <w:bottom w:val="single" w:sz="12" w:space="0" w:color="FFFFFF"/>
              <w:right w:val="single" w:sz="8" w:space="0" w:color="FFFFFF"/>
            </w:tcBorders>
            <w:shd w:val="clear" w:color="000000" w:fill="008C9B"/>
            <w:vAlign w:val="center"/>
            <w:hideMark/>
          </w:tcPr>
          <w:p w14:paraId="70AB2720" w14:textId="77777777" w:rsidR="00641D75" w:rsidRPr="00641D75" w:rsidRDefault="00641D75" w:rsidP="00641D75">
            <w:pPr>
              <w:spacing w:after="0"/>
              <w:jc w:val="center"/>
              <w:rPr>
                <w:rFonts w:ascii="Calibri" w:eastAsia="Times New Roman" w:hAnsi="Calibri"/>
                <w:b/>
                <w:bCs/>
                <w:color w:val="FFFFFF"/>
                <w:sz w:val="20"/>
                <w:lang w:eastAsia="en-GB"/>
              </w:rPr>
            </w:pPr>
            <w:r w:rsidRPr="00641D75">
              <w:rPr>
                <w:rFonts w:ascii="Calibri" w:eastAsia="Times New Roman" w:hAnsi="Calibri"/>
                <w:b/>
                <w:bCs/>
                <w:color w:val="FFFFFF"/>
                <w:sz w:val="20"/>
                <w:lang w:eastAsia="en-GB"/>
              </w:rPr>
              <w:t xml:space="preserve">Direct Impact (£m)    </w:t>
            </w:r>
          </w:p>
        </w:tc>
        <w:tc>
          <w:tcPr>
            <w:tcW w:w="1587" w:type="dxa"/>
            <w:tcBorders>
              <w:top w:val="single" w:sz="8" w:space="0" w:color="FFFFFF"/>
              <w:left w:val="nil"/>
              <w:bottom w:val="single" w:sz="12" w:space="0" w:color="FFFFFF"/>
              <w:right w:val="single" w:sz="8" w:space="0" w:color="FFFFFF"/>
            </w:tcBorders>
            <w:shd w:val="clear" w:color="000000" w:fill="008C9B"/>
            <w:vAlign w:val="center"/>
            <w:hideMark/>
          </w:tcPr>
          <w:p w14:paraId="7108F3C1" w14:textId="77777777" w:rsidR="00641D75" w:rsidRPr="00641D75" w:rsidRDefault="00641D75" w:rsidP="00641D75">
            <w:pPr>
              <w:spacing w:after="0"/>
              <w:jc w:val="center"/>
              <w:rPr>
                <w:rFonts w:ascii="Calibri" w:eastAsia="Times New Roman" w:hAnsi="Calibri"/>
                <w:b/>
                <w:bCs/>
                <w:color w:val="FFFFFF"/>
                <w:sz w:val="20"/>
                <w:lang w:eastAsia="en-GB"/>
              </w:rPr>
            </w:pPr>
            <w:r w:rsidRPr="00641D75">
              <w:rPr>
                <w:rFonts w:ascii="Calibri" w:eastAsia="Times New Roman" w:hAnsi="Calibri"/>
                <w:b/>
                <w:bCs/>
                <w:color w:val="FFFFFF"/>
                <w:sz w:val="20"/>
                <w:lang w:eastAsia="en-GB"/>
              </w:rPr>
              <w:t xml:space="preserve">Indirect Impact (£m)    </w:t>
            </w:r>
          </w:p>
        </w:tc>
        <w:tc>
          <w:tcPr>
            <w:tcW w:w="1587" w:type="dxa"/>
            <w:tcBorders>
              <w:top w:val="single" w:sz="8" w:space="0" w:color="FFFFFF"/>
              <w:left w:val="nil"/>
              <w:bottom w:val="single" w:sz="12" w:space="0" w:color="FFFFFF"/>
              <w:right w:val="single" w:sz="8" w:space="0" w:color="FFFFFF"/>
            </w:tcBorders>
            <w:shd w:val="clear" w:color="000000" w:fill="008C9B"/>
            <w:vAlign w:val="center"/>
            <w:hideMark/>
          </w:tcPr>
          <w:p w14:paraId="7F7C1A23" w14:textId="77777777" w:rsidR="00641D75" w:rsidRPr="00641D75" w:rsidRDefault="00641D75" w:rsidP="00641D75">
            <w:pPr>
              <w:spacing w:after="0"/>
              <w:jc w:val="center"/>
              <w:rPr>
                <w:rFonts w:ascii="Calibri" w:eastAsia="Times New Roman" w:hAnsi="Calibri"/>
                <w:b/>
                <w:bCs/>
                <w:color w:val="FFFFFF"/>
                <w:sz w:val="20"/>
                <w:lang w:eastAsia="en-GB"/>
              </w:rPr>
            </w:pPr>
            <w:r w:rsidRPr="00641D75">
              <w:rPr>
                <w:rFonts w:ascii="Calibri" w:eastAsia="Times New Roman" w:hAnsi="Calibri"/>
                <w:b/>
                <w:bCs/>
                <w:color w:val="FFFFFF"/>
                <w:sz w:val="20"/>
                <w:lang w:eastAsia="en-GB"/>
              </w:rPr>
              <w:t>Induced Impact (£m)</w:t>
            </w:r>
          </w:p>
        </w:tc>
        <w:tc>
          <w:tcPr>
            <w:tcW w:w="1587" w:type="dxa"/>
            <w:tcBorders>
              <w:top w:val="single" w:sz="8" w:space="0" w:color="FFFFFF"/>
              <w:left w:val="nil"/>
              <w:bottom w:val="single" w:sz="12" w:space="0" w:color="FFFFFF"/>
              <w:right w:val="single" w:sz="8" w:space="0" w:color="FFFFFF"/>
            </w:tcBorders>
            <w:shd w:val="clear" w:color="000000" w:fill="008C9B"/>
            <w:vAlign w:val="center"/>
            <w:hideMark/>
          </w:tcPr>
          <w:p w14:paraId="5703A7A0" w14:textId="77777777" w:rsidR="00641D75" w:rsidRPr="00641D75" w:rsidRDefault="00641D75" w:rsidP="00641D75">
            <w:pPr>
              <w:spacing w:after="0"/>
              <w:jc w:val="center"/>
              <w:rPr>
                <w:rFonts w:ascii="Calibri" w:eastAsia="Times New Roman" w:hAnsi="Calibri"/>
                <w:b/>
                <w:bCs/>
                <w:color w:val="FFFFFF"/>
                <w:sz w:val="20"/>
                <w:lang w:eastAsia="en-GB"/>
              </w:rPr>
            </w:pPr>
            <w:r w:rsidRPr="00641D75">
              <w:rPr>
                <w:rFonts w:ascii="Calibri" w:eastAsia="Times New Roman" w:hAnsi="Calibri"/>
                <w:b/>
                <w:bCs/>
                <w:color w:val="FFFFFF"/>
                <w:sz w:val="20"/>
                <w:lang w:eastAsia="en-GB"/>
              </w:rPr>
              <w:t>Total Impact (£m)</w:t>
            </w:r>
          </w:p>
        </w:tc>
      </w:tr>
      <w:tr w:rsidR="00641D75" w:rsidRPr="00641D75" w14:paraId="58D3335F" w14:textId="77777777" w:rsidTr="0080602B">
        <w:trPr>
          <w:trHeight w:val="20"/>
        </w:trPr>
        <w:tc>
          <w:tcPr>
            <w:tcW w:w="3261" w:type="dxa"/>
            <w:tcBorders>
              <w:top w:val="nil"/>
              <w:left w:val="single" w:sz="8" w:space="0" w:color="FFFFFF"/>
              <w:bottom w:val="single" w:sz="8" w:space="0" w:color="FFFFFF"/>
              <w:right w:val="single" w:sz="8" w:space="0" w:color="FFFFFF"/>
            </w:tcBorders>
            <w:shd w:val="clear" w:color="000000" w:fill="008C9B"/>
            <w:vAlign w:val="bottom"/>
            <w:hideMark/>
          </w:tcPr>
          <w:p w14:paraId="0D9489D1" w14:textId="77777777" w:rsidR="00641D75" w:rsidRPr="00641D75" w:rsidRDefault="00641D75" w:rsidP="00641D75">
            <w:pPr>
              <w:spacing w:after="0"/>
              <w:rPr>
                <w:rFonts w:ascii="Calibri" w:eastAsia="Times New Roman" w:hAnsi="Calibri"/>
                <w:b/>
                <w:bCs/>
                <w:color w:val="FFFFFF"/>
                <w:sz w:val="20"/>
                <w:lang w:eastAsia="en-GB"/>
              </w:rPr>
            </w:pPr>
            <w:r w:rsidRPr="00641D75">
              <w:rPr>
                <w:rFonts w:ascii="Calibri" w:eastAsia="Times New Roman" w:hAnsi="Calibri"/>
                <w:b/>
                <w:bCs/>
                <w:color w:val="FFFFFF"/>
                <w:sz w:val="20"/>
                <w:lang w:eastAsia="en-GB"/>
              </w:rPr>
              <w:t>TOTAL</w:t>
            </w:r>
          </w:p>
        </w:tc>
        <w:tc>
          <w:tcPr>
            <w:tcW w:w="1448" w:type="dxa"/>
            <w:tcBorders>
              <w:top w:val="nil"/>
              <w:left w:val="nil"/>
              <w:bottom w:val="single" w:sz="8" w:space="0" w:color="FFFFFF"/>
              <w:right w:val="single" w:sz="8" w:space="0" w:color="FFFFFF"/>
            </w:tcBorders>
            <w:shd w:val="clear" w:color="000000" w:fill="E7EEEF"/>
            <w:vAlign w:val="center"/>
            <w:hideMark/>
          </w:tcPr>
          <w:p w14:paraId="1677D8F1"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1,093</w:t>
            </w:r>
          </w:p>
        </w:tc>
        <w:tc>
          <w:tcPr>
            <w:tcW w:w="1587" w:type="dxa"/>
            <w:tcBorders>
              <w:top w:val="nil"/>
              <w:left w:val="nil"/>
              <w:bottom w:val="single" w:sz="8" w:space="0" w:color="FFFFFF"/>
              <w:right w:val="single" w:sz="8" w:space="0" w:color="FFFFFF"/>
            </w:tcBorders>
            <w:shd w:val="clear" w:color="000000" w:fill="E7EEEF"/>
            <w:vAlign w:val="center"/>
            <w:hideMark/>
          </w:tcPr>
          <w:p w14:paraId="0ECA4A01"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973</w:t>
            </w:r>
          </w:p>
        </w:tc>
        <w:tc>
          <w:tcPr>
            <w:tcW w:w="1587" w:type="dxa"/>
            <w:tcBorders>
              <w:top w:val="nil"/>
              <w:left w:val="nil"/>
              <w:bottom w:val="single" w:sz="8" w:space="0" w:color="FFFFFF"/>
              <w:right w:val="single" w:sz="8" w:space="0" w:color="FFFFFF"/>
            </w:tcBorders>
            <w:shd w:val="clear" w:color="000000" w:fill="E7EEEF"/>
            <w:vAlign w:val="center"/>
            <w:hideMark/>
          </w:tcPr>
          <w:p w14:paraId="0185C18A"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451</w:t>
            </w:r>
          </w:p>
        </w:tc>
        <w:tc>
          <w:tcPr>
            <w:tcW w:w="1587" w:type="dxa"/>
            <w:tcBorders>
              <w:top w:val="nil"/>
              <w:left w:val="nil"/>
              <w:bottom w:val="single" w:sz="8" w:space="0" w:color="FFFFFF"/>
              <w:right w:val="single" w:sz="8" w:space="0" w:color="FFFFFF"/>
            </w:tcBorders>
            <w:shd w:val="clear" w:color="000000" w:fill="E7EEEF"/>
            <w:vAlign w:val="center"/>
            <w:hideMark/>
          </w:tcPr>
          <w:p w14:paraId="035E6EF4"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2,517</w:t>
            </w:r>
          </w:p>
        </w:tc>
      </w:tr>
      <w:tr w:rsidR="00641D75" w:rsidRPr="00641D75" w14:paraId="52D38488" w14:textId="77777777" w:rsidTr="0080602B">
        <w:trPr>
          <w:trHeight w:val="20"/>
        </w:trPr>
        <w:tc>
          <w:tcPr>
            <w:tcW w:w="3261" w:type="dxa"/>
            <w:tcBorders>
              <w:top w:val="nil"/>
              <w:left w:val="single" w:sz="8" w:space="0" w:color="FFFFFF"/>
              <w:bottom w:val="single" w:sz="8" w:space="0" w:color="FFFFFF"/>
              <w:right w:val="single" w:sz="8" w:space="0" w:color="FFFFFF"/>
            </w:tcBorders>
            <w:shd w:val="clear" w:color="000000" w:fill="008C9B"/>
            <w:vAlign w:val="bottom"/>
            <w:hideMark/>
          </w:tcPr>
          <w:p w14:paraId="3966B9B5" w14:textId="77777777" w:rsidR="00641D75" w:rsidRPr="00641D75" w:rsidRDefault="00641D75" w:rsidP="00641D75">
            <w:pPr>
              <w:spacing w:after="0"/>
              <w:rPr>
                <w:rFonts w:ascii="Calibri" w:eastAsia="Times New Roman" w:hAnsi="Calibri"/>
                <w:color w:val="FFFFFF"/>
                <w:sz w:val="20"/>
                <w:lang w:eastAsia="en-GB"/>
              </w:rPr>
            </w:pPr>
            <w:r w:rsidRPr="00641D75">
              <w:rPr>
                <w:rFonts w:ascii="Calibri" w:eastAsia="Times New Roman" w:hAnsi="Calibri"/>
                <w:color w:val="FFFFFF"/>
                <w:sz w:val="20"/>
                <w:lang w:eastAsia="en-GB"/>
              </w:rPr>
              <w:t>Shipping</w:t>
            </w:r>
          </w:p>
        </w:tc>
        <w:tc>
          <w:tcPr>
            <w:tcW w:w="1448" w:type="dxa"/>
            <w:tcBorders>
              <w:top w:val="nil"/>
              <w:left w:val="nil"/>
              <w:bottom w:val="single" w:sz="8" w:space="0" w:color="FFFFFF"/>
              <w:right w:val="single" w:sz="8" w:space="0" w:color="FFFFFF"/>
            </w:tcBorders>
            <w:shd w:val="clear" w:color="000000" w:fill="D0CECE"/>
            <w:vAlign w:val="center"/>
            <w:hideMark/>
          </w:tcPr>
          <w:p w14:paraId="34EF2873"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301</w:t>
            </w:r>
          </w:p>
        </w:tc>
        <w:tc>
          <w:tcPr>
            <w:tcW w:w="1587" w:type="dxa"/>
            <w:tcBorders>
              <w:top w:val="nil"/>
              <w:left w:val="nil"/>
              <w:bottom w:val="single" w:sz="8" w:space="0" w:color="FFFFFF"/>
              <w:right w:val="single" w:sz="8" w:space="0" w:color="FFFFFF"/>
            </w:tcBorders>
            <w:shd w:val="clear" w:color="000000" w:fill="D0CECE"/>
            <w:vAlign w:val="center"/>
            <w:hideMark/>
          </w:tcPr>
          <w:p w14:paraId="55EF997F"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316</w:t>
            </w:r>
          </w:p>
        </w:tc>
        <w:tc>
          <w:tcPr>
            <w:tcW w:w="1587" w:type="dxa"/>
            <w:tcBorders>
              <w:top w:val="nil"/>
              <w:left w:val="nil"/>
              <w:bottom w:val="single" w:sz="8" w:space="0" w:color="FFFFFF"/>
              <w:right w:val="single" w:sz="8" w:space="0" w:color="FFFFFF"/>
            </w:tcBorders>
            <w:shd w:val="clear" w:color="000000" w:fill="D0CECE"/>
            <w:vAlign w:val="center"/>
            <w:hideMark/>
          </w:tcPr>
          <w:p w14:paraId="63E06F2E"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132</w:t>
            </w:r>
          </w:p>
        </w:tc>
        <w:tc>
          <w:tcPr>
            <w:tcW w:w="1587" w:type="dxa"/>
            <w:tcBorders>
              <w:top w:val="nil"/>
              <w:left w:val="nil"/>
              <w:bottom w:val="single" w:sz="8" w:space="0" w:color="FFFFFF"/>
              <w:right w:val="single" w:sz="8" w:space="0" w:color="FFFFFF"/>
            </w:tcBorders>
            <w:shd w:val="clear" w:color="000000" w:fill="D0CECE"/>
            <w:vAlign w:val="center"/>
            <w:hideMark/>
          </w:tcPr>
          <w:p w14:paraId="341633F1"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750</w:t>
            </w:r>
          </w:p>
        </w:tc>
      </w:tr>
      <w:tr w:rsidR="00641D75" w:rsidRPr="00641D75" w14:paraId="5FC52CAD" w14:textId="77777777" w:rsidTr="0080602B">
        <w:trPr>
          <w:trHeight w:val="20"/>
        </w:trPr>
        <w:tc>
          <w:tcPr>
            <w:tcW w:w="3261" w:type="dxa"/>
            <w:tcBorders>
              <w:top w:val="nil"/>
              <w:left w:val="single" w:sz="8" w:space="0" w:color="FFFFFF"/>
              <w:bottom w:val="single" w:sz="8" w:space="0" w:color="FFFFFF"/>
              <w:right w:val="single" w:sz="8" w:space="0" w:color="FFFFFF"/>
            </w:tcBorders>
            <w:shd w:val="clear" w:color="000000" w:fill="008C9B"/>
            <w:vAlign w:val="bottom"/>
            <w:hideMark/>
          </w:tcPr>
          <w:p w14:paraId="17904966" w14:textId="77777777" w:rsidR="00641D75" w:rsidRPr="00641D75" w:rsidRDefault="00641D75" w:rsidP="00641D75">
            <w:pPr>
              <w:spacing w:after="0"/>
              <w:rPr>
                <w:rFonts w:ascii="Calibri" w:eastAsia="Times New Roman" w:hAnsi="Calibri"/>
                <w:color w:val="FFFFFF"/>
                <w:sz w:val="20"/>
                <w:lang w:eastAsia="en-GB"/>
              </w:rPr>
            </w:pPr>
            <w:r w:rsidRPr="00641D75">
              <w:rPr>
                <w:rFonts w:ascii="Calibri" w:eastAsia="Times New Roman" w:hAnsi="Calibri"/>
                <w:color w:val="FFFFFF"/>
                <w:sz w:val="20"/>
                <w:lang w:eastAsia="en-GB"/>
              </w:rPr>
              <w:t>Ports</w:t>
            </w:r>
          </w:p>
        </w:tc>
        <w:tc>
          <w:tcPr>
            <w:tcW w:w="1448" w:type="dxa"/>
            <w:tcBorders>
              <w:top w:val="nil"/>
              <w:left w:val="nil"/>
              <w:bottom w:val="single" w:sz="8" w:space="0" w:color="FFFFFF"/>
              <w:right w:val="single" w:sz="8" w:space="0" w:color="FFFFFF"/>
            </w:tcBorders>
            <w:shd w:val="clear" w:color="000000" w:fill="E7EEEF"/>
            <w:vAlign w:val="center"/>
            <w:hideMark/>
          </w:tcPr>
          <w:p w14:paraId="155C886D"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147</w:t>
            </w:r>
          </w:p>
        </w:tc>
        <w:tc>
          <w:tcPr>
            <w:tcW w:w="1587" w:type="dxa"/>
            <w:tcBorders>
              <w:top w:val="nil"/>
              <w:left w:val="nil"/>
              <w:bottom w:val="single" w:sz="8" w:space="0" w:color="FFFFFF"/>
              <w:right w:val="single" w:sz="8" w:space="0" w:color="FFFFFF"/>
            </w:tcBorders>
            <w:shd w:val="clear" w:color="000000" w:fill="E7EEEF"/>
            <w:vAlign w:val="center"/>
            <w:hideMark/>
          </w:tcPr>
          <w:p w14:paraId="19EA842F"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148</w:t>
            </w:r>
          </w:p>
        </w:tc>
        <w:tc>
          <w:tcPr>
            <w:tcW w:w="1587" w:type="dxa"/>
            <w:tcBorders>
              <w:top w:val="nil"/>
              <w:left w:val="nil"/>
              <w:bottom w:val="single" w:sz="8" w:space="0" w:color="FFFFFF"/>
              <w:right w:val="single" w:sz="8" w:space="0" w:color="FFFFFF"/>
            </w:tcBorders>
            <w:shd w:val="clear" w:color="000000" w:fill="E7EEEF"/>
            <w:vAlign w:val="center"/>
            <w:hideMark/>
          </w:tcPr>
          <w:p w14:paraId="54DDB698"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64</w:t>
            </w:r>
          </w:p>
        </w:tc>
        <w:tc>
          <w:tcPr>
            <w:tcW w:w="1587" w:type="dxa"/>
            <w:tcBorders>
              <w:top w:val="nil"/>
              <w:left w:val="nil"/>
              <w:bottom w:val="single" w:sz="8" w:space="0" w:color="FFFFFF"/>
              <w:right w:val="single" w:sz="8" w:space="0" w:color="FFFFFF"/>
            </w:tcBorders>
            <w:shd w:val="clear" w:color="000000" w:fill="E7EEEF"/>
            <w:vAlign w:val="center"/>
            <w:hideMark/>
          </w:tcPr>
          <w:p w14:paraId="58B2D5E9"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359</w:t>
            </w:r>
          </w:p>
        </w:tc>
      </w:tr>
      <w:tr w:rsidR="00641D75" w:rsidRPr="00641D75" w14:paraId="25BC802F" w14:textId="77777777" w:rsidTr="0080602B">
        <w:trPr>
          <w:trHeight w:val="20"/>
        </w:trPr>
        <w:tc>
          <w:tcPr>
            <w:tcW w:w="3261" w:type="dxa"/>
            <w:tcBorders>
              <w:top w:val="nil"/>
              <w:left w:val="single" w:sz="8" w:space="0" w:color="FFFFFF"/>
              <w:bottom w:val="single" w:sz="8" w:space="0" w:color="FFFFFF"/>
              <w:right w:val="single" w:sz="8" w:space="0" w:color="FFFFFF"/>
            </w:tcBorders>
            <w:shd w:val="clear" w:color="000000" w:fill="008C9B"/>
            <w:vAlign w:val="bottom"/>
            <w:hideMark/>
          </w:tcPr>
          <w:p w14:paraId="2A4FCB4E" w14:textId="77777777" w:rsidR="00641D75" w:rsidRPr="00641D75" w:rsidRDefault="00641D75" w:rsidP="00641D75">
            <w:pPr>
              <w:spacing w:after="0"/>
              <w:rPr>
                <w:rFonts w:ascii="Calibri" w:eastAsia="Times New Roman" w:hAnsi="Calibri"/>
                <w:color w:val="FFFFFF"/>
                <w:sz w:val="20"/>
                <w:lang w:eastAsia="en-GB"/>
              </w:rPr>
            </w:pPr>
            <w:r w:rsidRPr="00641D75">
              <w:rPr>
                <w:rFonts w:ascii="Calibri" w:eastAsia="Times New Roman" w:hAnsi="Calibri"/>
                <w:color w:val="FFFFFF"/>
                <w:sz w:val="20"/>
                <w:lang w:eastAsia="en-GB"/>
              </w:rPr>
              <w:t>Leisure Marine</w:t>
            </w:r>
          </w:p>
        </w:tc>
        <w:tc>
          <w:tcPr>
            <w:tcW w:w="1448" w:type="dxa"/>
            <w:tcBorders>
              <w:top w:val="nil"/>
              <w:left w:val="nil"/>
              <w:bottom w:val="single" w:sz="8" w:space="0" w:color="FFFFFF"/>
              <w:right w:val="single" w:sz="8" w:space="0" w:color="FFFFFF"/>
            </w:tcBorders>
            <w:shd w:val="clear" w:color="000000" w:fill="D0CECE"/>
            <w:vAlign w:val="center"/>
            <w:hideMark/>
          </w:tcPr>
          <w:p w14:paraId="52373CBC" w14:textId="77777777" w:rsidR="00641D75" w:rsidRPr="002023D7" w:rsidRDefault="00641D75" w:rsidP="00641D75">
            <w:pPr>
              <w:spacing w:after="0"/>
              <w:jc w:val="center"/>
              <w:rPr>
                <w:rFonts w:ascii="Calibri" w:eastAsia="Times New Roman" w:hAnsi="Calibri"/>
                <w:bCs/>
                <w:color w:val="000000"/>
                <w:sz w:val="20"/>
                <w:lang w:eastAsia="en-GB"/>
              </w:rPr>
            </w:pPr>
            <w:r w:rsidRPr="002023D7">
              <w:rPr>
                <w:rFonts w:ascii="Calibri" w:eastAsia="Times New Roman" w:hAnsi="Calibri"/>
                <w:bCs/>
                <w:color w:val="000000"/>
                <w:sz w:val="20"/>
                <w:lang w:eastAsia="en-GB"/>
              </w:rPr>
              <w:t>117</w:t>
            </w:r>
          </w:p>
        </w:tc>
        <w:tc>
          <w:tcPr>
            <w:tcW w:w="1587" w:type="dxa"/>
            <w:tcBorders>
              <w:top w:val="nil"/>
              <w:left w:val="nil"/>
              <w:bottom w:val="single" w:sz="8" w:space="0" w:color="FFFFFF"/>
              <w:right w:val="single" w:sz="8" w:space="0" w:color="FFFFFF"/>
            </w:tcBorders>
            <w:shd w:val="clear" w:color="000000" w:fill="D0CECE"/>
            <w:vAlign w:val="center"/>
            <w:hideMark/>
          </w:tcPr>
          <w:p w14:paraId="2C21EA7D" w14:textId="77777777" w:rsidR="00641D75" w:rsidRPr="002023D7" w:rsidRDefault="00641D75" w:rsidP="00641D75">
            <w:pPr>
              <w:spacing w:after="0"/>
              <w:jc w:val="center"/>
              <w:rPr>
                <w:rFonts w:ascii="Calibri" w:eastAsia="Times New Roman" w:hAnsi="Calibri"/>
                <w:color w:val="000000"/>
                <w:sz w:val="20"/>
                <w:lang w:eastAsia="en-GB"/>
              </w:rPr>
            </w:pPr>
            <w:r w:rsidRPr="002023D7">
              <w:rPr>
                <w:rFonts w:ascii="Calibri" w:eastAsia="Times New Roman" w:hAnsi="Calibri"/>
                <w:color w:val="000000"/>
                <w:sz w:val="20"/>
                <w:lang w:eastAsia="en-GB"/>
              </w:rPr>
              <w:t>87</w:t>
            </w:r>
          </w:p>
        </w:tc>
        <w:tc>
          <w:tcPr>
            <w:tcW w:w="1587" w:type="dxa"/>
            <w:tcBorders>
              <w:top w:val="nil"/>
              <w:left w:val="nil"/>
              <w:bottom w:val="single" w:sz="8" w:space="0" w:color="FFFFFF"/>
              <w:right w:val="single" w:sz="8" w:space="0" w:color="FFFFFF"/>
            </w:tcBorders>
            <w:shd w:val="clear" w:color="000000" w:fill="D0CECE"/>
            <w:vAlign w:val="center"/>
            <w:hideMark/>
          </w:tcPr>
          <w:p w14:paraId="2C2D905B" w14:textId="77777777" w:rsidR="00641D75" w:rsidRPr="002023D7" w:rsidRDefault="00641D75" w:rsidP="00641D75">
            <w:pPr>
              <w:spacing w:after="0"/>
              <w:jc w:val="center"/>
              <w:rPr>
                <w:rFonts w:ascii="Calibri" w:eastAsia="Times New Roman" w:hAnsi="Calibri"/>
                <w:bCs/>
                <w:color w:val="000000"/>
                <w:sz w:val="20"/>
                <w:lang w:eastAsia="en-GB"/>
              </w:rPr>
            </w:pPr>
            <w:r w:rsidRPr="002023D7">
              <w:rPr>
                <w:rFonts w:ascii="Calibri" w:eastAsia="Times New Roman" w:hAnsi="Calibri"/>
                <w:bCs/>
                <w:color w:val="000000"/>
                <w:sz w:val="20"/>
                <w:lang w:eastAsia="en-GB"/>
              </w:rPr>
              <w:t>45</w:t>
            </w:r>
          </w:p>
        </w:tc>
        <w:tc>
          <w:tcPr>
            <w:tcW w:w="1587" w:type="dxa"/>
            <w:tcBorders>
              <w:top w:val="nil"/>
              <w:left w:val="nil"/>
              <w:bottom w:val="single" w:sz="8" w:space="0" w:color="FFFFFF"/>
              <w:right w:val="single" w:sz="8" w:space="0" w:color="FFFFFF"/>
            </w:tcBorders>
            <w:shd w:val="clear" w:color="000000" w:fill="D0CECE"/>
            <w:vAlign w:val="center"/>
            <w:hideMark/>
          </w:tcPr>
          <w:p w14:paraId="6B07CFD1"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249</w:t>
            </w:r>
          </w:p>
        </w:tc>
      </w:tr>
      <w:tr w:rsidR="00641D75" w:rsidRPr="00641D75" w14:paraId="0A98912F" w14:textId="77777777" w:rsidTr="0080602B">
        <w:trPr>
          <w:trHeight w:val="20"/>
        </w:trPr>
        <w:tc>
          <w:tcPr>
            <w:tcW w:w="3261" w:type="dxa"/>
            <w:tcBorders>
              <w:top w:val="nil"/>
              <w:left w:val="single" w:sz="8" w:space="0" w:color="FFFFFF"/>
              <w:bottom w:val="single" w:sz="8" w:space="0" w:color="FFFFFF"/>
              <w:right w:val="single" w:sz="8" w:space="0" w:color="FFFFFF"/>
            </w:tcBorders>
            <w:shd w:val="clear" w:color="000000" w:fill="008C9B"/>
            <w:vAlign w:val="bottom"/>
            <w:hideMark/>
          </w:tcPr>
          <w:p w14:paraId="4B8E5D45" w14:textId="77777777" w:rsidR="00641D75" w:rsidRPr="00641D75" w:rsidRDefault="00641D75" w:rsidP="00641D75">
            <w:pPr>
              <w:spacing w:after="0"/>
              <w:rPr>
                <w:rFonts w:ascii="Calibri" w:eastAsia="Times New Roman" w:hAnsi="Calibri"/>
                <w:color w:val="FFFFFF"/>
                <w:sz w:val="20"/>
                <w:lang w:eastAsia="en-GB"/>
              </w:rPr>
            </w:pPr>
            <w:r w:rsidRPr="00641D75">
              <w:rPr>
                <w:rFonts w:ascii="Calibri" w:eastAsia="Times New Roman" w:hAnsi="Calibri"/>
                <w:color w:val="FFFFFF"/>
                <w:sz w:val="20"/>
                <w:lang w:eastAsia="en-GB"/>
              </w:rPr>
              <w:t>Marine Engineering</w:t>
            </w:r>
          </w:p>
        </w:tc>
        <w:tc>
          <w:tcPr>
            <w:tcW w:w="1448" w:type="dxa"/>
            <w:tcBorders>
              <w:top w:val="nil"/>
              <w:left w:val="nil"/>
              <w:bottom w:val="single" w:sz="8" w:space="0" w:color="FFFFFF"/>
              <w:right w:val="single" w:sz="8" w:space="0" w:color="FFFFFF"/>
            </w:tcBorders>
            <w:shd w:val="clear" w:color="000000" w:fill="E7EEEF"/>
            <w:vAlign w:val="center"/>
            <w:hideMark/>
          </w:tcPr>
          <w:p w14:paraId="2F9D03DF"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34</w:t>
            </w:r>
          </w:p>
        </w:tc>
        <w:tc>
          <w:tcPr>
            <w:tcW w:w="1587" w:type="dxa"/>
            <w:tcBorders>
              <w:top w:val="nil"/>
              <w:left w:val="nil"/>
              <w:bottom w:val="single" w:sz="8" w:space="0" w:color="FFFFFF"/>
              <w:right w:val="single" w:sz="8" w:space="0" w:color="FFFFFF"/>
            </w:tcBorders>
            <w:shd w:val="clear" w:color="000000" w:fill="E7EEEF"/>
            <w:vAlign w:val="center"/>
            <w:hideMark/>
          </w:tcPr>
          <w:p w14:paraId="35AA59C1"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32</w:t>
            </w:r>
          </w:p>
        </w:tc>
        <w:tc>
          <w:tcPr>
            <w:tcW w:w="1587" w:type="dxa"/>
            <w:tcBorders>
              <w:top w:val="nil"/>
              <w:left w:val="nil"/>
              <w:bottom w:val="single" w:sz="8" w:space="0" w:color="FFFFFF"/>
              <w:right w:val="single" w:sz="8" w:space="0" w:color="FFFFFF"/>
            </w:tcBorders>
            <w:shd w:val="clear" w:color="000000" w:fill="E7EEEF"/>
            <w:vAlign w:val="center"/>
            <w:hideMark/>
          </w:tcPr>
          <w:p w14:paraId="63420F7D"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16</w:t>
            </w:r>
          </w:p>
        </w:tc>
        <w:tc>
          <w:tcPr>
            <w:tcW w:w="1587" w:type="dxa"/>
            <w:tcBorders>
              <w:top w:val="nil"/>
              <w:left w:val="nil"/>
              <w:bottom w:val="single" w:sz="8" w:space="0" w:color="FFFFFF"/>
              <w:right w:val="single" w:sz="8" w:space="0" w:color="FFFFFF"/>
            </w:tcBorders>
            <w:shd w:val="clear" w:color="000000" w:fill="E7EEEF"/>
            <w:vAlign w:val="center"/>
            <w:hideMark/>
          </w:tcPr>
          <w:p w14:paraId="78590819"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82</w:t>
            </w:r>
          </w:p>
        </w:tc>
      </w:tr>
      <w:tr w:rsidR="00641D75" w:rsidRPr="00641D75" w14:paraId="7CAA40E2" w14:textId="77777777" w:rsidTr="0080602B">
        <w:trPr>
          <w:trHeight w:val="20"/>
        </w:trPr>
        <w:tc>
          <w:tcPr>
            <w:tcW w:w="3261" w:type="dxa"/>
            <w:tcBorders>
              <w:top w:val="nil"/>
              <w:left w:val="single" w:sz="8" w:space="0" w:color="FFFFFF"/>
              <w:bottom w:val="single" w:sz="8" w:space="0" w:color="FFFFFF"/>
              <w:right w:val="single" w:sz="8" w:space="0" w:color="FFFFFF"/>
            </w:tcBorders>
            <w:shd w:val="clear" w:color="000000" w:fill="008C9B"/>
            <w:vAlign w:val="bottom"/>
            <w:hideMark/>
          </w:tcPr>
          <w:p w14:paraId="1A067358" w14:textId="77777777" w:rsidR="00641D75" w:rsidRPr="00641D75" w:rsidRDefault="00641D75" w:rsidP="00641D75">
            <w:pPr>
              <w:spacing w:after="0"/>
              <w:rPr>
                <w:rFonts w:ascii="Calibri" w:eastAsia="Times New Roman" w:hAnsi="Calibri"/>
                <w:color w:val="FFFFFF"/>
                <w:sz w:val="20"/>
                <w:lang w:eastAsia="en-GB"/>
              </w:rPr>
            </w:pPr>
            <w:r w:rsidRPr="00641D75">
              <w:rPr>
                <w:rFonts w:ascii="Calibri" w:eastAsia="Times New Roman" w:hAnsi="Calibri"/>
                <w:color w:val="FFFFFF"/>
                <w:sz w:val="20"/>
                <w:lang w:eastAsia="en-GB"/>
              </w:rPr>
              <w:t>Maritime Business Services</w:t>
            </w:r>
          </w:p>
        </w:tc>
        <w:tc>
          <w:tcPr>
            <w:tcW w:w="1448" w:type="dxa"/>
            <w:tcBorders>
              <w:top w:val="nil"/>
              <w:left w:val="nil"/>
              <w:bottom w:val="single" w:sz="8" w:space="0" w:color="FFFFFF"/>
              <w:right w:val="single" w:sz="8" w:space="0" w:color="FFFFFF"/>
            </w:tcBorders>
            <w:shd w:val="clear" w:color="000000" w:fill="D0CECE"/>
            <w:vAlign w:val="center"/>
            <w:hideMark/>
          </w:tcPr>
          <w:p w14:paraId="0483C473"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27</w:t>
            </w:r>
          </w:p>
        </w:tc>
        <w:tc>
          <w:tcPr>
            <w:tcW w:w="1587" w:type="dxa"/>
            <w:tcBorders>
              <w:top w:val="nil"/>
              <w:left w:val="nil"/>
              <w:bottom w:val="single" w:sz="8" w:space="0" w:color="FFFFFF"/>
              <w:right w:val="single" w:sz="8" w:space="0" w:color="FFFFFF"/>
            </w:tcBorders>
            <w:shd w:val="clear" w:color="000000" w:fill="D0CECE"/>
            <w:vAlign w:val="center"/>
            <w:hideMark/>
          </w:tcPr>
          <w:p w14:paraId="4E141C36"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38</w:t>
            </w:r>
          </w:p>
        </w:tc>
        <w:tc>
          <w:tcPr>
            <w:tcW w:w="1587" w:type="dxa"/>
            <w:tcBorders>
              <w:top w:val="nil"/>
              <w:left w:val="nil"/>
              <w:bottom w:val="single" w:sz="8" w:space="0" w:color="FFFFFF"/>
              <w:right w:val="single" w:sz="8" w:space="0" w:color="FFFFFF"/>
            </w:tcBorders>
            <w:shd w:val="clear" w:color="000000" w:fill="D0CECE"/>
            <w:vAlign w:val="center"/>
            <w:hideMark/>
          </w:tcPr>
          <w:p w14:paraId="748B1270"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14</w:t>
            </w:r>
          </w:p>
        </w:tc>
        <w:tc>
          <w:tcPr>
            <w:tcW w:w="1587" w:type="dxa"/>
            <w:tcBorders>
              <w:top w:val="nil"/>
              <w:left w:val="nil"/>
              <w:bottom w:val="single" w:sz="8" w:space="0" w:color="FFFFFF"/>
              <w:right w:val="single" w:sz="8" w:space="0" w:color="FFFFFF"/>
            </w:tcBorders>
            <w:shd w:val="clear" w:color="000000" w:fill="D0CECE"/>
            <w:vAlign w:val="center"/>
            <w:hideMark/>
          </w:tcPr>
          <w:p w14:paraId="164F5631"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79</w:t>
            </w:r>
          </w:p>
        </w:tc>
      </w:tr>
      <w:tr w:rsidR="00641D75" w:rsidRPr="00641D75" w14:paraId="0E0E7D9F" w14:textId="77777777" w:rsidTr="0080602B">
        <w:trPr>
          <w:trHeight w:val="20"/>
        </w:trPr>
        <w:tc>
          <w:tcPr>
            <w:tcW w:w="3261" w:type="dxa"/>
            <w:tcBorders>
              <w:top w:val="nil"/>
              <w:left w:val="single" w:sz="8" w:space="0" w:color="FFFFFF"/>
              <w:bottom w:val="single" w:sz="8" w:space="0" w:color="FFFFFF"/>
              <w:right w:val="single" w:sz="8" w:space="0" w:color="FFFFFF"/>
            </w:tcBorders>
            <w:shd w:val="clear" w:color="000000" w:fill="008C9B"/>
            <w:vAlign w:val="bottom"/>
            <w:hideMark/>
          </w:tcPr>
          <w:p w14:paraId="2A8808F3" w14:textId="77777777" w:rsidR="00641D75" w:rsidRPr="00641D75" w:rsidRDefault="00641D75" w:rsidP="00641D75">
            <w:pPr>
              <w:spacing w:after="0"/>
              <w:rPr>
                <w:rFonts w:ascii="Calibri" w:eastAsia="Times New Roman" w:hAnsi="Calibri"/>
                <w:color w:val="FFFFFF"/>
                <w:sz w:val="20"/>
                <w:lang w:eastAsia="en-GB"/>
              </w:rPr>
            </w:pPr>
            <w:r w:rsidRPr="00641D75">
              <w:rPr>
                <w:rFonts w:ascii="Calibri" w:eastAsia="Times New Roman" w:hAnsi="Calibri"/>
                <w:color w:val="FFFFFF"/>
                <w:sz w:val="20"/>
                <w:lang w:eastAsia="en-GB"/>
              </w:rPr>
              <w:t>Portsmouth Naval Base</w:t>
            </w:r>
          </w:p>
        </w:tc>
        <w:tc>
          <w:tcPr>
            <w:tcW w:w="1448" w:type="dxa"/>
            <w:tcBorders>
              <w:top w:val="nil"/>
              <w:left w:val="nil"/>
              <w:bottom w:val="single" w:sz="8" w:space="0" w:color="FFFFFF"/>
              <w:right w:val="single" w:sz="8" w:space="0" w:color="FFFFFF"/>
            </w:tcBorders>
            <w:shd w:val="clear" w:color="000000" w:fill="E7EEEF"/>
            <w:vAlign w:val="center"/>
            <w:hideMark/>
          </w:tcPr>
          <w:p w14:paraId="3FCC2D04"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468</w:t>
            </w:r>
          </w:p>
        </w:tc>
        <w:tc>
          <w:tcPr>
            <w:tcW w:w="1587" w:type="dxa"/>
            <w:tcBorders>
              <w:top w:val="nil"/>
              <w:left w:val="nil"/>
              <w:bottom w:val="single" w:sz="8" w:space="0" w:color="FFFFFF"/>
              <w:right w:val="single" w:sz="8" w:space="0" w:color="FFFFFF"/>
            </w:tcBorders>
            <w:shd w:val="clear" w:color="000000" w:fill="E7EEEF"/>
            <w:vAlign w:val="center"/>
            <w:hideMark/>
          </w:tcPr>
          <w:p w14:paraId="16E7CB05"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350</w:t>
            </w:r>
          </w:p>
        </w:tc>
        <w:tc>
          <w:tcPr>
            <w:tcW w:w="1587" w:type="dxa"/>
            <w:tcBorders>
              <w:top w:val="nil"/>
              <w:left w:val="nil"/>
              <w:bottom w:val="single" w:sz="8" w:space="0" w:color="FFFFFF"/>
              <w:right w:val="single" w:sz="8" w:space="0" w:color="FFFFFF"/>
            </w:tcBorders>
            <w:shd w:val="clear" w:color="000000" w:fill="E7EEEF"/>
            <w:vAlign w:val="center"/>
            <w:hideMark/>
          </w:tcPr>
          <w:p w14:paraId="55644D1E"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180</w:t>
            </w:r>
          </w:p>
        </w:tc>
        <w:tc>
          <w:tcPr>
            <w:tcW w:w="1587" w:type="dxa"/>
            <w:tcBorders>
              <w:top w:val="nil"/>
              <w:left w:val="nil"/>
              <w:bottom w:val="single" w:sz="8" w:space="0" w:color="FFFFFF"/>
              <w:right w:val="single" w:sz="8" w:space="0" w:color="FFFFFF"/>
            </w:tcBorders>
            <w:shd w:val="clear" w:color="000000" w:fill="E7EEEF"/>
            <w:vAlign w:val="center"/>
            <w:hideMark/>
          </w:tcPr>
          <w:p w14:paraId="03EF4AA0" w14:textId="77777777" w:rsidR="00641D75" w:rsidRPr="00641D75" w:rsidRDefault="00641D75" w:rsidP="00641D75">
            <w:pPr>
              <w:spacing w:after="0"/>
              <w:jc w:val="center"/>
              <w:rPr>
                <w:rFonts w:ascii="Calibri" w:eastAsia="Times New Roman" w:hAnsi="Calibri"/>
                <w:color w:val="000000"/>
                <w:sz w:val="20"/>
                <w:lang w:eastAsia="en-GB"/>
              </w:rPr>
            </w:pPr>
            <w:r w:rsidRPr="00641D75">
              <w:rPr>
                <w:rFonts w:ascii="Calibri" w:eastAsia="Times New Roman" w:hAnsi="Calibri"/>
                <w:color w:val="000000"/>
                <w:sz w:val="20"/>
                <w:lang w:eastAsia="en-GB"/>
              </w:rPr>
              <w:t>999</w:t>
            </w:r>
          </w:p>
        </w:tc>
      </w:tr>
    </w:tbl>
    <w:p w14:paraId="74844856" w14:textId="0CEF327F" w:rsidR="00291A61" w:rsidRPr="00B86153" w:rsidRDefault="00B16126" w:rsidP="00A74D2A">
      <w:pPr>
        <w:spacing w:before="60" w:after="120"/>
        <w:rPr>
          <w:i/>
        </w:rPr>
      </w:pPr>
      <w:r>
        <w:rPr>
          <w:rStyle w:val="SubtleEmphasis"/>
          <w:sz w:val="18"/>
        </w:rPr>
        <w:tab/>
      </w:r>
      <w:r>
        <w:rPr>
          <w:rStyle w:val="SubtleEmphasis"/>
          <w:sz w:val="18"/>
        </w:rPr>
        <w:tab/>
      </w:r>
      <w:r>
        <w:rPr>
          <w:rStyle w:val="SubtleEmphasis"/>
          <w:sz w:val="18"/>
        </w:rPr>
        <w:tab/>
      </w:r>
      <w:r>
        <w:rPr>
          <w:rStyle w:val="SubtleEmphasis"/>
          <w:sz w:val="18"/>
        </w:rPr>
        <w:tab/>
      </w:r>
      <w:r>
        <w:rPr>
          <w:rStyle w:val="SubtleEmphasis"/>
          <w:sz w:val="18"/>
        </w:rPr>
        <w:tab/>
      </w:r>
      <w:r>
        <w:rPr>
          <w:rStyle w:val="SubtleEmphasis"/>
          <w:sz w:val="18"/>
        </w:rPr>
        <w:tab/>
      </w:r>
      <w:r>
        <w:rPr>
          <w:rStyle w:val="SubtleEmphasis"/>
          <w:sz w:val="18"/>
        </w:rPr>
        <w:tab/>
      </w:r>
      <w:r>
        <w:rPr>
          <w:rStyle w:val="SubtleEmphasis"/>
          <w:sz w:val="18"/>
        </w:rPr>
        <w:tab/>
      </w:r>
      <w:r>
        <w:rPr>
          <w:rStyle w:val="SubtleEmphasis"/>
          <w:sz w:val="18"/>
        </w:rPr>
        <w:tab/>
        <w:t xml:space="preserve">              </w:t>
      </w:r>
      <w:r w:rsidR="00291A61" w:rsidRPr="00095712">
        <w:rPr>
          <w:rStyle w:val="SubtleEmphasis"/>
          <w:sz w:val="18"/>
        </w:rPr>
        <w:t>Source: ONS, FAME, Cebr analysis</w:t>
      </w:r>
    </w:p>
    <w:p w14:paraId="1713BF0E" w14:textId="2379B209" w:rsidR="00605F3E" w:rsidRDefault="00605F3E" w:rsidP="000B472F">
      <w:r>
        <w:t>We estimate that the Maritime sector and Portsmouth Naval Base directly and indirectly supported a total of £</w:t>
      </w:r>
      <w:r w:rsidR="00CC6DC3">
        <w:t>2.</w:t>
      </w:r>
      <w:r w:rsidR="0070662C">
        <w:t>5</w:t>
      </w:r>
      <w:r w:rsidR="00264A2F">
        <w:t xml:space="preserve"> </w:t>
      </w:r>
      <w:r>
        <w:t xml:space="preserve">billion </w:t>
      </w:r>
      <w:r w:rsidR="0070662C">
        <w:t>in employee compensation in 2017</w:t>
      </w:r>
      <w:r>
        <w:t xml:space="preserve">, with the majority of this total contribution sourced from </w:t>
      </w:r>
      <w:r w:rsidR="00264A2F">
        <w:t>Portsmouth Naval Base</w:t>
      </w:r>
      <w:r w:rsidR="00CC6DC3">
        <w:t xml:space="preserve"> (3</w:t>
      </w:r>
      <w:r w:rsidR="009D3144">
        <w:t>9</w:t>
      </w:r>
      <w:r w:rsidR="00CC6DC3">
        <w:t>%)</w:t>
      </w:r>
      <w:r w:rsidR="00264A2F">
        <w:t xml:space="preserve"> and </w:t>
      </w:r>
      <w:r>
        <w:t xml:space="preserve">the </w:t>
      </w:r>
      <w:r w:rsidR="0070662C">
        <w:t>Shipping</w:t>
      </w:r>
      <w:r>
        <w:t xml:space="preserve"> indust</w:t>
      </w:r>
      <w:r w:rsidR="00264A2F">
        <w:t>ry</w:t>
      </w:r>
      <w:r w:rsidR="00CC6DC3">
        <w:t xml:space="preserve"> (</w:t>
      </w:r>
      <w:r w:rsidR="0070662C">
        <w:t>30</w:t>
      </w:r>
      <w:r w:rsidR="00CC6DC3">
        <w:t>%)</w:t>
      </w:r>
      <w:r>
        <w:t xml:space="preserve">. </w:t>
      </w:r>
    </w:p>
    <w:p w14:paraId="591A2446" w14:textId="52ED1DB6" w:rsidR="00AD1337" w:rsidRDefault="00CC6DC3" w:rsidP="000B472F">
      <w:pPr>
        <w:spacing w:after="120"/>
      </w:pPr>
      <w:r>
        <w:fldChar w:fldCharType="begin"/>
      </w:r>
      <w:r>
        <w:instrText xml:space="preserve"> REF _Ref506281709 \h </w:instrText>
      </w:r>
      <w:r w:rsidR="000B472F">
        <w:instrText xml:space="preserve"> \* MERGEFORMAT </w:instrText>
      </w:r>
      <w:r>
        <w:fldChar w:fldCharType="separate"/>
      </w:r>
      <w:r w:rsidR="00D17FEA">
        <w:t xml:space="preserve">Table </w:t>
      </w:r>
      <w:r w:rsidR="00D17FEA">
        <w:rPr>
          <w:noProof/>
        </w:rPr>
        <w:t>22</w:t>
      </w:r>
      <w:r>
        <w:fldChar w:fldCharType="end"/>
      </w:r>
      <w:r>
        <w:t xml:space="preserve"> illustrates the trajectory of total impacts through the compensation of employ</w:t>
      </w:r>
      <w:r w:rsidR="0070662C">
        <w:t>ees over time, from 2010 to 2017</w:t>
      </w:r>
      <w:r>
        <w:t xml:space="preserve">. </w:t>
      </w:r>
      <w:r w:rsidR="00373528">
        <w:t>T</w:t>
      </w:r>
      <w:r w:rsidR="009B021D">
        <w:t>he total impact on the compensation of employees</w:t>
      </w:r>
      <w:r w:rsidR="00373528">
        <w:t xml:space="preserve"> has increased each year with exceptions in 2013 and 2014 reaching its highest level</w:t>
      </w:r>
      <w:r>
        <w:t xml:space="preserve"> in 201</w:t>
      </w:r>
      <w:r w:rsidR="00373528">
        <w:t>7 of £2.5 billion.</w:t>
      </w:r>
      <w:r>
        <w:t xml:space="preserve"> </w:t>
      </w:r>
    </w:p>
    <w:p w14:paraId="5AEE7C5A" w14:textId="7D831780" w:rsidR="0005294E" w:rsidRDefault="0005294E" w:rsidP="0005294E">
      <w:pPr>
        <w:pStyle w:val="Caption"/>
        <w:keepNext/>
      </w:pPr>
      <w:bookmarkStart w:id="134" w:name="_Ref506281709"/>
      <w:r>
        <w:t xml:space="preserve">Table </w:t>
      </w:r>
      <w:r w:rsidR="00F604FD">
        <w:rPr>
          <w:noProof/>
        </w:rPr>
        <w:fldChar w:fldCharType="begin"/>
      </w:r>
      <w:r w:rsidR="00F604FD">
        <w:rPr>
          <w:noProof/>
        </w:rPr>
        <w:instrText xml:space="preserve"> SEQ Table \* ARABIC </w:instrText>
      </w:r>
      <w:r w:rsidR="00F604FD">
        <w:rPr>
          <w:noProof/>
        </w:rPr>
        <w:fldChar w:fldCharType="separate"/>
      </w:r>
      <w:r w:rsidR="00D17FEA">
        <w:rPr>
          <w:noProof/>
        </w:rPr>
        <w:t>22</w:t>
      </w:r>
      <w:r w:rsidR="00F604FD">
        <w:rPr>
          <w:noProof/>
        </w:rPr>
        <w:fldChar w:fldCharType="end"/>
      </w:r>
      <w:bookmarkEnd w:id="134"/>
      <w:r>
        <w:t xml:space="preserve">: </w:t>
      </w:r>
      <w:r w:rsidRPr="0088025C">
        <w:t>Employee compensation impac</w:t>
      </w:r>
      <w:r w:rsidR="009779FB">
        <w:t>t of the Solent-based Maritime S</w:t>
      </w:r>
      <w:r w:rsidRPr="0088025C">
        <w:t>ector and Portsmouth Naval Base, £ million</w:t>
      </w:r>
    </w:p>
    <w:tbl>
      <w:tblPr>
        <w:tblW w:w="5000" w:type="pct"/>
        <w:tblLook w:val="04A0" w:firstRow="1" w:lastRow="0" w:firstColumn="1" w:lastColumn="0" w:noHBand="0" w:noVBand="1"/>
      </w:tblPr>
      <w:tblGrid>
        <w:gridCol w:w="882"/>
        <w:gridCol w:w="2657"/>
        <w:gridCol w:w="3208"/>
        <w:gridCol w:w="2881"/>
      </w:tblGrid>
      <w:tr w:rsidR="00CA3528" w:rsidRPr="00CA3528" w14:paraId="583EB496" w14:textId="77777777" w:rsidTr="0080602B">
        <w:trPr>
          <w:trHeight w:val="20"/>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0895E1CD" w14:textId="77777777" w:rsidR="00CA3528" w:rsidRPr="00CA3528" w:rsidRDefault="00CA3528" w:rsidP="00CA3528">
            <w:pPr>
              <w:spacing w:after="0"/>
              <w:jc w:val="center"/>
              <w:rPr>
                <w:rFonts w:ascii="Calibri" w:eastAsia="Times New Roman" w:hAnsi="Calibri"/>
                <w:color w:val="FFFFFF"/>
                <w:sz w:val="20"/>
                <w:lang w:eastAsia="en-GB"/>
              </w:rPr>
            </w:pPr>
            <w:r w:rsidRPr="00CA3528">
              <w:rPr>
                <w:rFonts w:ascii="Calibri" w:eastAsia="Times New Roman" w:hAnsi="Calibri"/>
                <w:color w:val="FFFFFF"/>
                <w:sz w:val="20"/>
                <w:lang w:eastAsia="en-GB"/>
              </w:rPr>
              <w:t>Year</w:t>
            </w:r>
          </w:p>
        </w:tc>
        <w:tc>
          <w:tcPr>
            <w:tcW w:w="1380" w:type="pct"/>
            <w:tcBorders>
              <w:top w:val="single" w:sz="8" w:space="0" w:color="FFFFFF"/>
              <w:left w:val="nil"/>
              <w:bottom w:val="single" w:sz="12" w:space="0" w:color="FFFFFF"/>
              <w:right w:val="single" w:sz="8" w:space="0" w:color="FFFFFF"/>
            </w:tcBorders>
            <w:shd w:val="clear" w:color="000000" w:fill="008C9B"/>
            <w:vAlign w:val="center"/>
            <w:hideMark/>
          </w:tcPr>
          <w:p w14:paraId="79042499" w14:textId="77777777" w:rsidR="00CA3528" w:rsidRPr="00CA3528" w:rsidRDefault="00CA3528" w:rsidP="00CA3528">
            <w:pPr>
              <w:spacing w:after="0"/>
              <w:jc w:val="center"/>
              <w:rPr>
                <w:rFonts w:ascii="Calibri" w:eastAsia="Times New Roman" w:hAnsi="Calibri"/>
                <w:b/>
                <w:bCs/>
                <w:color w:val="FFFFFF"/>
                <w:sz w:val="20"/>
                <w:lang w:eastAsia="en-GB"/>
              </w:rPr>
            </w:pPr>
            <w:r w:rsidRPr="00CA3528">
              <w:rPr>
                <w:rFonts w:ascii="Calibri" w:eastAsia="Times New Roman" w:hAnsi="Calibri"/>
                <w:b/>
                <w:bCs/>
                <w:color w:val="FFFFFF"/>
                <w:sz w:val="20"/>
                <w:lang w:eastAsia="en-GB"/>
              </w:rPr>
              <w:t xml:space="preserve">Direct Impact (£m)    </w:t>
            </w:r>
          </w:p>
        </w:tc>
        <w:tc>
          <w:tcPr>
            <w:tcW w:w="1666" w:type="pct"/>
            <w:tcBorders>
              <w:top w:val="single" w:sz="8" w:space="0" w:color="FFFFFF"/>
              <w:left w:val="nil"/>
              <w:bottom w:val="single" w:sz="12" w:space="0" w:color="FFFFFF"/>
              <w:right w:val="single" w:sz="8" w:space="0" w:color="FFFFFF"/>
            </w:tcBorders>
            <w:shd w:val="clear" w:color="000000" w:fill="008C9B"/>
            <w:vAlign w:val="center"/>
            <w:hideMark/>
          </w:tcPr>
          <w:p w14:paraId="2EFD0B74" w14:textId="77777777" w:rsidR="00CA3528" w:rsidRPr="00CA3528" w:rsidRDefault="00CA3528" w:rsidP="00CA3528">
            <w:pPr>
              <w:spacing w:after="0"/>
              <w:jc w:val="center"/>
              <w:rPr>
                <w:rFonts w:ascii="Calibri" w:eastAsia="Times New Roman" w:hAnsi="Calibri"/>
                <w:b/>
                <w:bCs/>
                <w:color w:val="FFFFFF"/>
                <w:sz w:val="20"/>
                <w:lang w:eastAsia="en-GB"/>
              </w:rPr>
            </w:pPr>
            <w:r w:rsidRPr="00CA3528">
              <w:rPr>
                <w:rFonts w:ascii="Calibri" w:eastAsia="Times New Roman" w:hAnsi="Calibri"/>
                <w:b/>
                <w:bCs/>
                <w:color w:val="FFFFFF"/>
                <w:sz w:val="20"/>
                <w:lang w:eastAsia="en-GB"/>
              </w:rPr>
              <w:t>Composite Employee Compensation multiplier</w:t>
            </w:r>
          </w:p>
        </w:tc>
        <w:tc>
          <w:tcPr>
            <w:tcW w:w="1496" w:type="pct"/>
            <w:tcBorders>
              <w:top w:val="single" w:sz="8" w:space="0" w:color="FFFFFF"/>
              <w:left w:val="nil"/>
              <w:bottom w:val="single" w:sz="12" w:space="0" w:color="FFFFFF"/>
              <w:right w:val="single" w:sz="8" w:space="0" w:color="FFFFFF"/>
            </w:tcBorders>
            <w:shd w:val="clear" w:color="000000" w:fill="008C9B"/>
            <w:vAlign w:val="center"/>
            <w:hideMark/>
          </w:tcPr>
          <w:p w14:paraId="3CAD1D02" w14:textId="77777777" w:rsidR="00CA3528" w:rsidRPr="00CA3528" w:rsidRDefault="00CA3528" w:rsidP="00CA3528">
            <w:pPr>
              <w:spacing w:after="0"/>
              <w:jc w:val="center"/>
              <w:rPr>
                <w:rFonts w:ascii="Calibri" w:eastAsia="Times New Roman" w:hAnsi="Calibri"/>
                <w:b/>
                <w:bCs/>
                <w:color w:val="FFFFFF"/>
                <w:sz w:val="20"/>
                <w:lang w:eastAsia="en-GB"/>
              </w:rPr>
            </w:pPr>
            <w:r w:rsidRPr="00CA3528">
              <w:rPr>
                <w:rFonts w:ascii="Calibri" w:eastAsia="Times New Roman" w:hAnsi="Calibri"/>
                <w:b/>
                <w:bCs/>
                <w:color w:val="FFFFFF"/>
                <w:sz w:val="20"/>
                <w:lang w:eastAsia="en-GB"/>
              </w:rPr>
              <w:t>Aggregate employee compensation impacts</w:t>
            </w:r>
          </w:p>
        </w:tc>
      </w:tr>
      <w:tr w:rsidR="00CA3528" w:rsidRPr="00CA3528" w14:paraId="30A47CFA" w14:textId="77777777" w:rsidTr="0080602B">
        <w:trPr>
          <w:trHeight w:val="20"/>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78A2B6AE" w14:textId="77777777" w:rsidR="00CA3528" w:rsidRPr="00CA3528" w:rsidRDefault="00CA3528" w:rsidP="00CA3528">
            <w:pPr>
              <w:spacing w:after="0"/>
              <w:jc w:val="center"/>
              <w:rPr>
                <w:rFonts w:ascii="Calibri" w:eastAsia="Times New Roman" w:hAnsi="Calibri"/>
                <w:color w:val="FFFFFF"/>
                <w:sz w:val="20"/>
                <w:lang w:eastAsia="en-GB"/>
              </w:rPr>
            </w:pPr>
            <w:r w:rsidRPr="00CA3528">
              <w:rPr>
                <w:rFonts w:ascii="Calibri" w:eastAsia="Times New Roman" w:hAnsi="Calibri"/>
                <w:color w:val="FFFFFF"/>
                <w:sz w:val="20"/>
                <w:lang w:eastAsia="en-GB"/>
              </w:rPr>
              <w:t>2010</w:t>
            </w:r>
          </w:p>
        </w:tc>
        <w:tc>
          <w:tcPr>
            <w:tcW w:w="1380" w:type="pct"/>
            <w:tcBorders>
              <w:top w:val="nil"/>
              <w:left w:val="nil"/>
              <w:bottom w:val="single" w:sz="8" w:space="0" w:color="FFFFFF"/>
              <w:right w:val="single" w:sz="8" w:space="0" w:color="FFFFFF"/>
            </w:tcBorders>
            <w:shd w:val="clear" w:color="000000" w:fill="E7EEEF"/>
            <w:vAlign w:val="center"/>
            <w:hideMark/>
          </w:tcPr>
          <w:p w14:paraId="15472966"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838</w:t>
            </w:r>
          </w:p>
        </w:tc>
        <w:tc>
          <w:tcPr>
            <w:tcW w:w="1666" w:type="pct"/>
            <w:tcBorders>
              <w:top w:val="nil"/>
              <w:left w:val="nil"/>
              <w:bottom w:val="single" w:sz="8" w:space="0" w:color="FFFFFF"/>
              <w:right w:val="single" w:sz="8" w:space="0" w:color="FFFFFF"/>
            </w:tcBorders>
            <w:shd w:val="clear" w:color="000000" w:fill="E7EEEF"/>
            <w:vAlign w:val="center"/>
            <w:hideMark/>
          </w:tcPr>
          <w:p w14:paraId="660BEF04"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2.26</w:t>
            </w:r>
          </w:p>
        </w:tc>
        <w:tc>
          <w:tcPr>
            <w:tcW w:w="1496" w:type="pct"/>
            <w:tcBorders>
              <w:top w:val="nil"/>
              <w:left w:val="nil"/>
              <w:bottom w:val="single" w:sz="8" w:space="0" w:color="FFFFFF"/>
              <w:right w:val="single" w:sz="8" w:space="0" w:color="FFFFFF"/>
            </w:tcBorders>
            <w:shd w:val="clear" w:color="000000" w:fill="E7EEEF"/>
            <w:vAlign w:val="center"/>
            <w:hideMark/>
          </w:tcPr>
          <w:p w14:paraId="72DD58CC"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1,893</w:t>
            </w:r>
          </w:p>
        </w:tc>
      </w:tr>
      <w:tr w:rsidR="00CA3528" w:rsidRPr="00CA3528" w14:paraId="3D291317" w14:textId="77777777" w:rsidTr="0080602B">
        <w:trPr>
          <w:trHeight w:val="20"/>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315B47D5" w14:textId="77777777" w:rsidR="00CA3528" w:rsidRPr="00CA3528" w:rsidRDefault="00CA3528" w:rsidP="00CA3528">
            <w:pPr>
              <w:spacing w:after="0"/>
              <w:jc w:val="center"/>
              <w:rPr>
                <w:rFonts w:ascii="Calibri" w:eastAsia="Times New Roman" w:hAnsi="Calibri"/>
                <w:color w:val="FFFFFF"/>
                <w:sz w:val="20"/>
                <w:lang w:eastAsia="en-GB"/>
              </w:rPr>
            </w:pPr>
            <w:r w:rsidRPr="00CA3528">
              <w:rPr>
                <w:rFonts w:ascii="Calibri" w:eastAsia="Times New Roman" w:hAnsi="Calibri"/>
                <w:color w:val="FFFFFF"/>
                <w:sz w:val="20"/>
                <w:lang w:eastAsia="en-GB"/>
              </w:rPr>
              <w:t>2011</w:t>
            </w:r>
          </w:p>
        </w:tc>
        <w:tc>
          <w:tcPr>
            <w:tcW w:w="1380" w:type="pct"/>
            <w:tcBorders>
              <w:top w:val="nil"/>
              <w:left w:val="nil"/>
              <w:bottom w:val="single" w:sz="8" w:space="0" w:color="FFFFFF"/>
              <w:right w:val="single" w:sz="8" w:space="0" w:color="FFFFFF"/>
            </w:tcBorders>
            <w:shd w:val="clear" w:color="000000" w:fill="D0CECE"/>
            <w:vAlign w:val="center"/>
            <w:hideMark/>
          </w:tcPr>
          <w:p w14:paraId="15DF7506"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868</w:t>
            </w:r>
          </w:p>
        </w:tc>
        <w:tc>
          <w:tcPr>
            <w:tcW w:w="1666" w:type="pct"/>
            <w:tcBorders>
              <w:top w:val="nil"/>
              <w:left w:val="nil"/>
              <w:bottom w:val="single" w:sz="8" w:space="0" w:color="FFFFFF"/>
              <w:right w:val="single" w:sz="8" w:space="0" w:color="FFFFFF"/>
            </w:tcBorders>
            <w:shd w:val="clear" w:color="000000" w:fill="D0CECE"/>
            <w:vAlign w:val="center"/>
            <w:hideMark/>
          </w:tcPr>
          <w:p w14:paraId="389914F6"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2.24</w:t>
            </w:r>
          </w:p>
        </w:tc>
        <w:tc>
          <w:tcPr>
            <w:tcW w:w="1496" w:type="pct"/>
            <w:tcBorders>
              <w:top w:val="nil"/>
              <w:left w:val="nil"/>
              <w:bottom w:val="single" w:sz="8" w:space="0" w:color="FFFFFF"/>
              <w:right w:val="single" w:sz="8" w:space="0" w:color="FFFFFF"/>
            </w:tcBorders>
            <w:shd w:val="clear" w:color="000000" w:fill="D0CECE"/>
            <w:vAlign w:val="center"/>
            <w:hideMark/>
          </w:tcPr>
          <w:p w14:paraId="63C5FA88"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1,948</w:t>
            </w:r>
          </w:p>
        </w:tc>
      </w:tr>
      <w:tr w:rsidR="00CA3528" w:rsidRPr="00CA3528" w14:paraId="1F584913" w14:textId="77777777" w:rsidTr="0080602B">
        <w:trPr>
          <w:trHeight w:val="20"/>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6BCE3178" w14:textId="77777777" w:rsidR="00CA3528" w:rsidRPr="00CA3528" w:rsidRDefault="00CA3528" w:rsidP="00CA3528">
            <w:pPr>
              <w:spacing w:after="0"/>
              <w:jc w:val="center"/>
              <w:rPr>
                <w:rFonts w:ascii="Calibri" w:eastAsia="Times New Roman" w:hAnsi="Calibri"/>
                <w:color w:val="FFFFFF"/>
                <w:sz w:val="20"/>
                <w:lang w:eastAsia="en-GB"/>
              </w:rPr>
            </w:pPr>
            <w:r w:rsidRPr="00CA3528">
              <w:rPr>
                <w:rFonts w:ascii="Calibri" w:eastAsia="Times New Roman" w:hAnsi="Calibri"/>
                <w:color w:val="FFFFFF"/>
                <w:sz w:val="20"/>
                <w:lang w:eastAsia="en-GB"/>
              </w:rPr>
              <w:t>2012</w:t>
            </w:r>
          </w:p>
        </w:tc>
        <w:tc>
          <w:tcPr>
            <w:tcW w:w="1380" w:type="pct"/>
            <w:tcBorders>
              <w:top w:val="nil"/>
              <w:left w:val="nil"/>
              <w:bottom w:val="single" w:sz="8" w:space="0" w:color="FFFFFF"/>
              <w:right w:val="single" w:sz="8" w:space="0" w:color="FFFFFF"/>
            </w:tcBorders>
            <w:shd w:val="clear" w:color="000000" w:fill="E7EEEF"/>
            <w:vAlign w:val="center"/>
            <w:hideMark/>
          </w:tcPr>
          <w:p w14:paraId="604CB9CF"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993</w:t>
            </w:r>
          </w:p>
        </w:tc>
        <w:tc>
          <w:tcPr>
            <w:tcW w:w="1666" w:type="pct"/>
            <w:tcBorders>
              <w:top w:val="nil"/>
              <w:left w:val="nil"/>
              <w:bottom w:val="single" w:sz="8" w:space="0" w:color="FFFFFF"/>
              <w:right w:val="single" w:sz="8" w:space="0" w:color="FFFFFF"/>
            </w:tcBorders>
            <w:shd w:val="clear" w:color="000000" w:fill="E7EEEF"/>
            <w:vAlign w:val="center"/>
            <w:hideMark/>
          </w:tcPr>
          <w:p w14:paraId="7A8125B8"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2.26</w:t>
            </w:r>
          </w:p>
        </w:tc>
        <w:tc>
          <w:tcPr>
            <w:tcW w:w="1496" w:type="pct"/>
            <w:tcBorders>
              <w:top w:val="nil"/>
              <w:left w:val="nil"/>
              <w:bottom w:val="single" w:sz="8" w:space="0" w:color="FFFFFF"/>
              <w:right w:val="single" w:sz="8" w:space="0" w:color="FFFFFF"/>
            </w:tcBorders>
            <w:shd w:val="clear" w:color="000000" w:fill="E7EEEF"/>
            <w:vAlign w:val="center"/>
            <w:hideMark/>
          </w:tcPr>
          <w:p w14:paraId="4790F6C9"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2,242</w:t>
            </w:r>
          </w:p>
        </w:tc>
      </w:tr>
      <w:tr w:rsidR="00CA3528" w:rsidRPr="00CA3528" w14:paraId="1DF5EEE6" w14:textId="77777777" w:rsidTr="0080602B">
        <w:trPr>
          <w:trHeight w:val="20"/>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18F81F64" w14:textId="77777777" w:rsidR="00CA3528" w:rsidRPr="00CA3528" w:rsidRDefault="00CA3528" w:rsidP="00CA3528">
            <w:pPr>
              <w:spacing w:after="0"/>
              <w:jc w:val="center"/>
              <w:rPr>
                <w:rFonts w:ascii="Calibri" w:eastAsia="Times New Roman" w:hAnsi="Calibri"/>
                <w:color w:val="FFFFFF"/>
                <w:sz w:val="20"/>
                <w:lang w:eastAsia="en-GB"/>
              </w:rPr>
            </w:pPr>
            <w:r w:rsidRPr="00CA3528">
              <w:rPr>
                <w:rFonts w:ascii="Calibri" w:eastAsia="Times New Roman" w:hAnsi="Calibri"/>
                <w:color w:val="FFFFFF"/>
                <w:sz w:val="20"/>
                <w:lang w:eastAsia="en-GB"/>
              </w:rPr>
              <w:t>2013</w:t>
            </w:r>
          </w:p>
        </w:tc>
        <w:tc>
          <w:tcPr>
            <w:tcW w:w="1380" w:type="pct"/>
            <w:tcBorders>
              <w:top w:val="nil"/>
              <w:left w:val="nil"/>
              <w:bottom w:val="single" w:sz="8" w:space="0" w:color="FFFFFF"/>
              <w:right w:val="single" w:sz="8" w:space="0" w:color="FFFFFF"/>
            </w:tcBorders>
            <w:shd w:val="clear" w:color="000000" w:fill="D0CECE"/>
            <w:vAlign w:val="center"/>
            <w:hideMark/>
          </w:tcPr>
          <w:p w14:paraId="01D90FBB" w14:textId="77777777" w:rsidR="00CA3528" w:rsidRPr="00CA3528" w:rsidRDefault="00CA3528" w:rsidP="00CA3528">
            <w:pPr>
              <w:spacing w:after="0"/>
              <w:jc w:val="center"/>
              <w:rPr>
                <w:rFonts w:ascii="Calibri" w:eastAsia="Times New Roman" w:hAnsi="Calibri"/>
                <w:bCs/>
                <w:color w:val="000000"/>
                <w:sz w:val="20"/>
                <w:lang w:eastAsia="en-GB"/>
              </w:rPr>
            </w:pPr>
            <w:r w:rsidRPr="00CA3528">
              <w:rPr>
                <w:rFonts w:ascii="Calibri" w:eastAsia="Times New Roman" w:hAnsi="Calibri"/>
                <w:bCs/>
                <w:color w:val="000000"/>
                <w:sz w:val="20"/>
                <w:lang w:eastAsia="en-GB"/>
              </w:rPr>
              <w:t>980</w:t>
            </w:r>
          </w:p>
        </w:tc>
        <w:tc>
          <w:tcPr>
            <w:tcW w:w="1666" w:type="pct"/>
            <w:tcBorders>
              <w:top w:val="nil"/>
              <w:left w:val="nil"/>
              <w:bottom w:val="single" w:sz="8" w:space="0" w:color="FFFFFF"/>
              <w:right w:val="single" w:sz="8" w:space="0" w:color="FFFFFF"/>
            </w:tcBorders>
            <w:shd w:val="clear" w:color="000000" w:fill="D0CECE"/>
            <w:vAlign w:val="center"/>
            <w:hideMark/>
          </w:tcPr>
          <w:p w14:paraId="7F3D2896"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2.26</w:t>
            </w:r>
          </w:p>
        </w:tc>
        <w:tc>
          <w:tcPr>
            <w:tcW w:w="1496" w:type="pct"/>
            <w:tcBorders>
              <w:top w:val="nil"/>
              <w:left w:val="nil"/>
              <w:bottom w:val="single" w:sz="8" w:space="0" w:color="FFFFFF"/>
              <w:right w:val="single" w:sz="8" w:space="0" w:color="FFFFFF"/>
            </w:tcBorders>
            <w:shd w:val="clear" w:color="000000" w:fill="D0CECE"/>
            <w:vAlign w:val="center"/>
            <w:hideMark/>
          </w:tcPr>
          <w:p w14:paraId="684AF06A"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2,214</w:t>
            </w:r>
          </w:p>
        </w:tc>
      </w:tr>
      <w:tr w:rsidR="00CA3528" w:rsidRPr="00CA3528" w14:paraId="7CF26C41" w14:textId="77777777" w:rsidTr="0080602B">
        <w:trPr>
          <w:trHeight w:val="20"/>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7EDA9F9A" w14:textId="77777777" w:rsidR="00CA3528" w:rsidRPr="00CA3528" w:rsidRDefault="00CA3528" w:rsidP="00CA3528">
            <w:pPr>
              <w:spacing w:after="0"/>
              <w:jc w:val="center"/>
              <w:rPr>
                <w:rFonts w:ascii="Calibri" w:eastAsia="Times New Roman" w:hAnsi="Calibri"/>
                <w:color w:val="FFFFFF"/>
                <w:sz w:val="20"/>
                <w:lang w:eastAsia="en-GB"/>
              </w:rPr>
            </w:pPr>
            <w:r w:rsidRPr="00CA3528">
              <w:rPr>
                <w:rFonts w:ascii="Calibri" w:eastAsia="Times New Roman" w:hAnsi="Calibri"/>
                <w:color w:val="FFFFFF"/>
                <w:sz w:val="20"/>
                <w:lang w:eastAsia="en-GB"/>
              </w:rPr>
              <w:t>2014</w:t>
            </w:r>
          </w:p>
        </w:tc>
        <w:tc>
          <w:tcPr>
            <w:tcW w:w="1380" w:type="pct"/>
            <w:tcBorders>
              <w:top w:val="nil"/>
              <w:left w:val="nil"/>
              <w:bottom w:val="single" w:sz="8" w:space="0" w:color="FFFFFF"/>
              <w:right w:val="single" w:sz="8" w:space="0" w:color="FFFFFF"/>
            </w:tcBorders>
            <w:shd w:val="clear" w:color="000000" w:fill="E7EEEF"/>
            <w:vAlign w:val="center"/>
            <w:hideMark/>
          </w:tcPr>
          <w:p w14:paraId="2429E40A"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921</w:t>
            </w:r>
          </w:p>
        </w:tc>
        <w:tc>
          <w:tcPr>
            <w:tcW w:w="1666" w:type="pct"/>
            <w:tcBorders>
              <w:top w:val="nil"/>
              <w:left w:val="nil"/>
              <w:bottom w:val="single" w:sz="8" w:space="0" w:color="FFFFFF"/>
              <w:right w:val="single" w:sz="8" w:space="0" w:color="FFFFFF"/>
            </w:tcBorders>
            <w:shd w:val="clear" w:color="000000" w:fill="E7EEEF"/>
            <w:vAlign w:val="center"/>
            <w:hideMark/>
          </w:tcPr>
          <w:p w14:paraId="761E084E"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2.25</w:t>
            </w:r>
          </w:p>
        </w:tc>
        <w:tc>
          <w:tcPr>
            <w:tcW w:w="1496" w:type="pct"/>
            <w:tcBorders>
              <w:top w:val="nil"/>
              <w:left w:val="nil"/>
              <w:bottom w:val="single" w:sz="8" w:space="0" w:color="FFFFFF"/>
              <w:right w:val="single" w:sz="8" w:space="0" w:color="FFFFFF"/>
            </w:tcBorders>
            <w:shd w:val="clear" w:color="000000" w:fill="E7EEEF"/>
            <w:vAlign w:val="center"/>
            <w:hideMark/>
          </w:tcPr>
          <w:p w14:paraId="79318CC5"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2,075</w:t>
            </w:r>
          </w:p>
        </w:tc>
      </w:tr>
      <w:tr w:rsidR="00CA3528" w:rsidRPr="00CA3528" w14:paraId="12962C9F" w14:textId="77777777" w:rsidTr="0080602B">
        <w:trPr>
          <w:trHeight w:val="20"/>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7B300234" w14:textId="77777777" w:rsidR="00CA3528" w:rsidRPr="00CA3528" w:rsidRDefault="00CA3528" w:rsidP="00CA3528">
            <w:pPr>
              <w:spacing w:after="0"/>
              <w:jc w:val="center"/>
              <w:rPr>
                <w:rFonts w:ascii="Calibri" w:eastAsia="Times New Roman" w:hAnsi="Calibri"/>
                <w:color w:val="FFFFFF"/>
                <w:sz w:val="20"/>
                <w:lang w:eastAsia="en-GB"/>
              </w:rPr>
            </w:pPr>
            <w:r w:rsidRPr="00CA3528">
              <w:rPr>
                <w:rFonts w:ascii="Calibri" w:eastAsia="Times New Roman" w:hAnsi="Calibri"/>
                <w:color w:val="FFFFFF"/>
                <w:sz w:val="20"/>
                <w:lang w:eastAsia="en-GB"/>
              </w:rPr>
              <w:t>2015</w:t>
            </w:r>
          </w:p>
        </w:tc>
        <w:tc>
          <w:tcPr>
            <w:tcW w:w="1380" w:type="pct"/>
            <w:tcBorders>
              <w:top w:val="nil"/>
              <w:left w:val="nil"/>
              <w:bottom w:val="single" w:sz="8" w:space="0" w:color="FFFFFF"/>
              <w:right w:val="single" w:sz="8" w:space="0" w:color="FFFFFF"/>
            </w:tcBorders>
            <w:shd w:val="clear" w:color="000000" w:fill="D0CECE"/>
            <w:vAlign w:val="center"/>
            <w:hideMark/>
          </w:tcPr>
          <w:p w14:paraId="7BD18A2F"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1,036</w:t>
            </w:r>
          </w:p>
        </w:tc>
        <w:tc>
          <w:tcPr>
            <w:tcW w:w="1666" w:type="pct"/>
            <w:tcBorders>
              <w:top w:val="nil"/>
              <w:left w:val="nil"/>
              <w:bottom w:val="single" w:sz="8" w:space="0" w:color="FFFFFF"/>
              <w:right w:val="single" w:sz="8" w:space="0" w:color="FFFFFF"/>
            </w:tcBorders>
            <w:shd w:val="clear" w:color="000000" w:fill="D0CECE"/>
            <w:vAlign w:val="center"/>
            <w:hideMark/>
          </w:tcPr>
          <w:p w14:paraId="30AF32AC"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2.29</w:t>
            </w:r>
          </w:p>
        </w:tc>
        <w:tc>
          <w:tcPr>
            <w:tcW w:w="1496" w:type="pct"/>
            <w:tcBorders>
              <w:top w:val="nil"/>
              <w:left w:val="nil"/>
              <w:bottom w:val="single" w:sz="8" w:space="0" w:color="FFFFFF"/>
              <w:right w:val="single" w:sz="8" w:space="0" w:color="FFFFFF"/>
            </w:tcBorders>
            <w:shd w:val="clear" w:color="000000" w:fill="D0CECE"/>
            <w:vAlign w:val="center"/>
            <w:hideMark/>
          </w:tcPr>
          <w:p w14:paraId="4C37C53A"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2,371</w:t>
            </w:r>
          </w:p>
        </w:tc>
      </w:tr>
      <w:tr w:rsidR="00CA3528" w:rsidRPr="00CA3528" w14:paraId="01452FDA" w14:textId="77777777" w:rsidTr="0080602B">
        <w:trPr>
          <w:trHeight w:val="20"/>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263A8E7B" w14:textId="77777777" w:rsidR="00CA3528" w:rsidRPr="00CA3528" w:rsidRDefault="00CA3528" w:rsidP="00CA3528">
            <w:pPr>
              <w:spacing w:after="0"/>
              <w:jc w:val="center"/>
              <w:rPr>
                <w:rFonts w:ascii="Calibri" w:eastAsia="Times New Roman" w:hAnsi="Calibri"/>
                <w:color w:val="FFFFFF"/>
                <w:sz w:val="20"/>
                <w:lang w:eastAsia="en-GB"/>
              </w:rPr>
            </w:pPr>
            <w:r w:rsidRPr="00CA3528">
              <w:rPr>
                <w:rFonts w:ascii="Calibri" w:eastAsia="Times New Roman" w:hAnsi="Calibri"/>
                <w:color w:val="FFFFFF"/>
                <w:sz w:val="20"/>
                <w:lang w:eastAsia="en-GB"/>
              </w:rPr>
              <w:t>2016</w:t>
            </w:r>
          </w:p>
        </w:tc>
        <w:tc>
          <w:tcPr>
            <w:tcW w:w="1380" w:type="pct"/>
            <w:tcBorders>
              <w:top w:val="nil"/>
              <w:left w:val="nil"/>
              <w:bottom w:val="single" w:sz="8" w:space="0" w:color="FFFFFF"/>
              <w:right w:val="single" w:sz="8" w:space="0" w:color="FFFFFF"/>
            </w:tcBorders>
            <w:shd w:val="clear" w:color="000000" w:fill="E7EEEF"/>
            <w:vAlign w:val="center"/>
            <w:hideMark/>
          </w:tcPr>
          <w:p w14:paraId="2F78B96F"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1,054</w:t>
            </w:r>
          </w:p>
        </w:tc>
        <w:tc>
          <w:tcPr>
            <w:tcW w:w="1666" w:type="pct"/>
            <w:tcBorders>
              <w:top w:val="nil"/>
              <w:left w:val="nil"/>
              <w:bottom w:val="single" w:sz="8" w:space="0" w:color="FFFFFF"/>
              <w:right w:val="single" w:sz="8" w:space="0" w:color="FFFFFF"/>
            </w:tcBorders>
            <w:shd w:val="clear" w:color="000000" w:fill="E7EEEF"/>
            <w:vAlign w:val="center"/>
            <w:hideMark/>
          </w:tcPr>
          <w:p w14:paraId="456EAC5E"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2.30</w:t>
            </w:r>
          </w:p>
        </w:tc>
        <w:tc>
          <w:tcPr>
            <w:tcW w:w="1496" w:type="pct"/>
            <w:tcBorders>
              <w:top w:val="nil"/>
              <w:left w:val="nil"/>
              <w:bottom w:val="single" w:sz="8" w:space="0" w:color="FFFFFF"/>
              <w:right w:val="single" w:sz="8" w:space="0" w:color="FFFFFF"/>
            </w:tcBorders>
            <w:shd w:val="clear" w:color="000000" w:fill="E7EEEF"/>
            <w:vAlign w:val="center"/>
            <w:hideMark/>
          </w:tcPr>
          <w:p w14:paraId="41D77235"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2,427</w:t>
            </w:r>
          </w:p>
        </w:tc>
      </w:tr>
      <w:tr w:rsidR="00CA3528" w:rsidRPr="00CA3528" w14:paraId="27DABA0C" w14:textId="77777777" w:rsidTr="0080602B">
        <w:trPr>
          <w:trHeight w:val="20"/>
        </w:trPr>
        <w:tc>
          <w:tcPr>
            <w:tcW w:w="458" w:type="pct"/>
            <w:tcBorders>
              <w:top w:val="single" w:sz="8" w:space="0" w:color="FFFFFF"/>
              <w:left w:val="nil"/>
              <w:bottom w:val="single" w:sz="12" w:space="0" w:color="FFFFFF"/>
              <w:right w:val="single" w:sz="8" w:space="0" w:color="FFFFFF"/>
            </w:tcBorders>
            <w:shd w:val="clear" w:color="000000" w:fill="008C9B"/>
            <w:vAlign w:val="center"/>
            <w:hideMark/>
          </w:tcPr>
          <w:p w14:paraId="56497471" w14:textId="77777777" w:rsidR="00CA3528" w:rsidRPr="00CA3528" w:rsidRDefault="00CA3528" w:rsidP="00CA3528">
            <w:pPr>
              <w:spacing w:after="0"/>
              <w:jc w:val="center"/>
              <w:rPr>
                <w:rFonts w:ascii="Calibri" w:eastAsia="Times New Roman" w:hAnsi="Calibri"/>
                <w:color w:val="FFFFFF"/>
                <w:sz w:val="20"/>
                <w:lang w:eastAsia="en-GB"/>
              </w:rPr>
            </w:pPr>
            <w:r w:rsidRPr="00CA3528">
              <w:rPr>
                <w:rFonts w:ascii="Calibri" w:eastAsia="Times New Roman" w:hAnsi="Calibri"/>
                <w:color w:val="FFFFFF"/>
                <w:sz w:val="20"/>
                <w:lang w:eastAsia="en-GB"/>
              </w:rPr>
              <w:t>2017</w:t>
            </w:r>
          </w:p>
        </w:tc>
        <w:tc>
          <w:tcPr>
            <w:tcW w:w="1380" w:type="pct"/>
            <w:tcBorders>
              <w:top w:val="nil"/>
              <w:left w:val="nil"/>
              <w:bottom w:val="single" w:sz="8" w:space="0" w:color="FFFFFF"/>
              <w:right w:val="single" w:sz="8" w:space="0" w:color="FFFFFF"/>
            </w:tcBorders>
            <w:shd w:val="clear" w:color="000000" w:fill="D0CECE"/>
            <w:vAlign w:val="center"/>
            <w:hideMark/>
          </w:tcPr>
          <w:p w14:paraId="5B05005F"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1,093</w:t>
            </w:r>
          </w:p>
        </w:tc>
        <w:tc>
          <w:tcPr>
            <w:tcW w:w="1666" w:type="pct"/>
            <w:tcBorders>
              <w:top w:val="nil"/>
              <w:left w:val="nil"/>
              <w:bottom w:val="single" w:sz="8" w:space="0" w:color="FFFFFF"/>
              <w:right w:val="single" w:sz="8" w:space="0" w:color="FFFFFF"/>
            </w:tcBorders>
            <w:shd w:val="clear" w:color="000000" w:fill="D0CECE"/>
            <w:vAlign w:val="center"/>
            <w:hideMark/>
          </w:tcPr>
          <w:p w14:paraId="69EC2256"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2.30</w:t>
            </w:r>
          </w:p>
        </w:tc>
        <w:tc>
          <w:tcPr>
            <w:tcW w:w="1496" w:type="pct"/>
            <w:tcBorders>
              <w:top w:val="nil"/>
              <w:left w:val="nil"/>
              <w:bottom w:val="single" w:sz="8" w:space="0" w:color="FFFFFF"/>
              <w:right w:val="single" w:sz="8" w:space="0" w:color="FFFFFF"/>
            </w:tcBorders>
            <w:shd w:val="clear" w:color="000000" w:fill="D0CECE"/>
            <w:vAlign w:val="center"/>
            <w:hideMark/>
          </w:tcPr>
          <w:p w14:paraId="22EE37AD" w14:textId="77777777" w:rsidR="00CA3528" w:rsidRPr="00CA3528" w:rsidRDefault="00CA3528" w:rsidP="00CA3528">
            <w:pPr>
              <w:spacing w:after="0"/>
              <w:jc w:val="center"/>
              <w:rPr>
                <w:rFonts w:ascii="Calibri" w:eastAsia="Times New Roman" w:hAnsi="Calibri"/>
                <w:color w:val="000000"/>
                <w:sz w:val="20"/>
                <w:lang w:eastAsia="en-GB"/>
              </w:rPr>
            </w:pPr>
            <w:r w:rsidRPr="00CA3528">
              <w:rPr>
                <w:rFonts w:ascii="Calibri" w:eastAsia="Times New Roman" w:hAnsi="Calibri"/>
                <w:color w:val="000000"/>
                <w:sz w:val="20"/>
                <w:lang w:eastAsia="en-GB"/>
              </w:rPr>
              <w:t>2,517</w:t>
            </w:r>
          </w:p>
        </w:tc>
      </w:tr>
    </w:tbl>
    <w:p w14:paraId="11D7F053" w14:textId="2A751093" w:rsidR="00814B04" w:rsidRDefault="00B16126" w:rsidP="00E423BE">
      <w:pPr>
        <w:spacing w:before="60" w:after="120"/>
        <w:jc w:val="right"/>
        <w:rPr>
          <w:rStyle w:val="SubtleEmphasis"/>
          <w:sz w:val="18"/>
        </w:rPr>
      </w:pPr>
      <w:r>
        <w:rPr>
          <w:rStyle w:val="SubtleEmphasis"/>
          <w:sz w:val="18"/>
        </w:rPr>
        <w:t xml:space="preserve"> </w:t>
      </w:r>
      <w:r w:rsidR="00814B04" w:rsidRPr="00095712">
        <w:rPr>
          <w:rStyle w:val="SubtleEmphasis"/>
          <w:sz w:val="18"/>
        </w:rPr>
        <w:t>Source: ONS, FAME, Cebr analysis</w:t>
      </w:r>
    </w:p>
    <w:p w14:paraId="7D1B857A" w14:textId="3DB6B0DD" w:rsidR="009B281B" w:rsidRPr="00D8750F" w:rsidRDefault="009B281B" w:rsidP="009B281B">
      <w:pPr>
        <w:pStyle w:val="Heading1"/>
      </w:pPr>
      <w:bookmarkStart w:id="135" w:name="_Toc16175623"/>
      <w:bookmarkStart w:id="136" w:name="_Toc20139755"/>
      <w:r w:rsidRPr="00D8750F">
        <w:lastRenderedPageBreak/>
        <w:t xml:space="preserve">The </w:t>
      </w:r>
      <w:r>
        <w:t>Solent-based</w:t>
      </w:r>
      <w:r w:rsidRPr="00D8750F">
        <w:t xml:space="preserve"> Maritime Sect</w:t>
      </w:r>
      <w:r w:rsidR="000B472F">
        <w:t xml:space="preserve">or: </w:t>
      </w:r>
      <w:r w:rsidRPr="00D8750F">
        <w:t>A Forward Look</w:t>
      </w:r>
      <w:bookmarkEnd w:id="135"/>
      <w:bookmarkEnd w:id="136"/>
    </w:p>
    <w:p w14:paraId="23DC8239" w14:textId="77777777" w:rsidR="009B281B" w:rsidRDefault="009B281B" w:rsidP="009B281B">
      <w:pPr>
        <w:rPr>
          <w:rFonts w:ascii="Calibri" w:eastAsia="Microsoft JhengHei" w:hAnsi="Calibri"/>
        </w:rPr>
      </w:pPr>
      <w:bookmarkStart w:id="137" w:name="_Toc11243625"/>
      <w:r w:rsidRPr="00D8750F">
        <w:rPr>
          <w:rFonts w:ascii="Calibri" w:eastAsia="Microsoft JhengHei" w:hAnsi="Calibri"/>
        </w:rPr>
        <w:t xml:space="preserve">In this final section of the report we present projections of the </w:t>
      </w:r>
      <w:r>
        <w:rPr>
          <w:rFonts w:ascii="Calibri" w:eastAsia="Microsoft JhengHei" w:hAnsi="Calibri"/>
        </w:rPr>
        <w:t>M</w:t>
      </w:r>
      <w:r w:rsidRPr="00334A14">
        <w:rPr>
          <w:rFonts w:ascii="Calibri" w:eastAsia="Microsoft JhengHei" w:hAnsi="Calibri"/>
        </w:rPr>
        <w:t xml:space="preserve">aritime </w:t>
      </w:r>
      <w:r>
        <w:rPr>
          <w:rFonts w:ascii="Calibri" w:eastAsia="Microsoft JhengHei" w:hAnsi="Calibri"/>
        </w:rPr>
        <w:t>Sector</w:t>
      </w:r>
      <w:r w:rsidRPr="00334A14">
        <w:rPr>
          <w:rFonts w:ascii="Calibri" w:eastAsia="Microsoft JhengHei" w:hAnsi="Calibri"/>
        </w:rPr>
        <w:t xml:space="preserve"> </w:t>
      </w:r>
      <w:r>
        <w:rPr>
          <w:rFonts w:ascii="Calibri" w:eastAsia="Microsoft JhengHei" w:hAnsi="Calibri"/>
        </w:rPr>
        <w:t xml:space="preserve">and Portsmouth Naval Base </w:t>
      </w:r>
      <w:r w:rsidRPr="00334A14">
        <w:rPr>
          <w:rFonts w:ascii="Calibri" w:eastAsia="Microsoft JhengHei" w:hAnsi="Calibri"/>
        </w:rPr>
        <w:t>within the Solent LEP region</w:t>
      </w:r>
      <w:r w:rsidRPr="00D8750F">
        <w:rPr>
          <w:rFonts w:ascii="Calibri" w:eastAsia="Microsoft JhengHei" w:hAnsi="Calibri"/>
        </w:rPr>
        <w:t xml:space="preserve"> for the period 2019-2023. The section starts off by describ</w:t>
      </w:r>
      <w:r>
        <w:rPr>
          <w:rFonts w:ascii="Calibri" w:eastAsia="Microsoft JhengHei" w:hAnsi="Calibri"/>
        </w:rPr>
        <w:t>ing</w:t>
      </w:r>
      <w:r w:rsidRPr="00D8750F">
        <w:rPr>
          <w:rFonts w:ascii="Calibri" w:eastAsia="Microsoft JhengHei" w:hAnsi="Calibri"/>
        </w:rPr>
        <w:t xml:space="preserve"> the conceptual approach that we have developed to produce projections of the direct economic impacts after 2017</w:t>
      </w:r>
      <w:r>
        <w:rPr>
          <w:rFonts w:ascii="Calibri" w:eastAsia="Microsoft JhengHei" w:hAnsi="Calibri"/>
        </w:rPr>
        <w:t xml:space="preserve"> and then</w:t>
      </w:r>
      <w:r w:rsidRPr="00D8750F">
        <w:rPr>
          <w:rFonts w:ascii="Calibri" w:eastAsia="Microsoft JhengHei" w:hAnsi="Calibri"/>
        </w:rPr>
        <w:t xml:space="preserve"> present our forecasts of</w:t>
      </w:r>
      <w:r>
        <w:rPr>
          <w:rFonts w:ascii="Calibri" w:eastAsia="Microsoft JhengHei" w:hAnsi="Calibri"/>
        </w:rPr>
        <w:t xml:space="preserve"> Solent-based </w:t>
      </w:r>
      <w:r w:rsidRPr="00D8750F">
        <w:rPr>
          <w:rFonts w:ascii="Calibri" w:eastAsia="Microsoft JhengHei" w:hAnsi="Calibri"/>
        </w:rPr>
        <w:t>Maritime turnover and GVA</w:t>
      </w:r>
      <w:r>
        <w:rPr>
          <w:rFonts w:ascii="Calibri" w:eastAsia="Microsoft JhengHei" w:hAnsi="Calibri"/>
        </w:rPr>
        <w:t xml:space="preserve"> </w:t>
      </w:r>
      <w:r w:rsidRPr="00D8750F">
        <w:rPr>
          <w:rFonts w:ascii="Calibri" w:eastAsia="Microsoft JhengHei" w:hAnsi="Calibri"/>
        </w:rPr>
        <w:t xml:space="preserve">over the period 2019-2023. </w:t>
      </w:r>
      <w:bookmarkStart w:id="138" w:name="_Toc16175625"/>
    </w:p>
    <w:p w14:paraId="5D7C8392" w14:textId="77777777" w:rsidR="009B281B" w:rsidRPr="00D8750F" w:rsidRDefault="009B281B" w:rsidP="009B281B">
      <w:pPr>
        <w:pStyle w:val="Heading2"/>
      </w:pPr>
      <w:bookmarkStart w:id="139" w:name="_Toc20139756"/>
      <w:r w:rsidRPr="00D8750F">
        <w:t xml:space="preserve">The </w:t>
      </w:r>
      <w:r>
        <w:t xml:space="preserve">Solent-based </w:t>
      </w:r>
      <w:r w:rsidRPr="00D8750F">
        <w:t>Maritime Sector Forecast (2019-2023)</w:t>
      </w:r>
      <w:bookmarkEnd w:id="138"/>
      <w:bookmarkEnd w:id="139"/>
    </w:p>
    <w:p w14:paraId="0CD06118" w14:textId="77777777" w:rsidR="009B281B" w:rsidRPr="00D8750F" w:rsidRDefault="009B281B" w:rsidP="009B281B">
      <w:pPr>
        <w:pStyle w:val="Heading3"/>
      </w:pPr>
      <w:r w:rsidRPr="00D8750F">
        <w:t>Modelling approach</w:t>
      </w:r>
    </w:p>
    <w:p w14:paraId="31297C28" w14:textId="77777777" w:rsidR="009B281B" w:rsidRPr="00D8750F" w:rsidRDefault="009B281B" w:rsidP="009B281B">
      <w:pPr>
        <w:rPr>
          <w:rFonts w:ascii="Calibri" w:eastAsia="Microsoft JhengHei" w:hAnsi="Calibri"/>
        </w:rPr>
      </w:pPr>
      <w:r w:rsidRPr="00D8750F">
        <w:rPr>
          <w:rFonts w:ascii="Calibri" w:eastAsia="Microsoft JhengHei" w:hAnsi="Calibri"/>
        </w:rPr>
        <w:t xml:space="preserve">We investigate the relationship between the maritime economy </w:t>
      </w:r>
      <w:r>
        <w:rPr>
          <w:rFonts w:ascii="Calibri" w:eastAsia="Microsoft JhengHei" w:hAnsi="Calibri"/>
        </w:rPr>
        <w:t xml:space="preserve">in the Solent LEP region </w:t>
      </w:r>
      <w:r w:rsidRPr="00D8750F">
        <w:rPr>
          <w:rFonts w:ascii="Calibri" w:eastAsia="Microsoft JhengHei" w:hAnsi="Calibri"/>
        </w:rPr>
        <w:t xml:space="preserve">and a number economic variables through an econometric approach. Our findings show that the </w:t>
      </w:r>
      <w:r>
        <w:rPr>
          <w:rFonts w:ascii="Calibri" w:eastAsia="Microsoft JhengHei" w:hAnsi="Calibri"/>
        </w:rPr>
        <w:t>m</w:t>
      </w:r>
      <w:r w:rsidRPr="00D8750F">
        <w:rPr>
          <w:rFonts w:ascii="Calibri" w:eastAsia="Microsoft JhengHei" w:hAnsi="Calibri"/>
        </w:rPr>
        <w:t xml:space="preserve">aritime </w:t>
      </w:r>
      <w:r>
        <w:rPr>
          <w:rFonts w:ascii="Calibri" w:eastAsia="Microsoft JhengHei" w:hAnsi="Calibri"/>
        </w:rPr>
        <w:t>economy</w:t>
      </w:r>
      <w:r w:rsidRPr="00D8750F">
        <w:rPr>
          <w:rFonts w:ascii="Calibri" w:eastAsia="Microsoft JhengHei" w:hAnsi="Calibri"/>
        </w:rPr>
        <w:t xml:space="preserve"> is primarily linked to </w:t>
      </w:r>
      <w:r>
        <w:rPr>
          <w:rFonts w:ascii="Calibri" w:eastAsia="Microsoft JhengHei" w:hAnsi="Calibri"/>
        </w:rPr>
        <w:t>Solent LEP GVA</w:t>
      </w:r>
      <w:r w:rsidRPr="00D8750F">
        <w:rPr>
          <w:rFonts w:ascii="Calibri" w:eastAsia="Microsoft JhengHei" w:hAnsi="Calibri"/>
        </w:rPr>
        <w:t xml:space="preserve">. After having established Maritime economy’s elasticities to GDP, we project these historical relationships forward to produce a forecast of </w:t>
      </w:r>
      <w:r>
        <w:rPr>
          <w:rFonts w:ascii="Calibri" w:eastAsia="Microsoft JhengHei" w:hAnsi="Calibri"/>
        </w:rPr>
        <w:t xml:space="preserve">Solent-based </w:t>
      </w:r>
      <w:r w:rsidRPr="00D8750F">
        <w:rPr>
          <w:rFonts w:ascii="Calibri" w:eastAsia="Microsoft JhengHei" w:hAnsi="Calibri"/>
        </w:rPr>
        <w:t xml:space="preserve">Maritime turnover and GVA. The output of this model constitutes our baseline forecast. </w:t>
      </w:r>
    </w:p>
    <w:p w14:paraId="1F8CEB57" w14:textId="77777777" w:rsidR="009B281B" w:rsidRPr="00D8750F" w:rsidRDefault="009B281B" w:rsidP="009B281B">
      <w:pPr>
        <w:rPr>
          <w:rFonts w:ascii="Calibri" w:eastAsia="Microsoft JhengHei" w:hAnsi="Calibri"/>
        </w:rPr>
      </w:pPr>
      <w:r w:rsidRPr="00D8750F">
        <w:rPr>
          <w:rFonts w:ascii="Calibri" w:eastAsia="Microsoft JhengHei" w:hAnsi="Calibri"/>
        </w:rPr>
        <w:t xml:space="preserve">Forecast models rely on macroeconomic variables, for example, GDP, which are generally more suitable for long term horizon while the focus of our analysis is in the short-medium term (5 years). For this reason, we build on the baseline forecast, introducing more sector-specific assumptions which are used to flex the relation to the drivers previously identified. This approach also enables us to address deterministic expectations about the sector. </w:t>
      </w:r>
    </w:p>
    <w:p w14:paraId="7C2D3627" w14:textId="77777777" w:rsidR="009B281B" w:rsidRPr="00D8750F" w:rsidRDefault="009B281B" w:rsidP="009B281B">
      <w:pPr>
        <w:rPr>
          <w:rFonts w:ascii="Calibri" w:eastAsia="Microsoft JhengHei" w:hAnsi="Calibri"/>
        </w:rPr>
      </w:pPr>
      <w:r w:rsidRPr="00D8750F">
        <w:rPr>
          <w:rFonts w:ascii="Calibri" w:eastAsia="Microsoft JhengHei" w:hAnsi="Calibri"/>
        </w:rPr>
        <w:t xml:space="preserve">To identify the sector-specific assumptions, we drew on </w:t>
      </w:r>
      <w:r>
        <w:rPr>
          <w:rFonts w:ascii="Calibri" w:eastAsia="Microsoft JhengHei" w:hAnsi="Calibri"/>
        </w:rPr>
        <w:t xml:space="preserve">our knowledge of the sector composition and on UK-wide maritime trends and themes. </w:t>
      </w:r>
      <w:r w:rsidRPr="00D8750F">
        <w:rPr>
          <w:rFonts w:ascii="Calibri" w:eastAsia="Microsoft JhengHei" w:hAnsi="Calibri"/>
        </w:rPr>
        <w:t xml:space="preserve">Each assumption has been assigned a specific weight reflecting its relevance to the </w:t>
      </w:r>
      <w:r>
        <w:rPr>
          <w:rFonts w:ascii="Calibri" w:eastAsia="Microsoft JhengHei" w:hAnsi="Calibri"/>
        </w:rPr>
        <w:t>Solent-based</w:t>
      </w:r>
      <w:r w:rsidRPr="00D8750F">
        <w:rPr>
          <w:rFonts w:ascii="Calibri" w:eastAsia="Microsoft JhengHei" w:hAnsi="Calibri"/>
        </w:rPr>
        <w:t xml:space="preserve"> Maritime sector and a set of adjustment factors have been produced.</w:t>
      </w:r>
    </w:p>
    <w:p w14:paraId="6D83764B" w14:textId="77777777" w:rsidR="009B281B" w:rsidRPr="00D8750F" w:rsidRDefault="009B281B" w:rsidP="009B281B">
      <w:pPr>
        <w:rPr>
          <w:rFonts w:ascii="Calibri" w:eastAsia="Microsoft JhengHei" w:hAnsi="Calibri"/>
        </w:rPr>
      </w:pPr>
      <w:r w:rsidRPr="00D8750F">
        <w:rPr>
          <w:rFonts w:ascii="Calibri" w:eastAsia="Microsoft JhengHei" w:hAnsi="Calibri"/>
        </w:rPr>
        <w:t xml:space="preserve">Applying the adjustments to the baseline forecast, we obtain our central forecast of the </w:t>
      </w:r>
      <w:r>
        <w:rPr>
          <w:rFonts w:ascii="Calibri" w:eastAsia="Microsoft JhengHei" w:hAnsi="Calibri"/>
        </w:rPr>
        <w:t xml:space="preserve">Solent-based </w:t>
      </w:r>
      <w:r w:rsidRPr="00D8750F">
        <w:rPr>
          <w:rFonts w:ascii="Calibri" w:eastAsia="Microsoft JhengHei" w:hAnsi="Calibri"/>
        </w:rPr>
        <w:t xml:space="preserve">Maritime Sector turnover and GVA over the period 2019-2023. To note also that our historical analysis of maritime ends in 2017. This requires us to produce a “now-cast” for the first year (2018) for which we know the actual value of the drivers but not of </w:t>
      </w:r>
      <w:r>
        <w:rPr>
          <w:rFonts w:ascii="Calibri" w:eastAsia="Microsoft JhengHei" w:hAnsi="Calibri"/>
        </w:rPr>
        <w:t xml:space="preserve">Solent-based </w:t>
      </w:r>
      <w:r w:rsidRPr="00D8750F">
        <w:rPr>
          <w:rFonts w:ascii="Calibri" w:eastAsia="Microsoft JhengHei" w:hAnsi="Calibri"/>
        </w:rPr>
        <w:t>Maritime Turnover and GVA and a forecast for the following period.</w:t>
      </w:r>
    </w:p>
    <w:p w14:paraId="675E0C76" w14:textId="77777777" w:rsidR="009B281B" w:rsidRPr="00D8750F" w:rsidRDefault="009B281B" w:rsidP="009B281B">
      <w:pPr>
        <w:pStyle w:val="Heading3"/>
      </w:pPr>
      <w:r w:rsidRPr="00D8750F">
        <w:t>Modelling Assumptions</w:t>
      </w:r>
    </w:p>
    <w:p w14:paraId="1E10F664" w14:textId="518E749F" w:rsidR="009B281B" w:rsidRPr="00D8750F" w:rsidRDefault="00435984" w:rsidP="009B281B">
      <w:pPr>
        <w:pStyle w:val="Heading4"/>
      </w:pPr>
      <w:r>
        <w:t>Solent LEP region GVA</w:t>
      </w:r>
    </w:p>
    <w:p w14:paraId="0BC926E9" w14:textId="77777777" w:rsidR="009B281B" w:rsidRDefault="009B281B" w:rsidP="009B281B">
      <w:pPr>
        <w:rPr>
          <w:rFonts w:ascii="Calibri" w:eastAsia="Microsoft JhengHei" w:hAnsi="Calibri"/>
        </w:rPr>
      </w:pPr>
      <w:proofErr w:type="spellStart"/>
      <w:r w:rsidRPr="00D8750F">
        <w:rPr>
          <w:rFonts w:ascii="Calibri" w:eastAsia="Microsoft JhengHei" w:hAnsi="Calibri"/>
        </w:rPr>
        <w:t>Cebr’s</w:t>
      </w:r>
      <w:proofErr w:type="spellEnd"/>
      <w:r w:rsidRPr="00D8750F">
        <w:rPr>
          <w:rFonts w:ascii="Calibri" w:eastAsia="Microsoft JhengHei" w:hAnsi="Calibri"/>
        </w:rPr>
        <w:t xml:space="preserve"> macroeconomics department produces regular forecasts of key economic indicators for the UK national</w:t>
      </w:r>
      <w:r>
        <w:rPr>
          <w:rFonts w:ascii="Calibri" w:eastAsia="Microsoft JhengHei" w:hAnsi="Calibri"/>
        </w:rPr>
        <w:t>,</w:t>
      </w:r>
      <w:r w:rsidRPr="00D8750F">
        <w:rPr>
          <w:rFonts w:ascii="Calibri" w:eastAsia="Microsoft JhengHei" w:hAnsi="Calibri"/>
        </w:rPr>
        <w:t xml:space="preserve"> regional </w:t>
      </w:r>
      <w:r>
        <w:rPr>
          <w:rFonts w:ascii="Calibri" w:eastAsia="Microsoft JhengHei" w:hAnsi="Calibri"/>
        </w:rPr>
        <w:t xml:space="preserve">and local </w:t>
      </w:r>
      <w:r w:rsidRPr="00D8750F">
        <w:rPr>
          <w:rFonts w:ascii="Calibri" w:eastAsia="Microsoft JhengHei" w:hAnsi="Calibri"/>
        </w:rPr>
        <w:t xml:space="preserve">economies which can directly inform our analysis. We therefore rely on our own </w:t>
      </w:r>
      <w:r>
        <w:rPr>
          <w:rFonts w:ascii="Calibri" w:eastAsia="Microsoft JhengHei" w:hAnsi="Calibri"/>
        </w:rPr>
        <w:t>projections</w:t>
      </w:r>
      <w:r w:rsidRPr="00D8750F">
        <w:rPr>
          <w:rFonts w:ascii="Calibri" w:eastAsia="Microsoft JhengHei" w:hAnsi="Calibri"/>
        </w:rPr>
        <w:t xml:space="preserve"> of </w:t>
      </w:r>
      <w:r>
        <w:rPr>
          <w:rFonts w:ascii="Calibri" w:eastAsia="Microsoft JhengHei" w:hAnsi="Calibri"/>
        </w:rPr>
        <w:t>the Solent LEP economy.</w:t>
      </w:r>
    </w:p>
    <w:p w14:paraId="3EE65E2F" w14:textId="77777777" w:rsidR="009B281B" w:rsidRDefault="009B281B" w:rsidP="009B281B">
      <w:pPr>
        <w:rPr>
          <w:rFonts w:ascii="Calibri" w:eastAsia="Microsoft JhengHei" w:hAnsi="Calibri"/>
        </w:rPr>
      </w:pPr>
      <w:r>
        <w:rPr>
          <w:rFonts w:ascii="Calibri" w:eastAsia="Microsoft JhengHei" w:hAnsi="Calibri"/>
        </w:rPr>
        <w:t>Combining the local authorities forming Solent LEP, we can obtain historical and projected figures for the regional economy we are interested in.</w:t>
      </w:r>
    </w:p>
    <w:p w14:paraId="26B80AFD" w14:textId="3A46EF94" w:rsidR="009B281B" w:rsidRPr="00D8750F" w:rsidRDefault="009B281B" w:rsidP="009B281B">
      <w:pPr>
        <w:rPr>
          <w:rFonts w:ascii="Calibri" w:eastAsia="Microsoft JhengHei" w:hAnsi="Calibri"/>
        </w:rPr>
      </w:pPr>
      <w:bookmarkStart w:id="140" w:name="_Toc11243631"/>
      <w:r w:rsidRPr="00D8750F">
        <w:rPr>
          <w:rFonts w:ascii="Calibri" w:eastAsia="Microsoft JhengHei" w:hAnsi="Calibri"/>
          <w:noProof/>
        </w:rPr>
        <w:t xml:space="preserve">Cebr expects </w:t>
      </w:r>
      <w:r>
        <w:rPr>
          <w:rFonts w:ascii="Calibri" w:eastAsia="Microsoft JhengHei" w:hAnsi="Calibri"/>
          <w:noProof/>
        </w:rPr>
        <w:t>Solent LEP regional</w:t>
      </w:r>
      <w:r w:rsidRPr="00D8750F">
        <w:rPr>
          <w:rFonts w:ascii="Calibri" w:eastAsia="Microsoft JhengHei" w:hAnsi="Calibri"/>
          <w:noProof/>
        </w:rPr>
        <w:t xml:space="preserve"> </w:t>
      </w:r>
      <w:r>
        <w:rPr>
          <w:rFonts w:ascii="Calibri" w:eastAsia="Microsoft JhengHei" w:hAnsi="Calibri"/>
          <w:noProof/>
        </w:rPr>
        <w:t>GVA</w:t>
      </w:r>
      <w:r w:rsidRPr="00D8750F">
        <w:rPr>
          <w:rFonts w:ascii="Calibri" w:eastAsia="Microsoft JhengHei" w:hAnsi="Calibri"/>
          <w:noProof/>
        </w:rPr>
        <w:t xml:space="preserve"> to grow at a moderate </w:t>
      </w:r>
      <w:r w:rsidRPr="00D8750F">
        <w:rPr>
          <w:rFonts w:ascii="Calibri" w:eastAsia="Microsoft JhengHei" w:hAnsi="Calibri"/>
        </w:rPr>
        <w:t xml:space="preserve">Compounded </w:t>
      </w:r>
      <w:r w:rsidR="00FC09E1">
        <w:rPr>
          <w:rFonts w:ascii="Calibri" w:eastAsia="Microsoft JhengHei" w:hAnsi="Calibri"/>
        </w:rPr>
        <w:t>Annual Growth rate (CAGR) of 1.8</w:t>
      </w:r>
      <w:r w:rsidRPr="00D8750F">
        <w:rPr>
          <w:rFonts w:ascii="Calibri" w:eastAsia="Microsoft JhengHei" w:hAnsi="Calibri"/>
        </w:rPr>
        <w:t>% over 2018-2023 in real terms. This rate is lower than the 2.1% CAGR observed during the past 5 years. A high level of uncertainty characterises the forecast as the outcome of Brexit negotiations could easily shift the projections.</w:t>
      </w:r>
    </w:p>
    <w:p w14:paraId="7D8A648C" w14:textId="77777777" w:rsidR="009B281B" w:rsidRPr="00D8750F" w:rsidRDefault="009B281B" w:rsidP="009B281B">
      <w:pPr>
        <w:pStyle w:val="Heading4"/>
      </w:pPr>
      <w:r w:rsidRPr="00D8750F">
        <w:t xml:space="preserve">Seaborne trade </w:t>
      </w:r>
      <w:bookmarkEnd w:id="140"/>
    </w:p>
    <w:p w14:paraId="41404A7E" w14:textId="77777777" w:rsidR="009B281B" w:rsidRDefault="009B281B" w:rsidP="009B281B">
      <w:pPr>
        <w:rPr>
          <w:rFonts w:ascii="Calibri" w:eastAsia="Microsoft JhengHei" w:hAnsi="Calibri"/>
        </w:rPr>
      </w:pPr>
      <w:r>
        <w:rPr>
          <w:rFonts w:ascii="Calibri" w:eastAsia="Microsoft JhengHei" w:hAnsi="Calibri" w:cs="Calibri"/>
        </w:rPr>
        <w:t>As highlighted in the downstream impacts section, Solent LEP performs as an international gateway for the UK trade with the rest of the world.</w:t>
      </w:r>
    </w:p>
    <w:p w14:paraId="5A769286" w14:textId="77777777" w:rsidR="009B281B" w:rsidRPr="00D8750F" w:rsidRDefault="009B281B" w:rsidP="009B281B">
      <w:pPr>
        <w:rPr>
          <w:rFonts w:ascii="Calibri" w:eastAsia="Microsoft JhengHei" w:hAnsi="Calibri" w:cs="Calibri"/>
        </w:rPr>
      </w:pPr>
      <w:r>
        <w:rPr>
          <w:rFonts w:ascii="Calibri" w:eastAsia="Microsoft JhengHei" w:hAnsi="Calibri"/>
        </w:rPr>
        <w:lastRenderedPageBreak/>
        <w:t>S</w:t>
      </w:r>
      <w:r w:rsidRPr="00D8750F">
        <w:rPr>
          <w:rFonts w:ascii="Calibri" w:eastAsia="Microsoft JhengHei" w:hAnsi="Calibri"/>
        </w:rPr>
        <w:t xml:space="preserve">eaborne trade represents the main opportunity for the </w:t>
      </w:r>
      <w:r>
        <w:rPr>
          <w:rFonts w:ascii="Calibri" w:eastAsia="Microsoft JhengHei" w:hAnsi="Calibri"/>
        </w:rPr>
        <w:t xml:space="preserve">UK </w:t>
      </w:r>
      <w:r w:rsidRPr="00D8750F">
        <w:rPr>
          <w:rFonts w:ascii="Calibri" w:eastAsia="Microsoft JhengHei" w:hAnsi="Calibri"/>
        </w:rPr>
        <w:t xml:space="preserve">Maritime Sector over the near future. </w:t>
      </w:r>
      <w:r w:rsidRPr="00D8750F">
        <w:rPr>
          <w:rFonts w:ascii="Calibri" w:eastAsia="Microsoft JhengHei" w:hAnsi="Calibri" w:cs="Calibri"/>
        </w:rPr>
        <w:t>We consider both worldwide and UK-specific trade projections within our modelling framework.</w:t>
      </w:r>
      <w:r>
        <w:rPr>
          <w:rFonts w:ascii="Calibri" w:eastAsia="Microsoft JhengHei" w:hAnsi="Calibri" w:cs="Calibri"/>
        </w:rPr>
        <w:t xml:space="preserve"> </w:t>
      </w:r>
    </w:p>
    <w:p w14:paraId="11DFF4DA" w14:textId="77777777" w:rsidR="009B281B" w:rsidRPr="00D8750F" w:rsidRDefault="009B281B" w:rsidP="009B281B">
      <w:pPr>
        <w:rPr>
          <w:rFonts w:ascii="Calibri" w:eastAsia="Microsoft JhengHei" w:hAnsi="Calibri"/>
        </w:rPr>
      </w:pPr>
      <w:r w:rsidRPr="00D8750F">
        <w:rPr>
          <w:rFonts w:ascii="Calibri" w:eastAsia="Microsoft JhengHei" w:hAnsi="Calibri"/>
        </w:rPr>
        <w:t>Worldwide trends indicate a sustained growth in trade. UNCTAD</w:t>
      </w:r>
      <w:r w:rsidRPr="00D8750F">
        <w:rPr>
          <w:rFonts w:ascii="Calibri" w:eastAsia="Microsoft JhengHei" w:hAnsi="Calibri"/>
          <w:position w:val="12"/>
          <w:sz w:val="18"/>
          <w:vertAlign w:val="superscript"/>
        </w:rPr>
        <w:footnoteReference w:id="42"/>
      </w:r>
      <w:r w:rsidRPr="00D8750F">
        <w:rPr>
          <w:rFonts w:ascii="Calibri" w:eastAsia="Microsoft JhengHei" w:hAnsi="Calibri"/>
        </w:rPr>
        <w:t xml:space="preserve"> sees positive prospects for world seaborne trade forecasting a 3.8% compound annual growth rate between 2018 and 2023 with strongest growth in volumes for containerized and dry bulk commodities. Seaborne trade projections are in line with recent trends showing an average growth rate of 3.5% between 2005 and 2017. These figures are broadly in line with forecasts published by other organisations. DNV GL (an internationally accredited registrar and classification society) projected a 39% increase in seaborne trade tonnage over 2016-2030</w:t>
      </w:r>
      <w:r w:rsidRPr="00D8750F">
        <w:rPr>
          <w:rFonts w:ascii="Calibri" w:eastAsia="Microsoft JhengHei" w:hAnsi="Calibri"/>
          <w:position w:val="12"/>
          <w:sz w:val="18"/>
          <w:vertAlign w:val="superscript"/>
        </w:rPr>
        <w:footnoteReference w:id="43"/>
      </w:r>
      <w:r w:rsidRPr="00D8750F">
        <w:rPr>
          <w:rFonts w:ascii="Calibri" w:eastAsia="Microsoft JhengHei" w:hAnsi="Calibri"/>
        </w:rPr>
        <w:t>. According to the OECD, global trade is forecast to grow at a higher rate than the economy and specifically a 1% increase in GDP is expected to correspond to a 1.1% growth in seaborne trade (tonnes)</w:t>
      </w:r>
      <w:r w:rsidRPr="00D8750F">
        <w:rPr>
          <w:rFonts w:ascii="Calibri" w:eastAsia="Microsoft JhengHei" w:hAnsi="Calibri"/>
          <w:position w:val="12"/>
          <w:sz w:val="18"/>
          <w:vertAlign w:val="superscript"/>
        </w:rPr>
        <w:footnoteReference w:id="44"/>
      </w:r>
      <w:r w:rsidRPr="00D8750F">
        <w:rPr>
          <w:rFonts w:ascii="Calibri" w:eastAsia="Microsoft JhengHei" w:hAnsi="Calibri"/>
          <w:sz w:val="24"/>
        </w:rPr>
        <w:t>.</w:t>
      </w:r>
      <w:r w:rsidRPr="00D8750F">
        <w:rPr>
          <w:rFonts w:ascii="Calibri" w:eastAsia="Microsoft JhengHei" w:hAnsi="Calibri"/>
        </w:rPr>
        <w:t xml:space="preserve">  </w:t>
      </w:r>
    </w:p>
    <w:p w14:paraId="57C0FE53" w14:textId="77777777" w:rsidR="009B281B" w:rsidRPr="00D8750F" w:rsidRDefault="009B281B" w:rsidP="009B281B">
      <w:pPr>
        <w:rPr>
          <w:rFonts w:ascii="Calibri" w:eastAsia="Microsoft JhengHei" w:hAnsi="Calibri" w:cs="Calibri"/>
        </w:rPr>
      </w:pPr>
      <w:r w:rsidRPr="00D8750F">
        <w:rPr>
          <w:rFonts w:ascii="Calibri" w:eastAsia="Microsoft JhengHei" w:hAnsi="Calibri" w:cs="Calibri"/>
        </w:rPr>
        <w:t xml:space="preserve">UK prospects are slightly less optimistic than the aforementioned forecasts, as demonstrated by the 2019 DfT’s projections of UK port freight traffic covering the years 2017 through to 2050. DfT reports that overall port traffic is forecast to remain relatively flat over the short term, but then grow over the long term, with tonnage 39% higher in 2050 compared to 2016. </w:t>
      </w:r>
    </w:p>
    <w:p w14:paraId="21E999A9" w14:textId="77777777" w:rsidR="009B281B" w:rsidRPr="00D8750F" w:rsidRDefault="009B281B" w:rsidP="009B281B">
      <w:pPr>
        <w:pStyle w:val="Heading4"/>
      </w:pPr>
      <w:r>
        <w:t xml:space="preserve">Cruise &amp; International </w:t>
      </w:r>
      <w:r w:rsidRPr="00D8750F">
        <w:t xml:space="preserve">Sea passengers </w:t>
      </w:r>
    </w:p>
    <w:p w14:paraId="19B8A444" w14:textId="77777777" w:rsidR="009B281B" w:rsidRDefault="009B281B" w:rsidP="009B281B">
      <w:pPr>
        <w:rPr>
          <w:rFonts w:ascii="Calibri" w:eastAsia="Microsoft JhengHei" w:hAnsi="Calibri" w:cs="Calibri"/>
        </w:rPr>
      </w:pPr>
      <w:r>
        <w:rPr>
          <w:rFonts w:ascii="Calibri" w:eastAsia="Microsoft JhengHei" w:hAnsi="Calibri" w:cs="Calibri"/>
        </w:rPr>
        <w:t>Solent LEP plays a central role in tourism and leisure with Southampton acting as a cruise hub for the UK and Portsmouth as a main UK port for ferry passengers. The Solent share of international passengers at UK Ports has increased remarkably over the past. In 2017, 1.65 million cruise passengers passed though Southampton and 1.85 million international passengers on short sea routes passed through Portsmouth</w:t>
      </w:r>
      <w:r>
        <w:rPr>
          <w:rStyle w:val="FootnoteReference"/>
          <w:rFonts w:ascii="Calibri" w:eastAsia="Microsoft JhengHei" w:hAnsi="Calibri" w:cs="Calibri"/>
        </w:rPr>
        <w:footnoteReference w:id="45"/>
      </w:r>
      <w:r>
        <w:rPr>
          <w:rFonts w:ascii="Calibri" w:eastAsia="Microsoft JhengHei" w:hAnsi="Calibri" w:cs="Calibri"/>
        </w:rPr>
        <w:t xml:space="preserve">. </w:t>
      </w:r>
    </w:p>
    <w:p w14:paraId="5B827D33" w14:textId="77777777" w:rsidR="009B281B" w:rsidRDefault="009B281B" w:rsidP="009B281B">
      <w:pPr>
        <w:rPr>
          <w:rFonts w:ascii="Calibri" w:eastAsia="Microsoft JhengHei" w:hAnsi="Calibri" w:cs="Calibri"/>
        </w:rPr>
      </w:pPr>
      <w:r>
        <w:rPr>
          <w:rFonts w:ascii="Calibri" w:eastAsia="Microsoft JhengHei" w:hAnsi="Calibri" w:cs="Calibri"/>
        </w:rPr>
        <w:t>Cruise passengers in the UK almost doubled during the last decade and Southampton share of international cruise passengers in the UK also increased.</w:t>
      </w:r>
    </w:p>
    <w:p w14:paraId="3809E5B8" w14:textId="77777777" w:rsidR="009B281B" w:rsidRPr="00FD30DA" w:rsidRDefault="009B281B" w:rsidP="009B281B">
      <w:pPr>
        <w:keepNext/>
        <w:keepLines/>
        <w:spacing w:line="320" w:lineRule="atLeast"/>
        <w:outlineLvl w:val="3"/>
        <w:rPr>
          <w:rFonts w:ascii="Calibri" w:eastAsia="Microsoft JhengHei" w:hAnsi="Calibri" w:cs="Arial"/>
          <w:bCs/>
          <w:iCs/>
          <w:color w:val="7F7F7F"/>
          <w:sz w:val="24"/>
        </w:rPr>
      </w:pPr>
      <w:r w:rsidRPr="009B281B">
        <w:rPr>
          <w:rStyle w:val="Heading4Char"/>
        </w:rPr>
        <w:t>Defence</w:t>
      </w:r>
      <w:r w:rsidRPr="00FD30DA">
        <w:rPr>
          <w:rFonts w:ascii="Calibri" w:eastAsia="Microsoft JhengHei" w:hAnsi="Calibri" w:cs="Arial"/>
          <w:bCs/>
          <w:iCs/>
          <w:color w:val="7F7F7F"/>
          <w:sz w:val="24"/>
        </w:rPr>
        <w:t xml:space="preserve"> budget</w:t>
      </w:r>
    </w:p>
    <w:p w14:paraId="6EBE95AA" w14:textId="77777777" w:rsidR="009B281B" w:rsidRPr="00D8750F" w:rsidRDefault="009B281B" w:rsidP="009B281B">
      <w:pPr>
        <w:rPr>
          <w:rFonts w:ascii="Calibri" w:eastAsia="Microsoft JhengHei" w:hAnsi="Calibri" w:cs="Calibri"/>
        </w:rPr>
      </w:pPr>
      <w:r>
        <w:rPr>
          <w:rFonts w:ascii="Calibri" w:eastAsia="Microsoft JhengHei" w:hAnsi="Calibri" w:cs="Calibri"/>
        </w:rPr>
        <w:t>In order to reflect the inclusion of Portsmouth Naval Base in our analysis, we consider national defence budget as a driver of future economic performance. The UK has the largest defence budget in the EU and the second largest in NATO. Starting from 2016, the government has committed to increase defence spending by 0.5% above inflation until 2021</w:t>
      </w:r>
      <w:r>
        <w:rPr>
          <w:rStyle w:val="FootnoteReference"/>
          <w:rFonts w:ascii="Calibri" w:eastAsia="Microsoft JhengHei" w:hAnsi="Calibri" w:cs="Calibri"/>
        </w:rPr>
        <w:footnoteReference w:id="46"/>
      </w:r>
      <w:r>
        <w:rPr>
          <w:rFonts w:ascii="Calibri" w:eastAsia="Microsoft JhengHei" w:hAnsi="Calibri" w:cs="Calibri"/>
        </w:rPr>
        <w:t xml:space="preserve">. </w:t>
      </w:r>
    </w:p>
    <w:bookmarkEnd w:id="137"/>
    <w:p w14:paraId="20808216" w14:textId="77777777" w:rsidR="009B281B" w:rsidRPr="00D8750F" w:rsidRDefault="009B281B" w:rsidP="009B281B">
      <w:pPr>
        <w:pStyle w:val="Heading3"/>
      </w:pPr>
      <w:r w:rsidRPr="00D8750F">
        <w:t>The 2019-2023 forecast</w:t>
      </w:r>
      <w:r w:rsidRPr="00D8750F">
        <w:tab/>
      </w:r>
    </w:p>
    <w:p w14:paraId="2C1875ED" w14:textId="77777777" w:rsidR="00D17FEA" w:rsidRPr="009B281B" w:rsidRDefault="009B281B" w:rsidP="009B281B">
      <w:pPr>
        <w:rPr>
          <w:rFonts w:ascii="Calibri" w:eastAsia="Microsoft JhengHei" w:hAnsi="Calibri"/>
        </w:rPr>
      </w:pPr>
      <w:r w:rsidRPr="00D8750F">
        <w:rPr>
          <w:rFonts w:ascii="Calibri" w:eastAsia="Microsoft JhengHei" w:hAnsi="Calibri"/>
        </w:rPr>
        <w:fldChar w:fldCharType="begin"/>
      </w:r>
      <w:r w:rsidRPr="00D8750F">
        <w:rPr>
          <w:rFonts w:ascii="Calibri" w:eastAsia="Microsoft JhengHei" w:hAnsi="Calibri"/>
        </w:rPr>
        <w:instrText xml:space="preserve"> REF _Ref15912248 \h </w:instrText>
      </w:r>
      <w:r w:rsidRPr="00D8750F">
        <w:rPr>
          <w:rFonts w:ascii="Calibri" w:eastAsia="Microsoft JhengHei" w:hAnsi="Calibri"/>
        </w:rPr>
      </w:r>
      <w:r w:rsidRPr="00D8750F">
        <w:rPr>
          <w:rFonts w:ascii="Calibri" w:eastAsia="Microsoft JhengHei" w:hAnsi="Calibri"/>
        </w:rPr>
        <w:fldChar w:fldCharType="separate"/>
      </w:r>
    </w:p>
    <w:p w14:paraId="7D0B4C0C" w14:textId="77777777" w:rsidR="009B281B" w:rsidRPr="00D8750F" w:rsidRDefault="00D17FEA" w:rsidP="009B281B">
      <w:pPr>
        <w:rPr>
          <w:rFonts w:ascii="Calibri" w:eastAsia="Microsoft JhengHei" w:hAnsi="Calibri"/>
        </w:rPr>
      </w:pPr>
      <w:r w:rsidRPr="00D8750F">
        <w:rPr>
          <w:rFonts w:ascii="Calibri" w:eastAsia="Microsoft JhengHei" w:hAnsi="Calibri"/>
          <w:i/>
          <w:iCs/>
          <w:color w:val="008C9B"/>
          <w:sz w:val="18"/>
          <w:szCs w:val="18"/>
        </w:rPr>
        <w:t xml:space="preserve">Figure </w:t>
      </w:r>
      <w:r>
        <w:rPr>
          <w:rFonts w:ascii="Calibri" w:eastAsia="Microsoft JhengHei" w:hAnsi="Calibri"/>
          <w:i/>
          <w:iCs/>
          <w:noProof/>
          <w:color w:val="008C9B"/>
          <w:sz w:val="18"/>
          <w:szCs w:val="18"/>
        </w:rPr>
        <w:t>23</w:t>
      </w:r>
      <w:r w:rsidR="009B281B" w:rsidRPr="00D8750F">
        <w:rPr>
          <w:rFonts w:ascii="Calibri" w:eastAsia="Microsoft JhengHei" w:hAnsi="Calibri"/>
        </w:rPr>
        <w:fldChar w:fldCharType="end"/>
      </w:r>
      <w:r w:rsidR="009B281B" w:rsidRPr="00D8750F">
        <w:rPr>
          <w:rFonts w:ascii="Calibri" w:eastAsia="Microsoft JhengHei" w:hAnsi="Calibri"/>
        </w:rPr>
        <w:t xml:space="preserve"> shows the </w:t>
      </w:r>
      <w:r w:rsidR="009B281B">
        <w:rPr>
          <w:rFonts w:ascii="Calibri" w:eastAsia="Microsoft JhengHei" w:hAnsi="Calibri"/>
        </w:rPr>
        <w:t xml:space="preserve">Solent-based </w:t>
      </w:r>
      <w:r w:rsidR="009B281B" w:rsidRPr="00D8750F">
        <w:rPr>
          <w:rFonts w:ascii="Calibri" w:eastAsia="Microsoft JhengHei" w:hAnsi="Calibri"/>
        </w:rPr>
        <w:t xml:space="preserve">Maritime sector experiencing steady growth over the </w:t>
      </w:r>
      <w:proofErr w:type="gramStart"/>
      <w:r w:rsidR="009B281B" w:rsidRPr="00D8750F">
        <w:rPr>
          <w:rFonts w:ascii="Calibri" w:eastAsia="Microsoft JhengHei" w:hAnsi="Calibri"/>
        </w:rPr>
        <w:t>five year</w:t>
      </w:r>
      <w:proofErr w:type="gramEnd"/>
      <w:r w:rsidR="009B281B" w:rsidRPr="00D8750F">
        <w:rPr>
          <w:rFonts w:ascii="Calibri" w:eastAsia="Microsoft JhengHei" w:hAnsi="Calibri"/>
        </w:rPr>
        <w:t xml:space="preserve"> horizon. Our forecast indicates that </w:t>
      </w:r>
      <w:r w:rsidR="009B281B">
        <w:rPr>
          <w:rFonts w:ascii="Calibri" w:eastAsia="Microsoft JhengHei" w:hAnsi="Calibri"/>
        </w:rPr>
        <w:t xml:space="preserve">Solent-based </w:t>
      </w:r>
      <w:r w:rsidR="009B281B" w:rsidRPr="00D8750F">
        <w:rPr>
          <w:rFonts w:ascii="Calibri" w:eastAsia="Microsoft JhengHei" w:hAnsi="Calibri"/>
        </w:rPr>
        <w:t xml:space="preserve">maritime turnover and GVA are set to grow at a Compounded Annual Growth rate (CAGR) of </w:t>
      </w:r>
      <w:r w:rsidR="009B281B">
        <w:rPr>
          <w:rFonts w:ascii="Calibri" w:eastAsia="Microsoft JhengHei" w:hAnsi="Calibri"/>
        </w:rPr>
        <w:t>3.1</w:t>
      </w:r>
      <w:r w:rsidR="009B281B" w:rsidRPr="00D8750F">
        <w:rPr>
          <w:rFonts w:ascii="Calibri" w:eastAsia="Microsoft JhengHei" w:hAnsi="Calibri"/>
        </w:rPr>
        <w:t xml:space="preserve">% over the considered period. This translates into a cumulative </w:t>
      </w:r>
      <w:r w:rsidR="009B281B">
        <w:rPr>
          <w:rFonts w:ascii="Calibri" w:eastAsia="Microsoft JhengHei" w:hAnsi="Calibri"/>
        </w:rPr>
        <w:t xml:space="preserve">nominal </w:t>
      </w:r>
      <w:r w:rsidR="009B281B" w:rsidRPr="00D8750F">
        <w:rPr>
          <w:rFonts w:ascii="Calibri" w:eastAsia="Microsoft JhengHei" w:hAnsi="Calibri"/>
        </w:rPr>
        <w:t>growth of 1</w:t>
      </w:r>
      <w:r w:rsidR="009B281B">
        <w:rPr>
          <w:rFonts w:ascii="Calibri" w:eastAsia="Microsoft JhengHei" w:hAnsi="Calibri"/>
        </w:rPr>
        <w:t>6</w:t>
      </w:r>
      <w:r w:rsidR="009B281B" w:rsidRPr="00D8750F">
        <w:rPr>
          <w:rFonts w:ascii="Calibri" w:eastAsia="Microsoft JhengHei" w:hAnsi="Calibri"/>
        </w:rPr>
        <w:t>% for 2019-2023</w:t>
      </w:r>
      <w:r w:rsidR="009B281B">
        <w:rPr>
          <w:rFonts w:ascii="Calibri" w:eastAsia="Microsoft JhengHei" w:hAnsi="Calibri"/>
        </w:rPr>
        <w:t xml:space="preserve">, which, when </w:t>
      </w:r>
      <w:r w:rsidR="009B281B" w:rsidRPr="00D8750F">
        <w:rPr>
          <w:rFonts w:ascii="Calibri" w:eastAsia="Microsoft JhengHei" w:hAnsi="Calibri"/>
        </w:rPr>
        <w:t xml:space="preserve">considered alongside projected inflation, is about </w:t>
      </w:r>
      <w:r w:rsidR="009B281B">
        <w:rPr>
          <w:rFonts w:ascii="Calibri" w:eastAsia="Microsoft JhengHei" w:hAnsi="Calibri"/>
        </w:rPr>
        <w:t>6</w:t>
      </w:r>
      <w:r w:rsidR="009B281B" w:rsidRPr="00D8750F">
        <w:rPr>
          <w:rFonts w:ascii="Calibri" w:eastAsia="Microsoft JhengHei" w:hAnsi="Calibri"/>
        </w:rPr>
        <w:t>%.</w:t>
      </w:r>
    </w:p>
    <w:p w14:paraId="0312CD2A" w14:textId="7DEEB72F" w:rsidR="009B281B" w:rsidRPr="009B281B" w:rsidRDefault="009B281B" w:rsidP="009B281B">
      <w:pPr>
        <w:rPr>
          <w:rFonts w:ascii="Calibri" w:eastAsia="Microsoft JhengHei" w:hAnsi="Calibri"/>
        </w:rPr>
      </w:pPr>
      <w:r>
        <w:rPr>
          <w:rFonts w:ascii="Calibri" w:eastAsia="Microsoft JhengHei" w:hAnsi="Calibri"/>
        </w:rPr>
        <w:lastRenderedPageBreak/>
        <w:t xml:space="preserve">Although the projected growth is lower than what experienced over the period from 2010 to 2017, maritime sector in the Solent LEP region is set to grow at a faster rate than in the UK, where we forecast a CAGR of 2.7%. </w:t>
      </w:r>
      <w:bookmarkStart w:id="141" w:name="_Ref15912248"/>
    </w:p>
    <w:p w14:paraId="59D0D920" w14:textId="0289FF46" w:rsidR="009B281B" w:rsidRPr="00D8750F" w:rsidRDefault="009B281B" w:rsidP="009B281B">
      <w:pPr>
        <w:spacing w:after="200"/>
        <w:rPr>
          <w:rFonts w:ascii="Calibri" w:eastAsia="Microsoft JhengHei" w:hAnsi="Calibri"/>
          <w:i/>
          <w:iCs/>
          <w:color w:val="008C9B"/>
          <w:sz w:val="18"/>
          <w:szCs w:val="18"/>
        </w:rPr>
      </w:pPr>
      <w:r w:rsidRPr="00D8750F">
        <w:rPr>
          <w:rFonts w:ascii="Calibri" w:eastAsia="Microsoft JhengHei" w:hAnsi="Calibri"/>
          <w:i/>
          <w:iCs/>
          <w:color w:val="008C9B"/>
          <w:sz w:val="18"/>
          <w:szCs w:val="18"/>
        </w:rPr>
        <w:t xml:space="preserve">Figure </w:t>
      </w:r>
      <w:r w:rsidRPr="00D8750F">
        <w:rPr>
          <w:rFonts w:ascii="Calibri" w:eastAsia="Microsoft JhengHei" w:hAnsi="Calibri"/>
          <w:i/>
          <w:iCs/>
          <w:noProof/>
          <w:color w:val="008C9B"/>
          <w:sz w:val="18"/>
          <w:szCs w:val="18"/>
        </w:rPr>
        <w:fldChar w:fldCharType="begin"/>
      </w:r>
      <w:r w:rsidRPr="00D8750F">
        <w:rPr>
          <w:rFonts w:ascii="Calibri" w:eastAsia="Microsoft JhengHei" w:hAnsi="Calibri"/>
          <w:i/>
          <w:iCs/>
          <w:noProof/>
          <w:color w:val="008C9B"/>
          <w:sz w:val="18"/>
          <w:szCs w:val="18"/>
        </w:rPr>
        <w:instrText xml:space="preserve"> SEQ Figure \* ARABIC </w:instrText>
      </w:r>
      <w:r w:rsidRPr="00D8750F">
        <w:rPr>
          <w:rFonts w:ascii="Calibri" w:eastAsia="Microsoft JhengHei" w:hAnsi="Calibri"/>
          <w:i/>
          <w:iCs/>
          <w:noProof/>
          <w:color w:val="008C9B"/>
          <w:sz w:val="18"/>
          <w:szCs w:val="18"/>
        </w:rPr>
        <w:fldChar w:fldCharType="separate"/>
      </w:r>
      <w:r w:rsidR="00D17FEA">
        <w:rPr>
          <w:rFonts w:ascii="Calibri" w:eastAsia="Microsoft JhengHei" w:hAnsi="Calibri"/>
          <w:i/>
          <w:iCs/>
          <w:noProof/>
          <w:color w:val="008C9B"/>
          <w:sz w:val="18"/>
          <w:szCs w:val="18"/>
        </w:rPr>
        <w:t>23</w:t>
      </w:r>
      <w:r w:rsidRPr="00D8750F">
        <w:rPr>
          <w:rFonts w:ascii="Calibri" w:eastAsia="Microsoft JhengHei" w:hAnsi="Calibri"/>
          <w:i/>
          <w:iCs/>
          <w:noProof/>
          <w:color w:val="008C9B"/>
          <w:sz w:val="18"/>
          <w:szCs w:val="18"/>
        </w:rPr>
        <w:fldChar w:fldCharType="end"/>
      </w:r>
      <w:bookmarkEnd w:id="141"/>
      <w:r w:rsidRPr="00D8750F">
        <w:rPr>
          <w:rFonts w:ascii="Calibri" w:eastAsia="Microsoft JhengHei" w:hAnsi="Calibri"/>
          <w:i/>
          <w:iCs/>
          <w:color w:val="008C9B"/>
          <w:sz w:val="18"/>
          <w:szCs w:val="18"/>
        </w:rPr>
        <w:t xml:space="preserve">: </w:t>
      </w:r>
      <w:r>
        <w:rPr>
          <w:rFonts w:ascii="Calibri" w:eastAsia="Microsoft JhengHei" w:hAnsi="Calibri"/>
          <w:i/>
          <w:iCs/>
          <w:color w:val="008C9B"/>
          <w:sz w:val="18"/>
          <w:szCs w:val="18"/>
        </w:rPr>
        <w:t>Solent-based m</w:t>
      </w:r>
      <w:r w:rsidRPr="00D8750F">
        <w:rPr>
          <w:rFonts w:ascii="Calibri" w:eastAsia="Microsoft JhengHei" w:hAnsi="Calibri"/>
          <w:i/>
          <w:iCs/>
          <w:color w:val="008C9B"/>
          <w:sz w:val="18"/>
          <w:szCs w:val="18"/>
        </w:rPr>
        <w:t>aritime sector turnover and GVA trends and projections, £ million, 2015 to 2023</w:t>
      </w:r>
    </w:p>
    <w:p w14:paraId="3C268CF9" w14:textId="7843108B" w:rsidR="009B281B" w:rsidRPr="00D8750F" w:rsidRDefault="003B28E3" w:rsidP="009B281B">
      <w:pPr>
        <w:rPr>
          <w:rFonts w:ascii="Calibri" w:eastAsia="Microsoft JhengHei" w:hAnsi="Calibri"/>
        </w:rPr>
      </w:pPr>
      <w:r>
        <w:rPr>
          <w:noProof/>
          <w:lang w:eastAsia="en-GB"/>
        </w:rPr>
        <w:drawing>
          <wp:inline distT="0" distB="0" distL="0" distR="0" wp14:anchorId="3FDE956A" wp14:editId="55376974">
            <wp:extent cx="6113536" cy="4121761"/>
            <wp:effectExtent l="0" t="0" r="1905" b="0"/>
            <wp:docPr id="19" name="Chart 19">
              <a:extLst xmlns:a="http://schemas.openxmlformats.org/drawingml/2006/main">
                <a:ext uri="{FF2B5EF4-FFF2-40B4-BE49-F238E27FC236}">
                  <a16:creationId xmlns:a16="http://schemas.microsoft.com/office/drawing/2014/main" id="{A9446CF9-EFA1-4523-9FD2-D021A47C06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DFAF8F6" w14:textId="77777777" w:rsidR="009B281B" w:rsidRDefault="009B281B" w:rsidP="009B281B"/>
    <w:p w14:paraId="79CD5909" w14:textId="77777777" w:rsidR="009B281B" w:rsidRPr="00B86153" w:rsidRDefault="009B281B" w:rsidP="00A74D2A">
      <w:pPr>
        <w:spacing w:before="60" w:after="120"/>
        <w:rPr>
          <w:i/>
        </w:rPr>
      </w:pPr>
    </w:p>
    <w:p w14:paraId="72146439" w14:textId="6172D5D7" w:rsidR="00AD1337" w:rsidRDefault="007E27BC" w:rsidP="009D3144">
      <w:pPr>
        <w:pStyle w:val="Heading1"/>
      </w:pPr>
      <w:bookmarkStart w:id="142" w:name="_Toc20139757"/>
      <w:r>
        <w:lastRenderedPageBreak/>
        <w:t>Concluding remarks</w:t>
      </w:r>
      <w:bookmarkEnd w:id="142"/>
    </w:p>
    <w:p w14:paraId="0BA28389" w14:textId="403A610D" w:rsidR="0006481D" w:rsidRDefault="0006481D">
      <w:r>
        <w:t>This report has assessed the economic importance of the Solent-based Maritime sector and Portsmouth Naval Base from two perspectives that serve to harness downstream and upstream relationships, respectively:</w:t>
      </w:r>
    </w:p>
    <w:p w14:paraId="4AEB7D26" w14:textId="77777777" w:rsidR="00A7673A" w:rsidRPr="00A73109" w:rsidRDefault="00A7673A" w:rsidP="00A73109">
      <w:pPr>
        <w:pStyle w:val="ListBullet"/>
        <w:numPr>
          <w:ilvl w:val="0"/>
          <w:numId w:val="20"/>
        </w:numPr>
        <w:spacing w:after="120"/>
        <w:ind w:left="360"/>
        <w:rPr>
          <w:rFonts w:ascii="Calibri" w:eastAsia="Microsoft JhengHei" w:hAnsi="Calibri"/>
        </w:rPr>
      </w:pPr>
      <w:r w:rsidRPr="00A73109">
        <w:rPr>
          <w:rFonts w:ascii="Calibri" w:eastAsia="Microsoft JhengHei" w:hAnsi="Calibri"/>
        </w:rPr>
        <w:t>The role that it plays as a gateway for trade with the rest of the world</w:t>
      </w:r>
    </w:p>
    <w:p w14:paraId="55697CF4" w14:textId="4273E95D" w:rsidR="00A7673A" w:rsidRPr="00A73109" w:rsidRDefault="00A7673A" w:rsidP="00A73109">
      <w:pPr>
        <w:pStyle w:val="ListBullet"/>
        <w:numPr>
          <w:ilvl w:val="0"/>
          <w:numId w:val="20"/>
        </w:numPr>
        <w:spacing w:after="120"/>
        <w:ind w:left="360"/>
        <w:rPr>
          <w:rFonts w:ascii="Calibri" w:eastAsia="Microsoft JhengHei" w:hAnsi="Calibri"/>
        </w:rPr>
      </w:pPr>
      <w:r w:rsidRPr="00A73109">
        <w:rPr>
          <w:rFonts w:ascii="Calibri" w:eastAsia="Microsoft JhengHei" w:hAnsi="Calibri"/>
        </w:rPr>
        <w:t xml:space="preserve">The economic impact of the Solent maritime sector and Portsmouth Naval base in terms of the key macroeconomic indicators: gross value added (GVA), employment and the compensation of employees. </w:t>
      </w:r>
    </w:p>
    <w:p w14:paraId="3B6E454B" w14:textId="71521DC0" w:rsidR="0006481D" w:rsidRDefault="0006481D" w:rsidP="009D3144">
      <w:pPr>
        <w:pStyle w:val="Heading2"/>
      </w:pPr>
      <w:bookmarkStart w:id="143" w:name="_Toc20139758"/>
      <w:r>
        <w:t>The Solent-based maritime sector as a gateway for international trade</w:t>
      </w:r>
      <w:bookmarkEnd w:id="143"/>
    </w:p>
    <w:p w14:paraId="1931084A" w14:textId="77777777" w:rsidR="00A7673A" w:rsidRDefault="00A7673A" w:rsidP="009D3144">
      <w:pPr>
        <w:pStyle w:val="ListBullet"/>
        <w:spacing w:after="120"/>
        <w:rPr>
          <w:rFonts w:ascii="Calibri" w:eastAsia="Microsoft JhengHei" w:hAnsi="Calibri"/>
        </w:rPr>
      </w:pPr>
      <w:r w:rsidRPr="000C2BD2">
        <w:rPr>
          <w:rFonts w:ascii="Calibri" w:eastAsia="Microsoft JhengHei" w:hAnsi="Calibri"/>
        </w:rPr>
        <w:t>An important lens through which to understand the importance of the maritime sector in the Solent LEP is the role that it plays in facilitating UK trade with the rest of the world. International trade drives economic growth and better living standards.</w:t>
      </w:r>
    </w:p>
    <w:p w14:paraId="0917CD1D" w14:textId="6D420647" w:rsidR="00A7673A" w:rsidRDefault="00A7673A" w:rsidP="009D3144">
      <w:pPr>
        <w:pStyle w:val="Heading3"/>
      </w:pPr>
      <w:r>
        <w:t>Importance in facilitating exports</w:t>
      </w:r>
    </w:p>
    <w:p w14:paraId="6999BAE3" w14:textId="5FF2E72E" w:rsidR="00A7673A" w:rsidRPr="000C2BD2" w:rsidRDefault="00A7673A" w:rsidP="009D3144">
      <w:pPr>
        <w:pStyle w:val="ListBullet"/>
        <w:spacing w:after="120"/>
        <w:rPr>
          <w:rFonts w:ascii="Calibri" w:eastAsia="Microsoft JhengHei" w:hAnsi="Calibri"/>
        </w:rPr>
      </w:pPr>
      <w:r w:rsidRPr="000C2BD2">
        <w:rPr>
          <w:rFonts w:ascii="Calibri" w:eastAsia="Microsoft JhengHei" w:hAnsi="Calibri"/>
        </w:rPr>
        <w:t>In 201</w:t>
      </w:r>
      <w:r w:rsidR="00615ABC">
        <w:rPr>
          <w:rFonts w:ascii="Calibri" w:eastAsia="Microsoft JhengHei" w:hAnsi="Calibri"/>
        </w:rPr>
        <w:t>7</w:t>
      </w:r>
      <w:r w:rsidRPr="000C2BD2">
        <w:rPr>
          <w:rFonts w:ascii="Calibri" w:eastAsia="Microsoft JhengHei" w:hAnsi="Calibri"/>
        </w:rPr>
        <w:t xml:space="preserve"> the Solent</w:t>
      </w:r>
      <w:r>
        <w:rPr>
          <w:rFonts w:ascii="Calibri" w:eastAsia="Microsoft JhengHei" w:hAnsi="Calibri"/>
        </w:rPr>
        <w:t>-based</w:t>
      </w:r>
      <w:r w:rsidRPr="000C2BD2">
        <w:rPr>
          <w:rFonts w:ascii="Calibri" w:eastAsia="Microsoft JhengHei" w:hAnsi="Calibri"/>
        </w:rPr>
        <w:t xml:space="preserve"> </w:t>
      </w:r>
      <w:r>
        <w:rPr>
          <w:rFonts w:ascii="Calibri" w:eastAsia="Microsoft JhengHei" w:hAnsi="Calibri"/>
        </w:rPr>
        <w:t>maritime sector</w:t>
      </w:r>
      <w:r w:rsidRPr="000C2BD2">
        <w:rPr>
          <w:rFonts w:ascii="Calibri" w:eastAsia="Microsoft JhengHei" w:hAnsi="Calibri"/>
        </w:rPr>
        <w:t xml:space="preserve"> facilitated 1</w:t>
      </w:r>
      <w:r w:rsidR="00615ABC">
        <w:rPr>
          <w:rFonts w:ascii="Calibri" w:eastAsia="Microsoft JhengHei" w:hAnsi="Calibri"/>
        </w:rPr>
        <w:t>3</w:t>
      </w:r>
      <w:r w:rsidRPr="000C2BD2">
        <w:rPr>
          <w:rFonts w:ascii="Calibri" w:eastAsia="Microsoft JhengHei" w:hAnsi="Calibri"/>
        </w:rPr>
        <w:t xml:space="preserve">% of the volume of </w:t>
      </w:r>
      <w:r>
        <w:rPr>
          <w:rFonts w:ascii="Calibri" w:eastAsia="Microsoft JhengHei" w:hAnsi="Calibri"/>
        </w:rPr>
        <w:t xml:space="preserve">total </w:t>
      </w:r>
      <w:r w:rsidRPr="000C2BD2">
        <w:rPr>
          <w:rFonts w:ascii="Calibri" w:eastAsia="Microsoft JhengHei" w:hAnsi="Calibri"/>
        </w:rPr>
        <w:t>UK exports with non-EU countries, and 1</w:t>
      </w:r>
      <w:r w:rsidR="00615ABC">
        <w:rPr>
          <w:rFonts w:ascii="Calibri" w:eastAsia="Microsoft JhengHei" w:hAnsi="Calibri"/>
        </w:rPr>
        <w:t>3</w:t>
      </w:r>
      <w:r w:rsidR="00AD7C07">
        <w:rPr>
          <w:rFonts w:ascii="Calibri" w:eastAsia="Microsoft JhengHei" w:hAnsi="Calibri"/>
        </w:rPr>
        <w:t xml:space="preserve">% </w:t>
      </w:r>
      <w:r w:rsidRPr="000C2BD2">
        <w:rPr>
          <w:rFonts w:ascii="Calibri" w:eastAsia="Microsoft JhengHei" w:hAnsi="Calibri"/>
        </w:rPr>
        <w:t>of the</w:t>
      </w:r>
      <w:r>
        <w:rPr>
          <w:rFonts w:ascii="Calibri" w:eastAsia="Microsoft JhengHei" w:hAnsi="Calibri"/>
        </w:rPr>
        <w:t xml:space="preserve"> total</w:t>
      </w:r>
      <w:r w:rsidRPr="000C2BD2">
        <w:rPr>
          <w:rFonts w:ascii="Calibri" w:eastAsia="Microsoft JhengHei" w:hAnsi="Calibri"/>
        </w:rPr>
        <w:t xml:space="preserve"> value </w:t>
      </w:r>
      <w:r>
        <w:rPr>
          <w:rFonts w:ascii="Calibri" w:eastAsia="Microsoft JhengHei" w:hAnsi="Calibri"/>
        </w:rPr>
        <w:t xml:space="preserve">of these </w:t>
      </w:r>
      <w:r w:rsidRPr="000C2BD2">
        <w:rPr>
          <w:rFonts w:ascii="Calibri" w:eastAsia="Microsoft JhengHei" w:hAnsi="Calibri"/>
        </w:rPr>
        <w:t>exports.  The Solent is particularly important for the export of “machinery and transport equipment”, facilitating £1</w:t>
      </w:r>
      <w:r w:rsidR="00615ABC">
        <w:rPr>
          <w:rFonts w:ascii="Calibri" w:eastAsia="Microsoft JhengHei" w:hAnsi="Calibri"/>
        </w:rPr>
        <w:t>7</w:t>
      </w:r>
      <w:r w:rsidRPr="000C2BD2">
        <w:rPr>
          <w:rFonts w:ascii="Calibri" w:eastAsia="Microsoft JhengHei" w:hAnsi="Calibri"/>
        </w:rPr>
        <w:t xml:space="preserve"> billion of exports, or 2</w:t>
      </w:r>
      <w:r w:rsidR="00615ABC">
        <w:rPr>
          <w:rFonts w:ascii="Calibri" w:eastAsia="Microsoft JhengHei" w:hAnsi="Calibri"/>
        </w:rPr>
        <w:t>2</w:t>
      </w:r>
      <w:r w:rsidRPr="000C2BD2">
        <w:rPr>
          <w:rFonts w:ascii="Calibri" w:eastAsia="Microsoft JhengHei" w:hAnsi="Calibri"/>
        </w:rPr>
        <w:t>% of the value of the UK total. The vast majority of exports falling under this category</w:t>
      </w:r>
      <w:r>
        <w:t xml:space="preserve"> were road vehicles (£1</w:t>
      </w:r>
      <w:r w:rsidR="00615ABC">
        <w:t>2</w:t>
      </w:r>
      <w:r>
        <w:t xml:space="preserve"> billion). </w:t>
      </w:r>
    </w:p>
    <w:p w14:paraId="723B6FEF" w14:textId="65BBAE53" w:rsidR="00A7673A" w:rsidRPr="00F51E75" w:rsidRDefault="00A7673A" w:rsidP="009D3144">
      <w:pPr>
        <w:pStyle w:val="Heading3"/>
      </w:pPr>
      <w:r>
        <w:t>Importance in facilitating imports</w:t>
      </w:r>
    </w:p>
    <w:p w14:paraId="3F43701E" w14:textId="7AC80006" w:rsidR="00A7673A" w:rsidRDefault="00A7673A" w:rsidP="009D3144">
      <w:pPr>
        <w:pStyle w:val="ListBullet"/>
        <w:spacing w:after="120"/>
      </w:pPr>
      <w:r>
        <w:t>In 201</w:t>
      </w:r>
      <w:r w:rsidR="00FD31C1">
        <w:t>7</w:t>
      </w:r>
      <w:r>
        <w:t xml:space="preserve"> the Solent maritime sector facilitated 10% of the volume of UK imports with non-EU countries, and 1</w:t>
      </w:r>
      <w:r w:rsidR="00FD31C1">
        <w:t>1</w:t>
      </w:r>
      <w:r>
        <w:t xml:space="preserve">% of the value total UK imports. In particular, it facilitates </w:t>
      </w:r>
      <w:r w:rsidR="00FD31C1">
        <w:t>21</w:t>
      </w:r>
      <w:r>
        <w:t xml:space="preserve">% of the total value of UK imports of petroleum products, and 24% of the value of road vehicles. Furthermore, it accounts for </w:t>
      </w:r>
      <w:r w:rsidR="00FD31C1">
        <w:t>31</w:t>
      </w:r>
      <w:r>
        <w:t>% of the value of UK imports of parts and accessories for motor vehicles, so confirming its role in facilitating the supply chain needs of UK manufacturers of machinery and transport equipment.</w:t>
      </w:r>
    </w:p>
    <w:p w14:paraId="71350AEF" w14:textId="7B8C5760" w:rsidR="00CE282B" w:rsidRPr="009D3144" w:rsidRDefault="00CE282B" w:rsidP="009D3144">
      <w:pPr>
        <w:pStyle w:val="ListBullet"/>
        <w:spacing w:after="120"/>
        <w:rPr>
          <w:b/>
        </w:rPr>
      </w:pPr>
      <w:r>
        <w:t>The overall conclusion from this analysis is that the m</w:t>
      </w:r>
      <w:r w:rsidRPr="005920FA">
        <w:t>aritime sector in the Solent provides</w:t>
      </w:r>
      <w:r w:rsidRPr="005920FA">
        <w:rPr>
          <w:b/>
        </w:rPr>
        <w:t xml:space="preserve"> </w:t>
      </w:r>
      <w:r w:rsidRPr="009D3144">
        <w:t>a vital cog in the wheel of most, if not all, of the full range of manufacturing sectors in the UK, from food and clothing, to motor cars and goods vehicles to aircraft, spacecraft and satellites.</w:t>
      </w:r>
      <w:r w:rsidRPr="005920FA">
        <w:rPr>
          <w:b/>
        </w:rPr>
        <w:t xml:space="preserve"> </w:t>
      </w:r>
      <w:r w:rsidRPr="005920FA">
        <w:t>This role comes in various guises from ensuring the movement of vital imported inputs to UK manufacturers from abroad, of valuable exports to our trading partners or in moving imported final goods that provide a competitive discipline for UK manufacturers looking to maintain global market share.</w:t>
      </w:r>
    </w:p>
    <w:p w14:paraId="764C4057" w14:textId="664D3187" w:rsidR="0006481D" w:rsidRDefault="0006481D" w:rsidP="009D3144">
      <w:pPr>
        <w:pStyle w:val="Heading2"/>
      </w:pPr>
      <w:bookmarkStart w:id="144" w:name="_Toc20139759"/>
      <w:r>
        <w:t>The economic impact of the Solent-based maritime sector</w:t>
      </w:r>
      <w:bookmarkEnd w:id="144"/>
    </w:p>
    <w:p w14:paraId="0A0A80D5" w14:textId="633023EC" w:rsidR="00CE282B" w:rsidRPr="00F51E75" w:rsidRDefault="00537523">
      <w:r>
        <w:rPr>
          <w:rFonts w:ascii="Calibri" w:eastAsia="Microsoft JhengHei" w:hAnsi="Calibri"/>
        </w:rPr>
        <w:t>After accounting for the wider economic impacts that occur through industry supply chains and induced effects of expenditure, the total</w:t>
      </w:r>
      <w:r w:rsidR="003A459B">
        <w:rPr>
          <w:rFonts w:ascii="Calibri" w:eastAsia="Microsoft JhengHei" w:hAnsi="Calibri"/>
        </w:rPr>
        <w:t xml:space="preserve"> </w:t>
      </w:r>
      <w:r>
        <w:rPr>
          <w:rFonts w:ascii="Calibri" w:eastAsia="Microsoft JhengHei" w:hAnsi="Calibri"/>
        </w:rPr>
        <w:t xml:space="preserve">economic </w:t>
      </w:r>
      <w:r w:rsidR="00A003C9">
        <w:rPr>
          <w:rFonts w:ascii="Calibri" w:eastAsia="Microsoft JhengHei" w:hAnsi="Calibri"/>
        </w:rPr>
        <w:t>footprint</w:t>
      </w:r>
      <w:r>
        <w:rPr>
          <w:rFonts w:ascii="Calibri" w:eastAsia="Microsoft JhengHei" w:hAnsi="Calibri"/>
        </w:rPr>
        <w:t xml:space="preserve"> of the Solent-based Maritime sector and Portsmouth Naval Based are summarised in </w:t>
      </w:r>
      <w:r>
        <w:rPr>
          <w:rFonts w:ascii="Calibri" w:eastAsia="Microsoft JhengHei" w:hAnsi="Calibri"/>
        </w:rPr>
        <w:fldChar w:fldCharType="begin"/>
      </w:r>
      <w:r>
        <w:rPr>
          <w:rFonts w:ascii="Calibri" w:eastAsia="Microsoft JhengHei" w:hAnsi="Calibri"/>
        </w:rPr>
        <w:instrText xml:space="preserve"> REF _Ref506307636 \h </w:instrText>
      </w:r>
      <w:r>
        <w:rPr>
          <w:rFonts w:ascii="Calibri" w:eastAsia="Microsoft JhengHei" w:hAnsi="Calibri"/>
        </w:rPr>
      </w:r>
      <w:r>
        <w:rPr>
          <w:rFonts w:ascii="Calibri" w:eastAsia="Microsoft JhengHei" w:hAnsi="Calibri"/>
        </w:rPr>
        <w:fldChar w:fldCharType="separate"/>
      </w:r>
      <w:r w:rsidR="00D17FEA">
        <w:t xml:space="preserve">Table </w:t>
      </w:r>
      <w:r w:rsidR="00D17FEA">
        <w:rPr>
          <w:noProof/>
        </w:rPr>
        <w:t>23</w:t>
      </w:r>
      <w:r>
        <w:rPr>
          <w:rFonts w:ascii="Calibri" w:eastAsia="Microsoft JhengHei" w:hAnsi="Calibri"/>
        </w:rPr>
        <w:fldChar w:fldCharType="end"/>
      </w:r>
      <w:r>
        <w:rPr>
          <w:rFonts w:ascii="Calibri" w:eastAsia="Microsoft JhengHei" w:hAnsi="Calibri"/>
        </w:rPr>
        <w:t>:</w:t>
      </w:r>
    </w:p>
    <w:p w14:paraId="3DA78865" w14:textId="2F9DBF18" w:rsidR="00CE282B" w:rsidRDefault="00CE282B" w:rsidP="009D3144">
      <w:pPr>
        <w:pStyle w:val="Caption"/>
        <w:keepNext/>
      </w:pPr>
      <w:bookmarkStart w:id="145" w:name="_Ref506307636"/>
      <w:r>
        <w:t xml:space="preserve">Table </w:t>
      </w:r>
      <w:r w:rsidR="00A003C9">
        <w:rPr>
          <w:noProof/>
        </w:rPr>
        <w:fldChar w:fldCharType="begin"/>
      </w:r>
      <w:r w:rsidR="00A003C9">
        <w:rPr>
          <w:noProof/>
        </w:rPr>
        <w:instrText xml:space="preserve"> SEQ Table \* ARABIC </w:instrText>
      </w:r>
      <w:r w:rsidR="00A003C9">
        <w:rPr>
          <w:noProof/>
        </w:rPr>
        <w:fldChar w:fldCharType="separate"/>
      </w:r>
      <w:r w:rsidR="00D17FEA">
        <w:rPr>
          <w:noProof/>
        </w:rPr>
        <w:t>23</w:t>
      </w:r>
      <w:r w:rsidR="00A003C9">
        <w:rPr>
          <w:noProof/>
        </w:rPr>
        <w:fldChar w:fldCharType="end"/>
      </w:r>
      <w:bookmarkEnd w:id="145"/>
      <w:r>
        <w:t xml:space="preserve">: Summary of the </w:t>
      </w:r>
      <w:r w:rsidR="00A003C9">
        <w:t>aggregate</w:t>
      </w:r>
      <w:r>
        <w:t xml:space="preserve"> economic impacts of the Solent-based maritime sector and Portsmouth Naval Base</w:t>
      </w:r>
      <w:r w:rsidR="009D3144">
        <w:t>, 2017</w:t>
      </w:r>
    </w:p>
    <w:tbl>
      <w:tblPr>
        <w:tblW w:w="4086" w:type="dxa"/>
        <w:jc w:val="center"/>
        <w:tblLook w:val="04A0" w:firstRow="1" w:lastRow="0" w:firstColumn="1" w:lastColumn="0" w:noHBand="0" w:noVBand="1"/>
      </w:tblPr>
      <w:tblGrid>
        <w:gridCol w:w="1093"/>
        <w:gridCol w:w="1416"/>
        <w:gridCol w:w="1577"/>
      </w:tblGrid>
      <w:tr w:rsidR="00CE282B" w:rsidRPr="00CE282B" w14:paraId="153B38F8" w14:textId="77777777" w:rsidTr="009D3144">
        <w:trPr>
          <w:trHeight w:val="1013"/>
          <w:jc w:val="center"/>
        </w:trPr>
        <w:tc>
          <w:tcPr>
            <w:tcW w:w="1093" w:type="dxa"/>
            <w:tcBorders>
              <w:top w:val="single" w:sz="8" w:space="0" w:color="FFFFFF"/>
              <w:left w:val="nil"/>
              <w:bottom w:val="single" w:sz="12" w:space="0" w:color="FFFFFF"/>
              <w:right w:val="single" w:sz="8" w:space="0" w:color="FFFFFF"/>
            </w:tcBorders>
            <w:shd w:val="clear" w:color="000000" w:fill="008C9B"/>
            <w:vAlign w:val="center"/>
            <w:hideMark/>
          </w:tcPr>
          <w:p w14:paraId="06C4DD2E" w14:textId="77777777" w:rsidR="00CE282B" w:rsidRPr="00CE282B" w:rsidRDefault="00CE282B" w:rsidP="00CE282B">
            <w:pPr>
              <w:spacing w:after="0"/>
              <w:jc w:val="center"/>
              <w:rPr>
                <w:rFonts w:ascii="Calibri" w:eastAsia="Times New Roman" w:hAnsi="Calibri"/>
                <w:b/>
                <w:bCs/>
                <w:color w:val="FFFFFF"/>
                <w:sz w:val="20"/>
                <w:lang w:eastAsia="en-GB"/>
              </w:rPr>
            </w:pPr>
            <w:r w:rsidRPr="00CE282B">
              <w:rPr>
                <w:rFonts w:ascii="Calibri" w:eastAsia="Times New Roman" w:hAnsi="Calibri"/>
                <w:b/>
                <w:bCs/>
                <w:color w:val="FFFFFF"/>
                <w:sz w:val="20"/>
                <w:lang w:eastAsia="en-GB"/>
              </w:rPr>
              <w:t xml:space="preserve">GVA </w:t>
            </w:r>
            <w:r w:rsidRPr="00CE282B">
              <w:rPr>
                <w:rFonts w:ascii="Calibri" w:eastAsia="Times New Roman" w:hAnsi="Calibri"/>
                <w:b/>
                <w:bCs/>
                <w:color w:val="FFFFFF"/>
                <w:sz w:val="20"/>
                <w:lang w:eastAsia="en-GB"/>
              </w:rPr>
              <w:br/>
              <w:t>(£m)</w:t>
            </w:r>
          </w:p>
        </w:tc>
        <w:tc>
          <w:tcPr>
            <w:tcW w:w="1416" w:type="dxa"/>
            <w:tcBorders>
              <w:top w:val="single" w:sz="8" w:space="0" w:color="FFFFFF"/>
              <w:left w:val="nil"/>
              <w:bottom w:val="single" w:sz="12" w:space="0" w:color="FFFFFF"/>
              <w:right w:val="single" w:sz="8" w:space="0" w:color="FFFFFF"/>
            </w:tcBorders>
            <w:shd w:val="clear" w:color="000000" w:fill="008C9B"/>
            <w:vAlign w:val="center"/>
            <w:hideMark/>
          </w:tcPr>
          <w:p w14:paraId="4965DABE" w14:textId="77777777" w:rsidR="00CE282B" w:rsidRPr="00CE282B" w:rsidRDefault="00CE282B" w:rsidP="00CE282B">
            <w:pPr>
              <w:spacing w:after="0"/>
              <w:jc w:val="center"/>
              <w:rPr>
                <w:rFonts w:ascii="Calibri" w:eastAsia="Times New Roman" w:hAnsi="Calibri"/>
                <w:b/>
                <w:bCs/>
                <w:color w:val="FFFFFF"/>
                <w:sz w:val="20"/>
                <w:lang w:eastAsia="en-GB"/>
              </w:rPr>
            </w:pPr>
            <w:r w:rsidRPr="00CE282B">
              <w:rPr>
                <w:rFonts w:ascii="Calibri" w:eastAsia="Times New Roman" w:hAnsi="Calibri"/>
                <w:b/>
                <w:bCs/>
                <w:color w:val="FFFFFF"/>
                <w:sz w:val="20"/>
                <w:lang w:eastAsia="en-GB"/>
              </w:rPr>
              <w:t xml:space="preserve">Employment </w:t>
            </w:r>
            <w:r w:rsidRPr="00CE282B">
              <w:rPr>
                <w:rFonts w:ascii="Calibri" w:eastAsia="Times New Roman" w:hAnsi="Calibri"/>
                <w:b/>
                <w:bCs/>
                <w:color w:val="FFFFFF"/>
                <w:sz w:val="20"/>
                <w:lang w:eastAsia="en-GB"/>
              </w:rPr>
              <w:br/>
              <w:t>(thousands)</w:t>
            </w:r>
          </w:p>
        </w:tc>
        <w:tc>
          <w:tcPr>
            <w:tcW w:w="1577" w:type="dxa"/>
            <w:tcBorders>
              <w:top w:val="single" w:sz="8" w:space="0" w:color="FFFFFF"/>
              <w:left w:val="nil"/>
              <w:bottom w:val="single" w:sz="12" w:space="0" w:color="FFFFFF"/>
              <w:right w:val="single" w:sz="8" w:space="0" w:color="FFFFFF"/>
            </w:tcBorders>
            <w:shd w:val="clear" w:color="000000" w:fill="008C9B"/>
            <w:vAlign w:val="center"/>
            <w:hideMark/>
          </w:tcPr>
          <w:p w14:paraId="63858B3B" w14:textId="77777777" w:rsidR="00CE282B" w:rsidRPr="00CE282B" w:rsidRDefault="00CE282B" w:rsidP="00CE282B">
            <w:pPr>
              <w:spacing w:after="0"/>
              <w:jc w:val="center"/>
              <w:rPr>
                <w:rFonts w:ascii="Calibri" w:eastAsia="Times New Roman" w:hAnsi="Calibri"/>
                <w:b/>
                <w:bCs/>
                <w:color w:val="FFFFFF"/>
                <w:sz w:val="20"/>
                <w:lang w:eastAsia="en-GB"/>
              </w:rPr>
            </w:pPr>
            <w:r w:rsidRPr="00CE282B">
              <w:rPr>
                <w:rFonts w:ascii="Calibri" w:eastAsia="Times New Roman" w:hAnsi="Calibri"/>
                <w:b/>
                <w:bCs/>
                <w:color w:val="FFFFFF"/>
                <w:sz w:val="20"/>
                <w:lang w:eastAsia="en-GB"/>
              </w:rPr>
              <w:t xml:space="preserve">Compensation of employees </w:t>
            </w:r>
            <w:r w:rsidRPr="00CE282B">
              <w:rPr>
                <w:rFonts w:ascii="Calibri" w:eastAsia="Times New Roman" w:hAnsi="Calibri"/>
                <w:b/>
                <w:bCs/>
                <w:color w:val="FFFFFF"/>
                <w:sz w:val="20"/>
                <w:lang w:eastAsia="en-GB"/>
              </w:rPr>
              <w:br/>
              <w:t xml:space="preserve">(£m) </w:t>
            </w:r>
          </w:p>
        </w:tc>
      </w:tr>
      <w:tr w:rsidR="00CE282B" w:rsidRPr="00CE282B" w14:paraId="02B478A7" w14:textId="77777777" w:rsidTr="009D3144">
        <w:trPr>
          <w:trHeight w:val="323"/>
          <w:jc w:val="center"/>
        </w:trPr>
        <w:tc>
          <w:tcPr>
            <w:tcW w:w="1093" w:type="dxa"/>
            <w:tcBorders>
              <w:top w:val="nil"/>
              <w:left w:val="nil"/>
              <w:bottom w:val="single" w:sz="8" w:space="0" w:color="FFFFFF"/>
              <w:right w:val="single" w:sz="8" w:space="0" w:color="FFFFFF"/>
            </w:tcBorders>
            <w:shd w:val="clear" w:color="000000" w:fill="E7EEEF"/>
            <w:vAlign w:val="center"/>
            <w:hideMark/>
          </w:tcPr>
          <w:p w14:paraId="1C05301A" w14:textId="42047F4F" w:rsidR="00CE282B" w:rsidRPr="009D3144" w:rsidRDefault="00350CE3" w:rsidP="00350CE3">
            <w:pPr>
              <w:spacing w:after="0"/>
              <w:jc w:val="center"/>
              <w:rPr>
                <w:rFonts w:ascii="Calibri" w:eastAsia="Times New Roman" w:hAnsi="Calibri"/>
                <w:b/>
                <w:color w:val="000000"/>
                <w:sz w:val="20"/>
                <w:lang w:eastAsia="en-GB"/>
              </w:rPr>
            </w:pPr>
            <w:r>
              <w:rPr>
                <w:rFonts w:ascii="Calibri" w:eastAsia="Times New Roman" w:hAnsi="Calibri"/>
                <w:b/>
                <w:color w:val="000000"/>
                <w:sz w:val="20"/>
                <w:lang w:eastAsia="en-GB"/>
              </w:rPr>
              <w:t>5,779</w:t>
            </w:r>
          </w:p>
        </w:tc>
        <w:tc>
          <w:tcPr>
            <w:tcW w:w="1416" w:type="dxa"/>
            <w:tcBorders>
              <w:top w:val="nil"/>
              <w:left w:val="nil"/>
              <w:bottom w:val="single" w:sz="8" w:space="0" w:color="FFFFFF"/>
              <w:right w:val="single" w:sz="8" w:space="0" w:color="FFFFFF"/>
            </w:tcBorders>
            <w:shd w:val="clear" w:color="000000" w:fill="E7EEEF"/>
            <w:vAlign w:val="center"/>
            <w:hideMark/>
          </w:tcPr>
          <w:p w14:paraId="0E131D28" w14:textId="03340173" w:rsidR="00CE282B" w:rsidRPr="009D3144" w:rsidRDefault="00CE282B" w:rsidP="00350CE3">
            <w:pPr>
              <w:spacing w:after="0"/>
              <w:jc w:val="center"/>
              <w:rPr>
                <w:rFonts w:ascii="Calibri" w:eastAsia="Times New Roman" w:hAnsi="Calibri"/>
                <w:b/>
                <w:color w:val="000000"/>
                <w:sz w:val="20"/>
                <w:lang w:eastAsia="en-GB"/>
              </w:rPr>
            </w:pPr>
            <w:r w:rsidRPr="009D3144">
              <w:rPr>
                <w:rFonts w:ascii="Calibri" w:eastAsia="Times New Roman" w:hAnsi="Calibri"/>
                <w:b/>
                <w:color w:val="000000"/>
                <w:sz w:val="20"/>
                <w:lang w:eastAsia="en-GB"/>
              </w:rPr>
              <w:t>1</w:t>
            </w:r>
            <w:r w:rsidR="00350CE3">
              <w:rPr>
                <w:rFonts w:ascii="Calibri" w:eastAsia="Times New Roman" w:hAnsi="Calibri"/>
                <w:b/>
                <w:color w:val="000000"/>
                <w:sz w:val="20"/>
                <w:lang w:eastAsia="en-GB"/>
              </w:rPr>
              <w:t>52</w:t>
            </w:r>
          </w:p>
        </w:tc>
        <w:tc>
          <w:tcPr>
            <w:tcW w:w="1577" w:type="dxa"/>
            <w:tcBorders>
              <w:top w:val="nil"/>
              <w:left w:val="nil"/>
              <w:bottom w:val="single" w:sz="8" w:space="0" w:color="FFFFFF"/>
              <w:right w:val="single" w:sz="8" w:space="0" w:color="FFFFFF"/>
            </w:tcBorders>
            <w:shd w:val="clear" w:color="000000" w:fill="E7EEEF"/>
            <w:vAlign w:val="center"/>
            <w:hideMark/>
          </w:tcPr>
          <w:p w14:paraId="0E52347E" w14:textId="0EAEA388" w:rsidR="00CE282B" w:rsidRPr="009D3144" w:rsidRDefault="00CE282B" w:rsidP="00350CE3">
            <w:pPr>
              <w:spacing w:after="0"/>
              <w:jc w:val="center"/>
              <w:rPr>
                <w:rFonts w:ascii="Calibri" w:eastAsia="Times New Roman" w:hAnsi="Calibri"/>
                <w:b/>
                <w:color w:val="000000"/>
                <w:sz w:val="20"/>
                <w:lang w:eastAsia="en-GB"/>
              </w:rPr>
            </w:pPr>
            <w:r w:rsidRPr="009D3144">
              <w:rPr>
                <w:rFonts w:ascii="Calibri" w:eastAsia="Times New Roman" w:hAnsi="Calibri"/>
                <w:b/>
                <w:color w:val="000000"/>
                <w:sz w:val="20"/>
                <w:lang w:eastAsia="en-GB"/>
              </w:rPr>
              <w:t>2,</w:t>
            </w:r>
            <w:r w:rsidR="00350CE3">
              <w:rPr>
                <w:rFonts w:ascii="Calibri" w:eastAsia="Times New Roman" w:hAnsi="Calibri"/>
                <w:b/>
                <w:color w:val="000000"/>
                <w:sz w:val="20"/>
                <w:lang w:eastAsia="en-GB"/>
              </w:rPr>
              <w:t>517</w:t>
            </w:r>
          </w:p>
        </w:tc>
      </w:tr>
    </w:tbl>
    <w:p w14:paraId="07C1BDD0" w14:textId="5219D8BC" w:rsidR="00CE282B" w:rsidRPr="009D3144" w:rsidRDefault="00CE282B" w:rsidP="009D3144">
      <w:pPr>
        <w:jc w:val="right"/>
        <w:rPr>
          <w:i/>
          <w:sz w:val="18"/>
        </w:rPr>
      </w:pPr>
      <w:r>
        <w:rPr>
          <w:i/>
          <w:sz w:val="18"/>
        </w:rPr>
        <w:t>Source: Cebr analysis</w:t>
      </w:r>
    </w:p>
    <w:sectPr w:rsidR="00CE282B" w:rsidRPr="009D3144" w:rsidSect="008E374D">
      <w:headerReference w:type="default" r:id="rId28"/>
      <w:footerReference w:type="default" r:id="rId29"/>
      <w:headerReference w:type="first" r:id="rId30"/>
      <w:footerReference w:type="first" r:id="rId31"/>
      <w:pgSz w:w="11906" w:h="16838" w:code="9"/>
      <w:pgMar w:top="1928" w:right="1134" w:bottom="851" w:left="1134" w:header="567"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351D" w14:textId="77777777" w:rsidR="00D17FEA" w:rsidRDefault="00D17FEA" w:rsidP="00717C6C">
      <w:r>
        <w:separator/>
      </w:r>
    </w:p>
  </w:endnote>
  <w:endnote w:type="continuationSeparator" w:id="0">
    <w:p w14:paraId="2E77A496" w14:textId="77777777" w:rsidR="00D17FEA" w:rsidRDefault="00D17FEA" w:rsidP="0071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581E" w14:textId="77777777" w:rsidR="00D17FEA" w:rsidRPr="005D37CB" w:rsidRDefault="00D17FEA" w:rsidP="005D37CB">
    <w:pPr>
      <w:pStyle w:val="Footer"/>
    </w:pPr>
    <w:r>
      <w:rPr>
        <w:rFonts w:cstheme="minorHAnsi"/>
        <w:noProof/>
        <w:lang w:eastAsia="en-GB"/>
      </w:rPr>
      <w:drawing>
        <wp:anchor distT="0" distB="0" distL="114300" distR="114300" simplePos="0" relativeHeight="251664384" behindDoc="0" locked="1" layoutInCell="1" allowOverlap="1" wp14:anchorId="468E55A1" wp14:editId="5D77EC42">
          <wp:simplePos x="0" y="0"/>
          <wp:positionH relativeFrom="page">
            <wp:posOffset>6336665</wp:posOffset>
          </wp:positionH>
          <wp:positionV relativeFrom="page">
            <wp:posOffset>10318750</wp:posOffset>
          </wp:positionV>
          <wp:extent cx="431800" cy="15430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_white_logo_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154305"/>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w:t>
    </w:r>
    <w:r>
      <w:rPr>
        <w:noProof/>
        <w:lang w:eastAsia="en-GB"/>
      </w:rPr>
      <mc:AlternateContent>
        <mc:Choice Requires="wps">
          <w:drawing>
            <wp:anchor distT="0" distB="0" distL="114300" distR="114300" simplePos="0" relativeHeight="251662336" behindDoc="1" locked="1" layoutInCell="1" allowOverlap="1" wp14:anchorId="5CAF99F5" wp14:editId="57B2411E">
              <wp:simplePos x="0" y="0"/>
              <wp:positionH relativeFrom="page">
                <wp:posOffset>0</wp:posOffset>
              </wp:positionH>
              <wp:positionV relativeFrom="page">
                <wp:posOffset>10248900</wp:posOffset>
              </wp:positionV>
              <wp:extent cx="7559675" cy="445135"/>
              <wp:effectExtent l="0" t="0" r="3175" b="0"/>
              <wp:wrapNone/>
              <wp:docPr id="3" name="Rectangle 3"/>
              <wp:cNvGraphicFramePr/>
              <a:graphic xmlns:a="http://schemas.openxmlformats.org/drawingml/2006/main">
                <a:graphicData uri="http://schemas.microsoft.com/office/word/2010/wordprocessingShape">
                  <wps:wsp>
                    <wps:cNvSpPr/>
                    <wps:spPr>
                      <a:xfrm>
                        <a:off x="0" y="0"/>
                        <a:ext cx="7559675" cy="4451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8F86B" id="Rectangle 3" o:spid="_x0000_s1026" style="position:absolute;margin-left:0;margin-top:807pt;width:595.25pt;height:3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" fillcolor="#008c9b [3204]" stroked="f" strokeweight="2pt">
              <w10:wrap anchorx="page" anchory="page"/>
              <w10:anchorlock/>
            </v:rect>
          </w:pict>
        </mc:Fallback>
      </mc:AlternateContent>
    </w:r>
    <w:r>
      <w:t xml:space="preserve"> Centre for Economics and Business Research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70CD" w14:textId="77777777" w:rsidR="00D17FEA" w:rsidRDefault="00D17FEA" w:rsidP="008B0A02">
    <w:pPr>
      <w:pStyle w:val="Footer"/>
    </w:pPr>
    <w:r>
      <w:rPr>
        <w:noProof/>
        <w:lang w:eastAsia="en-GB"/>
      </w:rPr>
      <w:drawing>
        <wp:anchor distT="0" distB="0" distL="114300" distR="114300" simplePos="0" relativeHeight="251663360" behindDoc="0" locked="1" layoutInCell="1" allowOverlap="1" wp14:anchorId="3BC2C2B4" wp14:editId="39B4364D">
          <wp:simplePos x="0" y="0"/>
          <wp:positionH relativeFrom="page">
            <wp:posOffset>5796915</wp:posOffset>
          </wp:positionH>
          <wp:positionV relativeFrom="page">
            <wp:posOffset>9541510</wp:posOffset>
          </wp:positionV>
          <wp:extent cx="986400" cy="34560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 logo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345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1" layoutInCell="1" allowOverlap="1" wp14:anchorId="519409AE" wp14:editId="37442CA8">
          <wp:simplePos x="0" y="0"/>
          <wp:positionH relativeFrom="page">
            <wp:posOffset>5867400</wp:posOffset>
          </wp:positionH>
          <wp:positionV relativeFrom="page">
            <wp:posOffset>790575</wp:posOffset>
          </wp:positionV>
          <wp:extent cx="895985" cy="8959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 logo vector bo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985" cy="895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1" locked="1" layoutInCell="1" allowOverlap="1" wp14:anchorId="4D71F7B5" wp14:editId="2838A9F4">
              <wp:simplePos x="0" y="0"/>
              <wp:positionH relativeFrom="page">
                <wp:posOffset>0</wp:posOffset>
              </wp:positionH>
              <wp:positionV relativeFrom="page">
                <wp:posOffset>8858250</wp:posOffset>
              </wp:positionV>
              <wp:extent cx="7560000" cy="183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8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B1171" id="Rectangle 1" o:spid="_x0000_s1026" style="position:absolute;margin-left:0;margin-top:697.5pt;width:595.3pt;height:144.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" fillcolor="#008c9b [3204]" stroked="f" strokeweight="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A9805" w14:textId="77777777" w:rsidR="00D17FEA" w:rsidRDefault="00D17FEA" w:rsidP="00717C6C"/>
  </w:footnote>
  <w:footnote w:type="continuationSeparator" w:id="0">
    <w:p w14:paraId="294A40B6" w14:textId="77777777" w:rsidR="00D17FEA" w:rsidRDefault="00D17FEA" w:rsidP="00717C6C">
      <w:r>
        <w:continuationSeparator/>
      </w:r>
    </w:p>
  </w:footnote>
  <w:footnote w:id="1">
    <w:p w14:paraId="20DCCF42" w14:textId="77777777" w:rsidR="00D17FEA" w:rsidRDefault="00D17FEA" w:rsidP="0091385C">
      <w:pPr>
        <w:pStyle w:val="FootnoteText"/>
        <w:spacing w:after="0" w:line="240" w:lineRule="auto"/>
      </w:pPr>
      <w:r w:rsidRPr="00350F38">
        <w:rPr>
          <w:rStyle w:val="FootnoteReference"/>
          <w:sz w:val="18"/>
        </w:rPr>
        <w:footnoteRef/>
      </w:r>
      <w:r w:rsidRPr="00350F38">
        <w:rPr>
          <w:sz w:val="18"/>
        </w:rPr>
        <w:t xml:space="preserve"> </w:t>
      </w:r>
      <w:r w:rsidRPr="00AC1EE8">
        <w:rPr>
          <w:vertAlign w:val="baseline"/>
        </w:rPr>
        <w:t>https://solentlep.org.uk/</w:t>
      </w:r>
    </w:p>
  </w:footnote>
  <w:footnote w:id="2">
    <w:p w14:paraId="5207D3BE" w14:textId="77777777" w:rsidR="00D17FEA" w:rsidRPr="00FB3E52" w:rsidRDefault="00D17FEA" w:rsidP="00FB3E52">
      <w:pPr>
        <w:pStyle w:val="FootnoteText"/>
        <w:spacing w:after="0" w:line="240" w:lineRule="auto"/>
        <w:rPr>
          <w:vertAlign w:val="baseline"/>
        </w:rPr>
      </w:pPr>
      <w:r w:rsidRPr="00FB3E52">
        <w:rPr>
          <w:rStyle w:val="FootnoteReference"/>
          <w:rFonts w:ascii="Calibri" w:eastAsia="Microsoft JhengHei" w:hAnsi="Calibri"/>
          <w:position w:val="0"/>
          <w:sz w:val="22"/>
        </w:rPr>
        <w:footnoteRef/>
      </w:r>
      <w:r w:rsidRPr="00FB3E52">
        <w:rPr>
          <w:rStyle w:val="FootnoteReference"/>
          <w:rFonts w:ascii="Calibri" w:eastAsia="Microsoft JhengHei" w:hAnsi="Calibri"/>
          <w:position w:val="0"/>
          <w:sz w:val="22"/>
        </w:rPr>
        <w:t xml:space="preserve"> </w:t>
      </w:r>
      <w:r w:rsidRPr="00FB3E52">
        <w:rPr>
          <w:rStyle w:val="FootnoteReference"/>
          <w:rFonts w:ascii="Calibri" w:eastAsia="Microsoft JhengHei" w:hAnsi="Calibri"/>
          <w:position w:val="0"/>
          <w:sz w:val="18"/>
          <w:vertAlign w:val="baseline"/>
        </w:rPr>
        <w:t>GVA</w:t>
      </w:r>
      <w:r>
        <w:rPr>
          <w:rFonts w:ascii="Calibri" w:eastAsia="Microsoft JhengHei" w:hAnsi="Calibri"/>
          <w:position w:val="0"/>
          <w:sz w:val="18"/>
          <w:vertAlign w:val="baseline"/>
        </w:rPr>
        <w:t>,</w:t>
      </w:r>
      <w:r w:rsidRPr="00FB3E52">
        <w:rPr>
          <w:rStyle w:val="FootnoteReference"/>
          <w:rFonts w:ascii="Calibri" w:eastAsia="Microsoft JhengHei" w:hAnsi="Calibri"/>
          <w:position w:val="0"/>
          <w:sz w:val="18"/>
          <w:vertAlign w:val="baseline"/>
        </w:rPr>
        <w:t xml:space="preserve"> or gross value added</w:t>
      </w:r>
      <w:r>
        <w:rPr>
          <w:rFonts w:ascii="Calibri" w:eastAsia="Microsoft JhengHei" w:hAnsi="Calibri"/>
          <w:position w:val="0"/>
          <w:sz w:val="18"/>
          <w:vertAlign w:val="baseline"/>
        </w:rPr>
        <w:t>,</w:t>
      </w:r>
      <w:r w:rsidRPr="00FB3E52">
        <w:rPr>
          <w:rStyle w:val="FootnoteReference"/>
          <w:rFonts w:ascii="Calibri" w:eastAsia="Microsoft JhengHei" w:hAnsi="Calibri"/>
          <w:position w:val="0"/>
          <w:sz w:val="18"/>
          <w:vertAlign w:val="baseline"/>
        </w:rPr>
        <w:t xml:space="preserve"> is a measure of the value from production in the national accounts and can be thought of as the value of industrial output less intermediate consumption.  That is, the value of what is produced less the value of the intermediate goods and services</w:t>
      </w:r>
      <w:r w:rsidRPr="00143397">
        <w:rPr>
          <w:rStyle w:val="FootnoteReference"/>
          <w:rFonts w:ascii="Calibri" w:eastAsia="Microsoft JhengHei" w:hAnsi="Calibri"/>
          <w:position w:val="0"/>
          <w:sz w:val="18"/>
          <w:vertAlign w:val="baseline"/>
        </w:rPr>
        <w:t xml:space="preserve"> used as inputs to produce it. </w:t>
      </w:r>
      <w:r w:rsidRPr="00FB3E52">
        <w:rPr>
          <w:rStyle w:val="FootnoteReference"/>
          <w:rFonts w:ascii="Calibri" w:eastAsia="Microsoft JhengHei" w:hAnsi="Calibri"/>
          <w:position w:val="0"/>
          <w:sz w:val="18"/>
          <w:vertAlign w:val="baseline"/>
        </w:rPr>
        <w:t>GVA is also commonly known as income from production and is distributed in three directions – to employees, to shareholders and to government. GVA is linked as a measurement to GDP – both being a measure of economic output. That relationship is (GVA + Taxes on products - Subsidies</w:t>
      </w:r>
      <w:r>
        <w:rPr>
          <w:rStyle w:val="FootnoteReference"/>
          <w:rFonts w:ascii="Calibri" w:eastAsia="Microsoft JhengHei" w:hAnsi="Calibri"/>
          <w:position w:val="0"/>
          <w:sz w:val="18"/>
          <w:vertAlign w:val="baseline"/>
        </w:rPr>
        <w:t xml:space="preserve"> on products = GDP). </w:t>
      </w:r>
      <w:r w:rsidRPr="00FB3E52">
        <w:rPr>
          <w:rStyle w:val="FootnoteReference"/>
          <w:rFonts w:ascii="Calibri" w:eastAsia="Microsoft JhengHei" w:hAnsi="Calibri"/>
          <w:position w:val="0"/>
          <w:sz w:val="18"/>
          <w:vertAlign w:val="baseline"/>
        </w:rPr>
        <w:t>Because taxes and subsidies on individual product categories are only available at the whole economy level (rather than at the sectoral or regional level), GVA tends to be used for measuring things like gross regional domestic product and other measures of economic output of entities that are smaller than the whole economy.</w:t>
      </w:r>
    </w:p>
  </w:footnote>
  <w:footnote w:id="3">
    <w:p w14:paraId="115305C7" w14:textId="77777777" w:rsidR="00D17FEA" w:rsidRPr="00D03E97" w:rsidRDefault="00D17FEA" w:rsidP="00245DD9">
      <w:pPr>
        <w:pStyle w:val="FootnoteText"/>
        <w:rPr>
          <w:rFonts w:ascii="Calibri" w:eastAsia="Microsoft JhengHei" w:hAnsi="Calibri"/>
          <w:position w:val="0"/>
          <w:sz w:val="22"/>
        </w:rPr>
      </w:pPr>
      <w:r w:rsidRPr="00D03E97">
        <w:rPr>
          <w:rStyle w:val="FootnoteReference"/>
          <w:rFonts w:ascii="Calibri" w:eastAsia="Microsoft JhengHei" w:hAnsi="Calibri"/>
          <w:position w:val="0"/>
          <w:sz w:val="22"/>
        </w:rPr>
        <w:footnoteRef/>
      </w:r>
      <w:r w:rsidRPr="00D03E97">
        <w:rPr>
          <w:rStyle w:val="FootnoteReference"/>
          <w:rFonts w:ascii="Calibri" w:eastAsia="Microsoft JhengHei" w:hAnsi="Calibri"/>
          <w:position w:val="0"/>
          <w:sz w:val="22"/>
        </w:rPr>
        <w:t xml:space="preserve"> </w:t>
      </w:r>
      <w:r w:rsidRPr="00D03E97">
        <w:rPr>
          <w:rStyle w:val="FootnoteReference"/>
          <w:rFonts w:ascii="Calibri" w:eastAsia="Microsoft JhengHei" w:hAnsi="Calibri"/>
          <w:position w:val="0"/>
          <w:sz w:val="18"/>
          <w:vertAlign w:val="baseline"/>
        </w:rPr>
        <w:t>The United Kingdom Standard Industrial Classification</w:t>
      </w:r>
      <w:r w:rsidRPr="00D03E97">
        <w:rPr>
          <w:rStyle w:val="FootnoteReference"/>
          <w:position w:val="0"/>
          <w:sz w:val="18"/>
          <w:vertAlign w:val="baseline"/>
        </w:rPr>
        <w:t xml:space="preserve"> </w:t>
      </w:r>
      <w:r w:rsidRPr="00D03E97">
        <w:rPr>
          <w:rStyle w:val="FootnoteReference"/>
          <w:rFonts w:ascii="Calibri" w:eastAsia="Microsoft JhengHei" w:hAnsi="Calibri"/>
          <w:position w:val="0"/>
          <w:sz w:val="18"/>
          <w:vertAlign w:val="baseline"/>
        </w:rPr>
        <w:t>of Economic Activities (SIC) is used to classify business</w:t>
      </w:r>
      <w:r w:rsidRPr="00D03E97">
        <w:rPr>
          <w:rStyle w:val="FootnoteReference"/>
          <w:position w:val="0"/>
          <w:sz w:val="18"/>
          <w:vertAlign w:val="baseline"/>
        </w:rPr>
        <w:t xml:space="preserve"> </w:t>
      </w:r>
      <w:r w:rsidRPr="00D03E97">
        <w:rPr>
          <w:rStyle w:val="FootnoteReference"/>
          <w:rFonts w:ascii="Calibri" w:eastAsia="Microsoft JhengHei" w:hAnsi="Calibri"/>
          <w:position w:val="0"/>
          <w:sz w:val="18"/>
          <w:vertAlign w:val="baseline"/>
        </w:rPr>
        <w:t>establishments and other standard units by the type of</w:t>
      </w:r>
      <w:r w:rsidRPr="00D03E97">
        <w:rPr>
          <w:rStyle w:val="FootnoteReference"/>
          <w:position w:val="0"/>
          <w:sz w:val="18"/>
          <w:vertAlign w:val="baseline"/>
        </w:rPr>
        <w:t xml:space="preserve"> </w:t>
      </w:r>
      <w:r w:rsidRPr="00D03E97">
        <w:rPr>
          <w:rStyle w:val="FootnoteReference"/>
          <w:rFonts w:ascii="Calibri" w:eastAsia="Microsoft JhengHei" w:hAnsi="Calibri"/>
          <w:position w:val="0"/>
          <w:sz w:val="18"/>
          <w:vertAlign w:val="baseline"/>
        </w:rPr>
        <w:t>economic activity in which they are engaged.</w:t>
      </w:r>
    </w:p>
  </w:footnote>
  <w:footnote w:id="4">
    <w:p w14:paraId="39117065" w14:textId="77777777" w:rsidR="00D17FEA" w:rsidRPr="0027436F" w:rsidRDefault="00D17FEA">
      <w:pPr>
        <w:pStyle w:val="FootnoteText"/>
        <w:rPr>
          <w:sz w:val="18"/>
          <w:szCs w:val="18"/>
        </w:rPr>
      </w:pPr>
      <w:r w:rsidRPr="0027436F">
        <w:rPr>
          <w:rStyle w:val="FootnoteReference"/>
          <w:rFonts w:ascii="Calibri" w:eastAsia="Microsoft JhengHei" w:hAnsi="Calibri"/>
          <w:position w:val="0"/>
          <w:sz w:val="22"/>
          <w:szCs w:val="18"/>
        </w:rPr>
        <w:footnoteRef/>
      </w:r>
      <w:r w:rsidRPr="0027436F">
        <w:rPr>
          <w:rStyle w:val="FootnoteReference"/>
          <w:rFonts w:ascii="Calibri" w:eastAsia="Microsoft JhengHei" w:hAnsi="Calibri"/>
          <w:position w:val="0"/>
          <w:sz w:val="22"/>
          <w:szCs w:val="18"/>
        </w:rPr>
        <w:t xml:space="preserve"> </w:t>
      </w:r>
      <w:r>
        <w:rPr>
          <w:rFonts w:ascii="Calibri" w:eastAsia="Microsoft JhengHei" w:hAnsi="Calibri"/>
          <w:position w:val="0"/>
          <w:sz w:val="18"/>
          <w:szCs w:val="18"/>
          <w:vertAlign w:val="baseline"/>
        </w:rPr>
        <w:t xml:space="preserve">University of Portsmouth, </w:t>
      </w:r>
      <w:r w:rsidRPr="0027436F">
        <w:rPr>
          <w:rFonts w:ascii="Calibri" w:eastAsia="Microsoft JhengHei" w:hAnsi="Calibri"/>
          <w:position w:val="0"/>
          <w:sz w:val="18"/>
          <w:szCs w:val="18"/>
          <w:vertAlign w:val="baseline"/>
        </w:rPr>
        <w:t>Centre for Economic Analysis and Policy (</w:t>
      </w:r>
      <w:r>
        <w:rPr>
          <w:rFonts w:ascii="Calibri" w:eastAsia="Microsoft JhengHei" w:hAnsi="Calibri"/>
          <w:position w:val="0"/>
          <w:sz w:val="18"/>
          <w:szCs w:val="18"/>
          <w:vertAlign w:val="baseline"/>
        </w:rPr>
        <w:t xml:space="preserve">June </w:t>
      </w:r>
      <w:r w:rsidRPr="0027436F">
        <w:rPr>
          <w:rFonts w:ascii="Calibri" w:eastAsia="Microsoft JhengHei" w:hAnsi="Calibri"/>
          <w:position w:val="0"/>
          <w:sz w:val="18"/>
          <w:szCs w:val="18"/>
          <w:vertAlign w:val="baseline"/>
        </w:rPr>
        <w:t>2012</w:t>
      </w:r>
      <w:r>
        <w:rPr>
          <w:rFonts w:ascii="Calibri" w:eastAsia="Microsoft JhengHei" w:hAnsi="Calibri"/>
          <w:position w:val="0"/>
          <w:sz w:val="18"/>
          <w:szCs w:val="18"/>
          <w:vertAlign w:val="baseline"/>
        </w:rPr>
        <w:t>)</w:t>
      </w:r>
      <w:r w:rsidRPr="0027436F">
        <w:rPr>
          <w:rFonts w:ascii="Calibri" w:eastAsia="Microsoft JhengHei" w:hAnsi="Calibri"/>
          <w:position w:val="0"/>
          <w:sz w:val="18"/>
          <w:szCs w:val="18"/>
          <w:vertAlign w:val="baseline"/>
        </w:rPr>
        <w:t>. “</w:t>
      </w:r>
      <w:r w:rsidRPr="0027436F">
        <w:rPr>
          <w:rStyle w:val="FootnoteReference"/>
          <w:rFonts w:ascii="Calibri" w:eastAsia="Microsoft JhengHei" w:hAnsi="Calibri"/>
          <w:position w:val="0"/>
          <w:sz w:val="18"/>
          <w:szCs w:val="18"/>
          <w:vertAlign w:val="baseline"/>
        </w:rPr>
        <w:t>Socio-Economic Impact Assessment of Portsmouth Naval Base</w:t>
      </w:r>
      <w:r>
        <w:rPr>
          <w:rFonts w:ascii="Calibri" w:eastAsia="Microsoft JhengHei" w:hAnsi="Calibri"/>
          <w:position w:val="0"/>
          <w:sz w:val="18"/>
          <w:szCs w:val="18"/>
          <w:vertAlign w:val="baseline"/>
        </w:rPr>
        <w:t>”</w:t>
      </w:r>
    </w:p>
  </w:footnote>
  <w:footnote w:id="5">
    <w:p w14:paraId="6D11A902" w14:textId="676FEC1F" w:rsidR="00D17FEA" w:rsidRDefault="00D17FEA" w:rsidP="00D01E13">
      <w:pPr>
        <w:pStyle w:val="FootnoteText"/>
        <w:spacing w:after="0"/>
      </w:pPr>
      <w:r w:rsidRPr="00390A30">
        <w:rPr>
          <w:rStyle w:val="FootnoteReference"/>
          <w:rFonts w:ascii="Calibri" w:eastAsia="Microsoft JhengHei" w:hAnsi="Calibri"/>
          <w:position w:val="0"/>
          <w:sz w:val="22"/>
          <w:szCs w:val="18"/>
        </w:rPr>
        <w:footnoteRef/>
      </w:r>
      <w:r w:rsidRPr="00390A30">
        <w:rPr>
          <w:rStyle w:val="FootnoteReference"/>
          <w:rFonts w:ascii="Calibri" w:eastAsia="Microsoft JhengHei" w:hAnsi="Calibri"/>
          <w:position w:val="0"/>
          <w:sz w:val="22"/>
          <w:szCs w:val="18"/>
        </w:rPr>
        <w:t xml:space="preserve"> </w:t>
      </w:r>
      <w:hyperlink r:id="rId1" w:history="1">
        <w:r w:rsidR="00CC4272" w:rsidRPr="00FB04C6">
          <w:rPr>
            <w:rStyle w:val="Hyperlink"/>
            <w:rFonts w:ascii="Calibri" w:eastAsia="Microsoft JhengHei" w:hAnsi="Calibri"/>
            <w:position w:val="0"/>
            <w:sz w:val="18"/>
            <w:szCs w:val="18"/>
            <w:vertAlign w:val="baseline"/>
          </w:rPr>
          <w:t>https://solentlep.org.uk/the-solent/map</w:t>
        </w:r>
      </w:hyperlink>
      <w:r w:rsidR="00CC4272">
        <w:rPr>
          <w:rFonts w:ascii="Calibri" w:eastAsia="Microsoft JhengHei" w:hAnsi="Calibri"/>
          <w:position w:val="0"/>
          <w:sz w:val="18"/>
          <w:szCs w:val="18"/>
          <w:vertAlign w:val="baseline"/>
        </w:rPr>
        <w:t xml:space="preserve"> </w:t>
      </w:r>
    </w:p>
  </w:footnote>
  <w:footnote w:id="6">
    <w:p w14:paraId="0DED082A" w14:textId="77777777" w:rsidR="00883BEE" w:rsidRDefault="00883BEE" w:rsidP="00B26C61">
      <w:pPr>
        <w:pStyle w:val="FootnoteText"/>
        <w:spacing w:after="0"/>
      </w:pPr>
      <w:r w:rsidRPr="00883BEE">
        <w:rPr>
          <w:rStyle w:val="FootnoteReference"/>
          <w:position w:val="0"/>
          <w:sz w:val="22"/>
        </w:rPr>
        <w:footnoteRef/>
      </w:r>
      <w:r w:rsidRPr="00883BEE">
        <w:rPr>
          <w:rStyle w:val="FootnoteReference"/>
          <w:position w:val="0"/>
          <w:sz w:val="22"/>
        </w:rPr>
        <w:t xml:space="preserve"> </w:t>
      </w:r>
      <w:proofErr w:type="spellStart"/>
      <w:r>
        <w:rPr>
          <w:rFonts w:ascii="Calibri" w:eastAsia="Microsoft JhengHei" w:hAnsi="Calibri"/>
          <w:position w:val="0"/>
          <w:sz w:val="18"/>
          <w:szCs w:val="18"/>
          <w:vertAlign w:val="baseline"/>
        </w:rPr>
        <w:t>Lichfields</w:t>
      </w:r>
      <w:proofErr w:type="spellEnd"/>
      <w:r>
        <w:rPr>
          <w:rFonts w:ascii="Calibri" w:eastAsia="Microsoft JhengHei" w:hAnsi="Calibri"/>
          <w:position w:val="0"/>
          <w:sz w:val="18"/>
          <w:szCs w:val="18"/>
          <w:vertAlign w:val="baseline"/>
        </w:rPr>
        <w:t>. (2019). ‘Solent Economic Profile Final Report’.</w:t>
      </w:r>
    </w:p>
  </w:footnote>
  <w:footnote w:id="7">
    <w:p w14:paraId="2376B146" w14:textId="48990171" w:rsidR="00B26C61" w:rsidRDefault="00B26C61" w:rsidP="00B26C61">
      <w:pPr>
        <w:pStyle w:val="FootnoteText"/>
        <w:spacing w:after="0"/>
      </w:pPr>
      <w:r w:rsidRPr="00883BEE">
        <w:rPr>
          <w:rStyle w:val="FootnoteReference"/>
          <w:position w:val="0"/>
          <w:sz w:val="22"/>
        </w:rPr>
        <w:footnoteRef/>
      </w:r>
      <w:r w:rsidRPr="00883BEE">
        <w:rPr>
          <w:rStyle w:val="FootnoteReference"/>
          <w:position w:val="0"/>
          <w:sz w:val="22"/>
        </w:rPr>
        <w:t xml:space="preserve"> </w:t>
      </w:r>
      <w:r>
        <w:rPr>
          <w:rFonts w:ascii="Calibri" w:eastAsia="Microsoft JhengHei" w:hAnsi="Calibri"/>
          <w:position w:val="0"/>
          <w:sz w:val="18"/>
          <w:szCs w:val="18"/>
          <w:vertAlign w:val="baseline"/>
        </w:rPr>
        <w:t>Ibid.</w:t>
      </w:r>
    </w:p>
  </w:footnote>
  <w:footnote w:id="8">
    <w:p w14:paraId="58F10169" w14:textId="515BB3DE" w:rsidR="00ED0154" w:rsidRDefault="00ED0154" w:rsidP="00ED0154">
      <w:pPr>
        <w:pStyle w:val="FootnoteText"/>
        <w:spacing w:after="0"/>
      </w:pPr>
      <w:r w:rsidRPr="00ED0154">
        <w:rPr>
          <w:rStyle w:val="FootnoteReference"/>
          <w:vertAlign w:val="baseline"/>
        </w:rPr>
        <w:footnoteRef/>
      </w:r>
      <w:r>
        <w:t xml:space="preserve"> </w:t>
      </w:r>
      <w:r>
        <w:rPr>
          <w:rFonts w:ascii="Calibri" w:eastAsia="Microsoft JhengHei" w:hAnsi="Calibri"/>
          <w:position w:val="0"/>
          <w:sz w:val="18"/>
          <w:szCs w:val="18"/>
          <w:vertAlign w:val="baseline"/>
        </w:rPr>
        <w:t>Ibid</w:t>
      </w:r>
    </w:p>
  </w:footnote>
  <w:footnote w:id="9">
    <w:p w14:paraId="5ACB70A0" w14:textId="2E280019" w:rsidR="00D17FEA" w:rsidRPr="0024093B" w:rsidRDefault="00D17FEA" w:rsidP="007A6BA2">
      <w:pPr>
        <w:pStyle w:val="FootnoteText"/>
        <w:spacing w:after="0"/>
        <w:rPr>
          <w:vertAlign w:val="baseline"/>
        </w:rPr>
      </w:pPr>
      <w:r w:rsidRPr="00F87296">
        <w:rPr>
          <w:rStyle w:val="FootnoteReference"/>
          <w:sz w:val="22"/>
        </w:rPr>
        <w:footnoteRef/>
      </w:r>
      <w:r w:rsidRPr="00F87296">
        <w:rPr>
          <w:sz w:val="22"/>
        </w:rPr>
        <w:t xml:space="preserve"> </w:t>
      </w:r>
      <w:r w:rsidRPr="00F87296">
        <w:rPr>
          <w:sz w:val="18"/>
          <w:vertAlign w:val="baseline"/>
        </w:rPr>
        <w:t>Based on the employment distribution in Great Britain.</w:t>
      </w:r>
    </w:p>
  </w:footnote>
  <w:footnote w:id="10">
    <w:p w14:paraId="03D4889C" w14:textId="7F4454F0" w:rsidR="00D17FEA" w:rsidRPr="0024093B" w:rsidRDefault="00D17FEA" w:rsidP="007A6BA2">
      <w:pPr>
        <w:pStyle w:val="FootnoteText"/>
        <w:spacing w:after="0"/>
        <w:rPr>
          <w:vertAlign w:val="baseline"/>
        </w:rPr>
      </w:pPr>
      <w:r>
        <w:rPr>
          <w:rStyle w:val="FootnoteReference"/>
        </w:rPr>
        <w:footnoteRef/>
      </w:r>
      <w:r>
        <w:t xml:space="preserve"> </w:t>
      </w:r>
      <w:r>
        <w:rPr>
          <w:vertAlign w:val="baseline"/>
        </w:rPr>
        <w:t>The data for Solent is based on the GVA distribution by industry in 2015 and employment changes since.</w:t>
      </w:r>
    </w:p>
  </w:footnote>
  <w:footnote w:id="11">
    <w:p w14:paraId="00E8FAE6" w14:textId="39A65DF1" w:rsidR="00D17FEA" w:rsidRPr="009B2B3D" w:rsidRDefault="00D17FEA">
      <w:pPr>
        <w:pStyle w:val="FootnoteText"/>
        <w:rPr>
          <w:sz w:val="18"/>
          <w:vertAlign w:val="baseline"/>
        </w:rPr>
      </w:pPr>
      <w:r w:rsidRPr="009B2B3D">
        <w:rPr>
          <w:sz w:val="18"/>
        </w:rPr>
        <w:t xml:space="preserve">9 </w:t>
      </w:r>
      <w:r w:rsidRPr="009B2B3D">
        <w:rPr>
          <w:sz w:val="18"/>
          <w:vertAlign w:val="baseline"/>
        </w:rPr>
        <w:t>Based on proportions observed in Great Britain.</w:t>
      </w:r>
    </w:p>
  </w:footnote>
  <w:footnote w:id="12">
    <w:p w14:paraId="04B855EA" w14:textId="77777777" w:rsidR="00D17FEA" w:rsidRDefault="00D17FEA" w:rsidP="000152D2">
      <w:pPr>
        <w:pStyle w:val="FootnoteText"/>
        <w:spacing w:after="0"/>
      </w:pPr>
      <w:r>
        <w:rPr>
          <w:rStyle w:val="FootnoteReference"/>
        </w:rPr>
        <w:footnoteRef/>
      </w:r>
      <w:r>
        <w:t xml:space="preserve"> </w:t>
      </w:r>
      <w:r w:rsidRPr="001E6939">
        <w:rPr>
          <w:vertAlign w:val="baseline"/>
        </w:rPr>
        <w:t>HMRC. (2019). ‘</w:t>
      </w:r>
      <w:hyperlink r:id="rId2" w:history="1">
        <w:r w:rsidRPr="001E6939">
          <w:rPr>
            <w:rStyle w:val="Hyperlink"/>
            <w:vertAlign w:val="baseline"/>
          </w:rPr>
          <w:t>HM Revenue &amp; Customs. Trade Statistics’</w:t>
        </w:r>
      </w:hyperlink>
      <w:r w:rsidRPr="001E6939">
        <w:rPr>
          <w:vertAlign w:val="baseline"/>
        </w:rPr>
        <w:t>.</w:t>
      </w:r>
    </w:p>
  </w:footnote>
  <w:footnote w:id="13">
    <w:p w14:paraId="2EC4A4F6" w14:textId="77777777" w:rsidR="00D17FEA" w:rsidRDefault="00D17FEA" w:rsidP="000152D2">
      <w:pPr>
        <w:pStyle w:val="FootnoteText"/>
        <w:spacing w:after="0"/>
      </w:pPr>
      <w:r>
        <w:rPr>
          <w:rStyle w:val="FootnoteReference"/>
        </w:rPr>
        <w:footnoteRef/>
      </w:r>
      <w:r>
        <w:t xml:space="preserve"> </w:t>
      </w:r>
      <w:proofErr w:type="spellStart"/>
      <w:r w:rsidRPr="001E6939">
        <w:rPr>
          <w:vertAlign w:val="baseline"/>
        </w:rPr>
        <w:t>Transmodal</w:t>
      </w:r>
      <w:proofErr w:type="spellEnd"/>
      <w:r w:rsidRPr="001E6939">
        <w:rPr>
          <w:vertAlign w:val="baseline"/>
        </w:rPr>
        <w:t>. (2016). ‘The value of goods passing through UK ports’.</w:t>
      </w:r>
      <w:r>
        <w:t xml:space="preserve"> </w:t>
      </w:r>
    </w:p>
  </w:footnote>
  <w:footnote w:id="14">
    <w:p w14:paraId="48F938A0" w14:textId="77777777" w:rsidR="00D17FEA" w:rsidRDefault="00D17FEA" w:rsidP="000152D2">
      <w:pPr>
        <w:pStyle w:val="FootnoteText"/>
        <w:spacing w:after="0"/>
      </w:pPr>
      <w:r>
        <w:rPr>
          <w:rStyle w:val="FootnoteReference"/>
        </w:rPr>
        <w:footnoteRef/>
      </w:r>
      <w:r>
        <w:t xml:space="preserve"> </w:t>
      </w:r>
      <w:r w:rsidRPr="001E6939">
        <w:rPr>
          <w:vertAlign w:val="baseline"/>
        </w:rPr>
        <w:t>ONS. (2019). ‘</w:t>
      </w:r>
      <w:hyperlink r:id="rId3" w:history="1">
        <w:r w:rsidRPr="001E6939">
          <w:rPr>
            <w:rStyle w:val="Hyperlink"/>
            <w:vertAlign w:val="baseline"/>
          </w:rPr>
          <w:t>Total EU Imports’</w:t>
        </w:r>
      </w:hyperlink>
      <w:r w:rsidRPr="001E6939">
        <w:rPr>
          <w:vertAlign w:val="baseline"/>
        </w:rPr>
        <w:t>.</w:t>
      </w:r>
    </w:p>
  </w:footnote>
  <w:footnote w:id="15">
    <w:p w14:paraId="1BFE2200" w14:textId="77777777" w:rsidR="00D17FEA" w:rsidRDefault="00D17FEA" w:rsidP="00577556">
      <w:pPr>
        <w:pStyle w:val="FootnoteText"/>
        <w:spacing w:after="0"/>
      </w:pPr>
      <w:r>
        <w:rPr>
          <w:rStyle w:val="FootnoteReference"/>
        </w:rPr>
        <w:footnoteRef/>
      </w:r>
      <w:r>
        <w:t xml:space="preserve"> </w:t>
      </w:r>
      <w:r w:rsidRPr="001E6939">
        <w:rPr>
          <w:vertAlign w:val="baseline"/>
        </w:rPr>
        <w:t>Department for Transport. (2019). ‘Maritime 2050’.</w:t>
      </w:r>
    </w:p>
  </w:footnote>
  <w:footnote w:id="16">
    <w:p w14:paraId="7F6B2599" w14:textId="77777777" w:rsidR="00D17FEA" w:rsidRDefault="00D17FEA" w:rsidP="001E6939">
      <w:pPr>
        <w:pStyle w:val="FootnoteText"/>
      </w:pPr>
      <w:r>
        <w:rPr>
          <w:rStyle w:val="FootnoteReference"/>
        </w:rPr>
        <w:footnoteRef/>
      </w:r>
      <w:r>
        <w:t xml:space="preserve"> </w:t>
      </w:r>
      <w:r w:rsidRPr="001E6939">
        <w:rPr>
          <w:vertAlign w:val="baseline"/>
        </w:rPr>
        <w:t>HMRC Trade Statistics – SITC code 7 ‘Machinery &amp; Transport Equipment’.</w:t>
      </w:r>
    </w:p>
  </w:footnote>
  <w:footnote w:id="17">
    <w:p w14:paraId="4C8E6959" w14:textId="77777777" w:rsidR="00D17FEA" w:rsidRDefault="00D17FEA" w:rsidP="00577556">
      <w:pPr>
        <w:pStyle w:val="FootnoteText"/>
        <w:spacing w:after="0"/>
      </w:pPr>
      <w:r>
        <w:rPr>
          <w:rStyle w:val="FootnoteReference"/>
        </w:rPr>
        <w:footnoteRef/>
      </w:r>
      <w:r>
        <w:t xml:space="preserve"> </w:t>
      </w:r>
      <w:r w:rsidRPr="001E6939">
        <w:rPr>
          <w:vertAlign w:val="baseline"/>
        </w:rPr>
        <w:t>Department for Transport. (2019). ‘Maritime 2050’.</w:t>
      </w:r>
    </w:p>
  </w:footnote>
  <w:footnote w:id="18">
    <w:p w14:paraId="0E6C6476" w14:textId="77777777" w:rsidR="00D17FEA" w:rsidRDefault="00D17FEA" w:rsidP="001E6939">
      <w:pPr>
        <w:pStyle w:val="FootnoteText"/>
      </w:pPr>
      <w:r>
        <w:rPr>
          <w:rStyle w:val="FootnoteReference"/>
        </w:rPr>
        <w:footnoteRef/>
      </w:r>
      <w:r>
        <w:t xml:space="preserve"> </w:t>
      </w:r>
      <w:r w:rsidRPr="001E6939">
        <w:rPr>
          <w:vertAlign w:val="baseline"/>
        </w:rPr>
        <w:t>Steer. (2018). ‘Assessment of the value of air freight services to the UK economy’.</w:t>
      </w:r>
    </w:p>
  </w:footnote>
  <w:footnote w:id="19">
    <w:p w14:paraId="6F56B045" w14:textId="77777777" w:rsidR="00D17FEA" w:rsidRDefault="00D17FEA" w:rsidP="001E6939">
      <w:pPr>
        <w:pStyle w:val="FootnoteText"/>
      </w:pPr>
      <w:r>
        <w:rPr>
          <w:rStyle w:val="FootnoteReference"/>
        </w:rPr>
        <w:footnoteRef/>
      </w:r>
      <w:r>
        <w:t xml:space="preserve"> </w:t>
      </w:r>
      <w:r w:rsidRPr="001E6939">
        <w:rPr>
          <w:vertAlign w:val="baseline"/>
        </w:rPr>
        <w:t>OECD. (2007). ‘The Effects of Globalisation on Labour Markets, Productivity and Inflation’.</w:t>
      </w:r>
    </w:p>
  </w:footnote>
  <w:footnote w:id="20">
    <w:p w14:paraId="6BB54A1D" w14:textId="77777777" w:rsidR="00D17FEA" w:rsidRDefault="00D17FEA" w:rsidP="001E6939">
      <w:pPr>
        <w:pStyle w:val="FootnoteText"/>
      </w:pPr>
      <w:r>
        <w:rPr>
          <w:rStyle w:val="FootnoteReference"/>
        </w:rPr>
        <w:footnoteRef/>
      </w:r>
      <w:r>
        <w:t xml:space="preserve"> </w:t>
      </w:r>
      <w:r w:rsidRPr="001E6939">
        <w:rPr>
          <w:vertAlign w:val="baseline"/>
        </w:rPr>
        <w:t>P&amp;O Cruises. (2019). ‘</w:t>
      </w:r>
      <w:hyperlink r:id="rId4" w:history="1">
        <w:r w:rsidRPr="001E6939">
          <w:rPr>
            <w:rStyle w:val="Hyperlink"/>
            <w:vertAlign w:val="baseline"/>
          </w:rPr>
          <w:t>Destinations’</w:t>
        </w:r>
      </w:hyperlink>
      <w:r w:rsidRPr="001E6939">
        <w:rPr>
          <w:vertAlign w:val="baseline"/>
        </w:rPr>
        <w:t>.</w:t>
      </w:r>
    </w:p>
  </w:footnote>
  <w:footnote w:id="21">
    <w:p w14:paraId="1610B021" w14:textId="675A0EB0" w:rsidR="00B5020C" w:rsidRDefault="00B5020C">
      <w:pPr>
        <w:pStyle w:val="FootnoteText"/>
      </w:pPr>
      <w:r w:rsidRPr="00B5020C">
        <w:rPr>
          <w:rStyle w:val="FootnoteReference"/>
          <w:sz w:val="18"/>
        </w:rPr>
        <w:footnoteRef/>
      </w:r>
      <w:r w:rsidRPr="00B5020C">
        <w:rPr>
          <w:sz w:val="18"/>
        </w:rPr>
        <w:t xml:space="preserve"> </w:t>
      </w:r>
      <w:r w:rsidRPr="00B5020C">
        <w:rPr>
          <w:vertAlign w:val="baseline"/>
        </w:rPr>
        <w:t>ExxonMobil. (2019). ‘</w:t>
      </w:r>
      <w:hyperlink r:id="rId5" w:history="1">
        <w:r w:rsidRPr="00B5020C">
          <w:rPr>
            <w:rStyle w:val="Hyperlink"/>
            <w:vertAlign w:val="baseline"/>
          </w:rPr>
          <w:t>Fawley refinery’</w:t>
        </w:r>
      </w:hyperlink>
      <w:r w:rsidRPr="00B5020C">
        <w:rPr>
          <w:vertAlign w:val="baseline"/>
        </w:rPr>
        <w:t>.</w:t>
      </w:r>
    </w:p>
  </w:footnote>
  <w:footnote w:id="22">
    <w:p w14:paraId="24E92EE7" w14:textId="77777777" w:rsidR="00D17FEA" w:rsidRDefault="00D17FEA" w:rsidP="001E6939">
      <w:pPr>
        <w:pStyle w:val="FootnoteText"/>
      </w:pPr>
      <w:r>
        <w:rPr>
          <w:rStyle w:val="FootnoteReference"/>
        </w:rPr>
        <w:footnoteRef/>
      </w:r>
      <w:r>
        <w:t xml:space="preserve"> </w:t>
      </w:r>
      <w:r w:rsidRPr="001E6939">
        <w:rPr>
          <w:vertAlign w:val="baseline"/>
        </w:rPr>
        <w:t>The European Automobile Manufacturers Association. (2019). ‘Brexit and the auto industry: Facts and figures’.</w:t>
      </w:r>
    </w:p>
  </w:footnote>
  <w:footnote w:id="23">
    <w:p w14:paraId="20B90AD8" w14:textId="77777777" w:rsidR="00D17FEA" w:rsidRDefault="00D17FEA" w:rsidP="001E6939">
      <w:pPr>
        <w:pStyle w:val="FootnoteText"/>
      </w:pPr>
      <w:r>
        <w:rPr>
          <w:rStyle w:val="FootnoteReference"/>
        </w:rPr>
        <w:footnoteRef/>
      </w:r>
      <w:r>
        <w:t xml:space="preserve"> </w:t>
      </w:r>
      <w:r w:rsidRPr="001E6939">
        <w:rPr>
          <w:vertAlign w:val="baseline"/>
        </w:rPr>
        <w:t>ONS. (2018). ‘Annual Business Survey’.</w:t>
      </w:r>
    </w:p>
  </w:footnote>
  <w:footnote w:id="24">
    <w:p w14:paraId="7EFF16AD" w14:textId="77777777" w:rsidR="00D17FEA" w:rsidRPr="00DE3B79" w:rsidRDefault="00D17FEA" w:rsidP="00C06952">
      <w:pPr>
        <w:pStyle w:val="FootnoteText"/>
        <w:spacing w:after="0" w:line="160" w:lineRule="atLeast"/>
        <w:rPr>
          <w:sz w:val="18"/>
          <w:vertAlign w:val="baseline"/>
        </w:rPr>
      </w:pPr>
      <w:r w:rsidRPr="00DE3B79">
        <w:rPr>
          <w:rStyle w:val="FootnoteReference"/>
          <w:sz w:val="18"/>
          <w:vertAlign w:val="baseline"/>
        </w:rPr>
        <w:footnoteRef/>
      </w:r>
      <w:r w:rsidRPr="00DE3B79">
        <w:rPr>
          <w:sz w:val="18"/>
          <w:vertAlign w:val="baseline"/>
        </w:rPr>
        <w:t xml:space="preserve"> Carnival Corporation. (2019). ‘</w:t>
      </w:r>
      <w:hyperlink r:id="rId6" w:history="1">
        <w:r w:rsidRPr="00DE3B79">
          <w:rPr>
            <w:rStyle w:val="Hyperlink"/>
            <w:sz w:val="18"/>
            <w:vertAlign w:val="baseline"/>
          </w:rPr>
          <w:t>Corporate Information</w:t>
        </w:r>
      </w:hyperlink>
      <w:r w:rsidRPr="00DE3B79">
        <w:rPr>
          <w:sz w:val="18"/>
          <w:vertAlign w:val="baseline"/>
        </w:rPr>
        <w:t xml:space="preserve">’.  </w:t>
      </w:r>
    </w:p>
  </w:footnote>
  <w:footnote w:id="25">
    <w:p w14:paraId="1B15D9F8" w14:textId="77777777" w:rsidR="00D17FEA" w:rsidRPr="00DE3B79" w:rsidRDefault="00D17FEA" w:rsidP="00C06952">
      <w:pPr>
        <w:pStyle w:val="FootnoteText"/>
        <w:spacing w:after="0" w:line="160" w:lineRule="atLeast"/>
        <w:rPr>
          <w:sz w:val="18"/>
          <w:vertAlign w:val="baseline"/>
        </w:rPr>
      </w:pPr>
      <w:r w:rsidRPr="00DE3B79">
        <w:rPr>
          <w:rStyle w:val="FootnoteReference"/>
          <w:sz w:val="18"/>
          <w:vertAlign w:val="baseline"/>
        </w:rPr>
        <w:footnoteRef/>
      </w:r>
      <w:r w:rsidRPr="00DE3B79">
        <w:rPr>
          <w:sz w:val="18"/>
          <w:vertAlign w:val="baseline"/>
        </w:rPr>
        <w:t xml:space="preserve"> Carnival PLC. (2018). ‘Annual Report’ – Companies House.</w:t>
      </w:r>
    </w:p>
  </w:footnote>
  <w:footnote w:id="26">
    <w:p w14:paraId="3057C0F5" w14:textId="77777777" w:rsidR="00D17FEA" w:rsidRPr="00DE3B79" w:rsidRDefault="00D17FEA" w:rsidP="00C06952">
      <w:pPr>
        <w:pStyle w:val="FootnoteText"/>
        <w:spacing w:after="0" w:line="160" w:lineRule="atLeast"/>
        <w:rPr>
          <w:sz w:val="18"/>
          <w:vertAlign w:val="baseline"/>
        </w:rPr>
      </w:pPr>
      <w:r w:rsidRPr="00DE3B79">
        <w:rPr>
          <w:rStyle w:val="FootnoteReference"/>
          <w:sz w:val="18"/>
          <w:vertAlign w:val="baseline"/>
        </w:rPr>
        <w:footnoteRef/>
      </w:r>
      <w:r w:rsidRPr="00DE3B79">
        <w:rPr>
          <w:sz w:val="18"/>
          <w:vertAlign w:val="baseline"/>
        </w:rPr>
        <w:t xml:space="preserve"> P&amp;O Cruises. (2019). ‘</w:t>
      </w:r>
      <w:hyperlink r:id="rId7" w:history="1">
        <w:r w:rsidRPr="00DE3B79">
          <w:rPr>
            <w:rStyle w:val="Hyperlink"/>
            <w:sz w:val="18"/>
            <w:vertAlign w:val="baseline"/>
          </w:rPr>
          <w:t>What’s included in your cruise</w:t>
        </w:r>
      </w:hyperlink>
      <w:r w:rsidRPr="00DE3B79">
        <w:rPr>
          <w:sz w:val="18"/>
          <w:vertAlign w:val="baseline"/>
        </w:rPr>
        <w:t>?’</w:t>
      </w:r>
    </w:p>
  </w:footnote>
  <w:footnote w:id="27">
    <w:p w14:paraId="319243E2" w14:textId="77777777" w:rsidR="00D17FEA" w:rsidRPr="00DE3B79" w:rsidRDefault="00D17FEA" w:rsidP="00C06952">
      <w:pPr>
        <w:pStyle w:val="FootnoteText"/>
        <w:spacing w:after="0" w:line="160" w:lineRule="atLeast"/>
        <w:rPr>
          <w:sz w:val="18"/>
          <w:vertAlign w:val="baseline"/>
        </w:rPr>
      </w:pPr>
      <w:r w:rsidRPr="00DE3B79">
        <w:rPr>
          <w:rStyle w:val="FootnoteReference"/>
          <w:sz w:val="18"/>
          <w:vertAlign w:val="baseline"/>
        </w:rPr>
        <w:footnoteRef/>
      </w:r>
      <w:r w:rsidRPr="00DE3B79">
        <w:rPr>
          <w:sz w:val="18"/>
          <w:vertAlign w:val="baseline"/>
        </w:rPr>
        <w:t xml:space="preserve"> Ibid. </w:t>
      </w:r>
    </w:p>
  </w:footnote>
  <w:footnote w:id="28">
    <w:p w14:paraId="5342F683" w14:textId="77777777" w:rsidR="00D17FEA" w:rsidRPr="00DE3B79" w:rsidRDefault="00D17FEA" w:rsidP="00C06952">
      <w:pPr>
        <w:pStyle w:val="FootnoteText"/>
        <w:spacing w:after="0" w:line="160" w:lineRule="atLeast"/>
        <w:rPr>
          <w:sz w:val="18"/>
          <w:vertAlign w:val="baseline"/>
        </w:rPr>
      </w:pPr>
      <w:r w:rsidRPr="00DE3B79">
        <w:rPr>
          <w:rStyle w:val="FootnoteReference"/>
          <w:sz w:val="18"/>
          <w:vertAlign w:val="baseline"/>
        </w:rPr>
        <w:footnoteRef/>
      </w:r>
      <w:r w:rsidRPr="00DE3B79">
        <w:rPr>
          <w:sz w:val="18"/>
          <w:vertAlign w:val="baseline"/>
        </w:rPr>
        <w:t xml:space="preserve"> </w:t>
      </w:r>
      <w:r w:rsidRPr="00DE3B79">
        <w:rPr>
          <w:rStyle w:val="HTMLCite"/>
          <w:sz w:val="18"/>
          <w:vertAlign w:val="baseline"/>
        </w:rPr>
        <w:t>Arnott, A. (2010). ‘Southampton, Gateway to the World’. The History Press. p. 68.</w:t>
      </w:r>
    </w:p>
  </w:footnote>
  <w:footnote w:id="29">
    <w:p w14:paraId="4AF7EF62" w14:textId="77777777" w:rsidR="00D17FEA" w:rsidRPr="00DE3B79" w:rsidRDefault="00D17FEA" w:rsidP="00C06952">
      <w:pPr>
        <w:pStyle w:val="FootnoteText"/>
        <w:spacing w:after="0" w:line="160" w:lineRule="atLeast"/>
        <w:rPr>
          <w:sz w:val="18"/>
          <w:vertAlign w:val="baseline"/>
        </w:rPr>
      </w:pPr>
      <w:r w:rsidRPr="00DE3B79">
        <w:rPr>
          <w:rStyle w:val="FootnoteReference"/>
          <w:sz w:val="18"/>
          <w:vertAlign w:val="baseline"/>
        </w:rPr>
        <w:footnoteRef/>
      </w:r>
      <w:r w:rsidRPr="00DE3B79">
        <w:rPr>
          <w:sz w:val="18"/>
          <w:vertAlign w:val="baseline"/>
        </w:rPr>
        <w:t xml:space="preserve"> Cruise. (2012). ‘</w:t>
      </w:r>
      <w:hyperlink r:id="rId8" w:history="1">
        <w:r w:rsidRPr="00DE3B79">
          <w:rPr>
            <w:rStyle w:val="Hyperlink"/>
            <w:sz w:val="18"/>
            <w:vertAlign w:val="baseline"/>
          </w:rPr>
          <w:t>175 years of P&amp;O Cruises in Pictures’</w:t>
        </w:r>
      </w:hyperlink>
      <w:r w:rsidRPr="00DE3B79">
        <w:rPr>
          <w:sz w:val="18"/>
          <w:vertAlign w:val="baseline"/>
        </w:rPr>
        <w:t>.</w:t>
      </w:r>
    </w:p>
  </w:footnote>
  <w:footnote w:id="30">
    <w:p w14:paraId="24A75CBE" w14:textId="77777777" w:rsidR="00D17FEA" w:rsidRPr="00DE3B79" w:rsidRDefault="00D17FEA" w:rsidP="00C06952">
      <w:pPr>
        <w:pStyle w:val="FootnoteText"/>
        <w:spacing w:after="0" w:line="160" w:lineRule="atLeast"/>
        <w:rPr>
          <w:sz w:val="18"/>
          <w:vertAlign w:val="baseline"/>
        </w:rPr>
      </w:pPr>
      <w:r w:rsidRPr="00DE3B79">
        <w:rPr>
          <w:rStyle w:val="FootnoteReference"/>
          <w:sz w:val="18"/>
          <w:vertAlign w:val="baseline"/>
        </w:rPr>
        <w:footnoteRef/>
      </w:r>
      <w:r w:rsidRPr="00DE3B79">
        <w:rPr>
          <w:sz w:val="18"/>
          <w:vertAlign w:val="baseline"/>
        </w:rPr>
        <w:t xml:space="preserve"> P&amp;O Cruises. (2019). ‘</w:t>
      </w:r>
      <w:hyperlink r:id="rId9" w:history="1">
        <w:r w:rsidRPr="00DE3B79">
          <w:rPr>
            <w:rStyle w:val="Hyperlink"/>
            <w:sz w:val="18"/>
            <w:vertAlign w:val="baseline"/>
          </w:rPr>
          <w:t>Carnival’s 2020 Sustainability Goals’</w:t>
        </w:r>
      </w:hyperlink>
      <w:r w:rsidRPr="00DE3B79">
        <w:rPr>
          <w:sz w:val="18"/>
          <w:vertAlign w:val="baseline"/>
        </w:rPr>
        <w:t>.</w:t>
      </w:r>
    </w:p>
  </w:footnote>
  <w:footnote w:id="31">
    <w:p w14:paraId="439DAC35" w14:textId="77777777" w:rsidR="00D17FEA" w:rsidRPr="00DE3B79" w:rsidRDefault="00D17FEA" w:rsidP="00C06952">
      <w:pPr>
        <w:pStyle w:val="FootnoteText"/>
        <w:spacing w:after="0" w:line="160" w:lineRule="atLeast"/>
        <w:rPr>
          <w:sz w:val="18"/>
          <w:vertAlign w:val="baseline"/>
        </w:rPr>
      </w:pPr>
      <w:r w:rsidRPr="00DE3B79">
        <w:rPr>
          <w:rStyle w:val="FootnoteReference"/>
          <w:sz w:val="18"/>
          <w:vertAlign w:val="baseline"/>
        </w:rPr>
        <w:footnoteRef/>
      </w:r>
      <w:r w:rsidRPr="00DE3B79">
        <w:rPr>
          <w:sz w:val="18"/>
          <w:vertAlign w:val="baseline"/>
        </w:rPr>
        <w:t xml:space="preserve"> Ibid. </w:t>
      </w:r>
    </w:p>
  </w:footnote>
  <w:footnote w:id="32">
    <w:p w14:paraId="12E4362A" w14:textId="77777777" w:rsidR="00D17FEA" w:rsidRDefault="00D17FEA" w:rsidP="00C06952">
      <w:pPr>
        <w:pStyle w:val="FootnoteText"/>
        <w:spacing w:line="160" w:lineRule="atLeast"/>
      </w:pPr>
      <w:r w:rsidRPr="00DE3B79">
        <w:rPr>
          <w:rStyle w:val="FootnoteReference"/>
          <w:sz w:val="18"/>
          <w:vertAlign w:val="baseline"/>
        </w:rPr>
        <w:footnoteRef/>
      </w:r>
      <w:r w:rsidRPr="00DE3B79">
        <w:rPr>
          <w:sz w:val="18"/>
          <w:vertAlign w:val="baseline"/>
        </w:rPr>
        <w:t xml:space="preserve"> Department for Transport. (2019). ‘Maritime 2050’.</w:t>
      </w:r>
      <w:r w:rsidRPr="00DE3B79">
        <w:rPr>
          <w:sz w:val="18"/>
        </w:rPr>
        <w:t xml:space="preserve"> </w:t>
      </w:r>
    </w:p>
  </w:footnote>
  <w:footnote w:id="33">
    <w:p w14:paraId="57FE929E" w14:textId="77777777" w:rsidR="00D17FEA" w:rsidRDefault="00D17FEA" w:rsidP="00D47FEA">
      <w:pPr>
        <w:pStyle w:val="FootnoteText"/>
      </w:pPr>
      <w:r>
        <w:rPr>
          <w:rStyle w:val="FootnoteReference"/>
        </w:rPr>
        <w:footnoteRef/>
      </w:r>
      <w:r>
        <w:t xml:space="preserve"> </w:t>
      </w:r>
      <w:r w:rsidRPr="00D47FEA">
        <w:rPr>
          <w:vertAlign w:val="baseline"/>
        </w:rPr>
        <w:t>Cunard. (2019). ‘</w:t>
      </w:r>
      <w:hyperlink r:id="rId10" w:history="1">
        <w:r w:rsidRPr="00D47FEA">
          <w:rPr>
            <w:rStyle w:val="Hyperlink"/>
            <w:vertAlign w:val="baseline"/>
          </w:rPr>
          <w:t>Our fourth ship’</w:t>
        </w:r>
      </w:hyperlink>
      <w:r w:rsidRPr="00D47FEA">
        <w:rPr>
          <w:vertAlign w:val="baseline"/>
        </w:rPr>
        <w:t>.</w:t>
      </w:r>
    </w:p>
  </w:footnote>
  <w:footnote w:id="34">
    <w:p w14:paraId="59E671F4" w14:textId="5A9D2FFA" w:rsidR="00D17FEA" w:rsidRPr="00B24AD0" w:rsidRDefault="00D17FEA">
      <w:pPr>
        <w:pStyle w:val="FootnoteText"/>
        <w:rPr>
          <w:vertAlign w:val="baseline"/>
        </w:rPr>
      </w:pPr>
      <w:r>
        <w:rPr>
          <w:rStyle w:val="FootnoteReference"/>
        </w:rPr>
        <w:footnoteRef/>
      </w:r>
      <w:r>
        <w:t xml:space="preserve"> </w:t>
      </w:r>
      <w:r>
        <w:rPr>
          <w:vertAlign w:val="baseline"/>
        </w:rPr>
        <w:t xml:space="preserve">The Portsmouth Naval Base (PNB) is included within our economic impacts of Solent LEP Maritime Sector for presentational purposes. Some of the impacts (for instance shipbuilding and marine engineering) are ordinarily included in other industries of the Maritime Sector. In these cases, the impacts of PNB are stripped out from the rest of the Maritime Sector in order to ensure there is no double counting. Other impacts of the PNB (such as naval defence activities) are not ordinarily included within </w:t>
      </w:r>
      <w:proofErr w:type="spellStart"/>
      <w:r>
        <w:rPr>
          <w:vertAlign w:val="baseline"/>
        </w:rPr>
        <w:t>Cebr’s</w:t>
      </w:r>
      <w:proofErr w:type="spellEnd"/>
      <w:r>
        <w:rPr>
          <w:vertAlign w:val="baseline"/>
        </w:rPr>
        <w:t xml:space="preserve"> definition of the Maritime Sector. These impacts are included within this report for presentational purposes, but are excluded from the national impacts of the Maritime Sector.</w:t>
      </w:r>
    </w:p>
  </w:footnote>
  <w:footnote w:id="35">
    <w:p w14:paraId="279FFADF" w14:textId="77777777" w:rsidR="00D17FEA" w:rsidRDefault="00D17FEA" w:rsidP="00DC4634">
      <w:pPr>
        <w:pStyle w:val="FootnoteText"/>
        <w:spacing w:after="0"/>
      </w:pPr>
      <w:r w:rsidRPr="0035369D">
        <w:rPr>
          <w:rStyle w:val="FootnoteReference"/>
          <w:rFonts w:ascii="Calibri" w:eastAsia="Microsoft JhengHei" w:hAnsi="Calibri"/>
          <w:position w:val="0"/>
          <w:sz w:val="22"/>
        </w:rPr>
        <w:footnoteRef/>
      </w:r>
      <w:r w:rsidRPr="0035369D">
        <w:rPr>
          <w:rStyle w:val="FootnoteReference"/>
          <w:rFonts w:ascii="Calibri" w:eastAsia="Microsoft JhengHei" w:hAnsi="Calibri"/>
          <w:position w:val="0"/>
          <w:sz w:val="22"/>
        </w:rPr>
        <w:t xml:space="preserve"> </w:t>
      </w:r>
      <w:r w:rsidRPr="0035369D">
        <w:rPr>
          <w:rStyle w:val="FootnoteReference"/>
          <w:rFonts w:ascii="Calibri" w:eastAsia="Microsoft JhengHei" w:hAnsi="Calibri"/>
          <w:position w:val="0"/>
          <w:sz w:val="18"/>
          <w:vertAlign w:val="baseline"/>
        </w:rPr>
        <w:t>Ibid.</w:t>
      </w:r>
    </w:p>
  </w:footnote>
  <w:footnote w:id="36">
    <w:p w14:paraId="3F680099" w14:textId="77777777" w:rsidR="00D17FEA" w:rsidRDefault="00D17FEA" w:rsidP="00DC4634">
      <w:pPr>
        <w:pStyle w:val="FootnoteText"/>
        <w:spacing w:after="0"/>
      </w:pPr>
      <w:r w:rsidRPr="00D43D48">
        <w:rPr>
          <w:rStyle w:val="FootnoteReference"/>
          <w:sz w:val="22"/>
        </w:rPr>
        <w:footnoteRef/>
      </w:r>
      <w:r w:rsidRPr="00D43D48">
        <w:rPr>
          <w:rStyle w:val="FootnoteReference"/>
          <w:sz w:val="22"/>
        </w:rPr>
        <w:t xml:space="preserve"> </w:t>
      </w:r>
      <w:r w:rsidRPr="00D43D48">
        <w:rPr>
          <w:sz w:val="18"/>
          <w:vertAlign w:val="baseline"/>
        </w:rPr>
        <w:t>https://www.gov.uk/government/collections/location-of-all-uk-regular-service-and-civilian-personnel-quarterly-statistics-index</w:t>
      </w:r>
    </w:p>
  </w:footnote>
  <w:footnote w:id="37">
    <w:p w14:paraId="13EBC148" w14:textId="77777777" w:rsidR="00D17FEA" w:rsidRDefault="00D17FEA">
      <w:pPr>
        <w:pStyle w:val="FootnoteText"/>
      </w:pPr>
      <w:r w:rsidRPr="008A4022">
        <w:rPr>
          <w:rStyle w:val="FootnoteReference"/>
          <w:rFonts w:ascii="Calibri" w:eastAsia="Microsoft JhengHei" w:hAnsi="Calibri"/>
          <w:position w:val="0"/>
          <w:sz w:val="22"/>
        </w:rPr>
        <w:footnoteRef/>
      </w:r>
      <w:r w:rsidRPr="008A4022">
        <w:rPr>
          <w:rStyle w:val="FootnoteReference"/>
          <w:rFonts w:ascii="Calibri" w:eastAsia="Microsoft JhengHei" w:hAnsi="Calibri"/>
          <w:position w:val="0"/>
          <w:sz w:val="22"/>
        </w:rPr>
        <w:t xml:space="preserve"> </w:t>
      </w:r>
      <w:r>
        <w:rPr>
          <w:rStyle w:val="FootnoteReference"/>
          <w:rFonts w:ascii="Calibri" w:eastAsia="Microsoft JhengHei" w:hAnsi="Calibri"/>
          <w:position w:val="0"/>
          <w:sz w:val="18"/>
          <w:vertAlign w:val="baseline"/>
        </w:rPr>
        <w:t xml:space="preserve">Compensation </w:t>
      </w:r>
      <w:r>
        <w:rPr>
          <w:rFonts w:ascii="Calibri" w:eastAsia="Microsoft JhengHei" w:hAnsi="Calibri"/>
          <w:position w:val="0"/>
          <w:sz w:val="18"/>
          <w:vertAlign w:val="baseline"/>
        </w:rPr>
        <w:t>of employees is t</w:t>
      </w:r>
      <w:r w:rsidRPr="008A4022">
        <w:rPr>
          <w:rStyle w:val="FootnoteReference"/>
          <w:rFonts w:ascii="Calibri" w:eastAsia="Microsoft JhengHei" w:hAnsi="Calibri"/>
          <w:position w:val="0"/>
          <w:sz w:val="18"/>
          <w:vertAlign w:val="baseline"/>
        </w:rPr>
        <w:t>he total remuneration, in cash or in kind, payable by an employer to an employee in return for employers' social contributions, mainly consisting of employers' actual social contributions (excluding apprentices), employers' imputed social contributions (excluding apprentices) and employers' social contributions for apprentices.</w:t>
      </w:r>
    </w:p>
  </w:footnote>
  <w:footnote w:id="38">
    <w:p w14:paraId="3BF8219A" w14:textId="77777777" w:rsidR="00D17FEA" w:rsidRDefault="00D17FEA" w:rsidP="006D715F">
      <w:pPr>
        <w:pStyle w:val="FootnoteText"/>
        <w:spacing w:after="0"/>
      </w:pPr>
      <w:r>
        <w:rPr>
          <w:rStyle w:val="FootnoteReference"/>
        </w:rPr>
        <w:footnoteRef/>
      </w:r>
      <w:r>
        <w:t xml:space="preserve"> </w:t>
      </w:r>
      <w:r w:rsidRPr="00865224">
        <w:rPr>
          <w:vertAlign w:val="baseline"/>
        </w:rPr>
        <w:t>Maritime Executive. (2018). ‘</w:t>
      </w:r>
      <w:hyperlink r:id="rId11" w:history="1">
        <w:r w:rsidRPr="00865224">
          <w:rPr>
            <w:rStyle w:val="Hyperlink"/>
            <w:vertAlign w:val="baseline"/>
          </w:rPr>
          <w:t>Cruise Industry Poised for Growth’.</w:t>
        </w:r>
      </w:hyperlink>
    </w:p>
  </w:footnote>
  <w:footnote w:id="39">
    <w:p w14:paraId="392DD6C7" w14:textId="77777777" w:rsidR="00D17FEA" w:rsidRDefault="00D17FEA" w:rsidP="006D715F">
      <w:pPr>
        <w:pStyle w:val="FootnoteText"/>
        <w:spacing w:after="0"/>
      </w:pPr>
      <w:r>
        <w:rPr>
          <w:rStyle w:val="FootnoteReference"/>
        </w:rPr>
        <w:footnoteRef/>
      </w:r>
      <w:r>
        <w:t xml:space="preserve"> </w:t>
      </w:r>
      <w:r w:rsidRPr="00865224">
        <w:rPr>
          <w:vertAlign w:val="baseline"/>
        </w:rPr>
        <w:t xml:space="preserve">Carnival Cruises. (2018). </w:t>
      </w:r>
      <w:hyperlink r:id="rId12" w:history="1">
        <w:r w:rsidRPr="00865224">
          <w:rPr>
            <w:rStyle w:val="Hyperlink"/>
            <w:vertAlign w:val="baseline"/>
          </w:rPr>
          <w:t>‘2018 Annual Report’.</w:t>
        </w:r>
      </w:hyperlink>
    </w:p>
  </w:footnote>
  <w:footnote w:id="40">
    <w:p w14:paraId="2E957539" w14:textId="77777777" w:rsidR="00D17FEA" w:rsidRDefault="00D17FEA" w:rsidP="006D715F">
      <w:pPr>
        <w:pStyle w:val="FootnoteText"/>
        <w:spacing w:after="0"/>
      </w:pPr>
      <w:r>
        <w:rPr>
          <w:rStyle w:val="FootnoteReference"/>
        </w:rPr>
        <w:footnoteRef/>
      </w:r>
      <w:r w:rsidRPr="00865224">
        <w:rPr>
          <w:vertAlign w:val="baseline"/>
        </w:rPr>
        <w:t xml:space="preserve"> P&amp;O Cruises. (2019). ‘</w:t>
      </w:r>
      <w:hyperlink r:id="rId13" w:history="1">
        <w:r w:rsidRPr="00865224">
          <w:rPr>
            <w:rStyle w:val="Hyperlink"/>
            <w:vertAlign w:val="baseline"/>
          </w:rPr>
          <w:t>What’s included in your cruise</w:t>
        </w:r>
      </w:hyperlink>
      <w:r w:rsidRPr="00865224">
        <w:rPr>
          <w:vertAlign w:val="baseline"/>
        </w:rPr>
        <w:t>?’</w:t>
      </w:r>
    </w:p>
  </w:footnote>
  <w:footnote w:id="41">
    <w:p w14:paraId="6A4880C7" w14:textId="77777777" w:rsidR="00D17FEA" w:rsidRPr="000C451B" w:rsidRDefault="00D17FEA" w:rsidP="00E36DA1">
      <w:pPr>
        <w:pStyle w:val="FootnoteText"/>
        <w:spacing w:after="0"/>
        <w:rPr>
          <w:vertAlign w:val="baseline"/>
        </w:rPr>
      </w:pPr>
      <w:r w:rsidRPr="00AE6722">
        <w:rPr>
          <w:rStyle w:val="FootnoteReference"/>
          <w:rFonts w:ascii="Calibri" w:eastAsia="Microsoft JhengHei" w:hAnsi="Calibri"/>
          <w:position w:val="0"/>
          <w:sz w:val="22"/>
        </w:rPr>
        <w:footnoteRef/>
      </w:r>
      <w:r w:rsidRPr="00AE6722">
        <w:rPr>
          <w:rStyle w:val="FootnoteReference"/>
          <w:rFonts w:ascii="Calibri" w:eastAsia="Microsoft JhengHei" w:hAnsi="Calibri"/>
          <w:position w:val="0"/>
          <w:sz w:val="22"/>
        </w:rPr>
        <w:t xml:space="preserve"> </w:t>
      </w:r>
      <w:r w:rsidRPr="00AF216F">
        <w:rPr>
          <w:rStyle w:val="FootnoteReference"/>
          <w:rFonts w:ascii="Calibri" w:eastAsia="Microsoft JhengHei" w:hAnsi="Calibri"/>
          <w:position w:val="0"/>
          <w:sz w:val="18"/>
          <w:vertAlign w:val="baseline"/>
        </w:rPr>
        <w:t>The Annual Survey of Hours and Earnings (ASHE) provides data on the levels, distribution and make-up of earnings and hours worked for UK employees by sex and full-time or part-time status in all industries and occupations.</w:t>
      </w:r>
    </w:p>
  </w:footnote>
  <w:footnote w:id="42">
    <w:p w14:paraId="4E93F6FE" w14:textId="77777777" w:rsidR="00D17FEA" w:rsidRPr="009B2B3D" w:rsidRDefault="00D17FEA" w:rsidP="009B2B3D">
      <w:pPr>
        <w:pStyle w:val="FootnoteText"/>
        <w:spacing w:after="0"/>
        <w:rPr>
          <w:sz w:val="18"/>
          <w:szCs w:val="18"/>
          <w:vertAlign w:val="baseline"/>
        </w:rPr>
      </w:pPr>
      <w:r w:rsidRPr="009B2B3D">
        <w:rPr>
          <w:rStyle w:val="FootnoteReference"/>
          <w:sz w:val="18"/>
          <w:szCs w:val="18"/>
          <w:vertAlign w:val="baseline"/>
        </w:rPr>
        <w:footnoteRef/>
      </w:r>
      <w:r w:rsidRPr="009B2B3D">
        <w:rPr>
          <w:sz w:val="18"/>
          <w:szCs w:val="18"/>
          <w:vertAlign w:val="baseline"/>
        </w:rPr>
        <w:t xml:space="preserve"> United Nations Conference on Trade and Development. (2018). </w:t>
      </w:r>
      <w:hyperlink r:id="rId14" w:history="1">
        <w:r w:rsidRPr="009B2B3D">
          <w:rPr>
            <w:rStyle w:val="Hyperlink1"/>
            <w:sz w:val="18"/>
            <w:szCs w:val="18"/>
            <w:vertAlign w:val="baseline"/>
          </w:rPr>
          <w:t>'Review of Marine Transport 2018'.</w:t>
        </w:r>
      </w:hyperlink>
      <w:r w:rsidRPr="009B2B3D">
        <w:rPr>
          <w:sz w:val="18"/>
          <w:szCs w:val="18"/>
          <w:vertAlign w:val="baseline"/>
        </w:rPr>
        <w:t xml:space="preserve"> </w:t>
      </w:r>
    </w:p>
  </w:footnote>
  <w:footnote w:id="43">
    <w:p w14:paraId="1D774711" w14:textId="77777777" w:rsidR="00D17FEA" w:rsidRPr="009B2B3D" w:rsidRDefault="00D17FEA" w:rsidP="009B2B3D">
      <w:pPr>
        <w:pStyle w:val="FootnoteText"/>
        <w:spacing w:after="0"/>
        <w:rPr>
          <w:sz w:val="18"/>
          <w:szCs w:val="18"/>
          <w:vertAlign w:val="baseline"/>
        </w:rPr>
      </w:pPr>
      <w:r w:rsidRPr="009B2B3D">
        <w:rPr>
          <w:rStyle w:val="FootnoteReference"/>
          <w:sz w:val="18"/>
          <w:szCs w:val="18"/>
          <w:vertAlign w:val="baseline"/>
        </w:rPr>
        <w:footnoteRef/>
      </w:r>
      <w:r w:rsidRPr="009B2B3D">
        <w:rPr>
          <w:sz w:val="18"/>
          <w:szCs w:val="18"/>
          <w:vertAlign w:val="baseline"/>
        </w:rPr>
        <w:t xml:space="preserve"> DNV GL (2018). </w:t>
      </w:r>
      <w:hyperlink r:id="rId15" w:history="1">
        <w:r w:rsidRPr="009B2B3D">
          <w:rPr>
            <w:rStyle w:val="Hyperlink1"/>
            <w:sz w:val="18"/>
            <w:szCs w:val="18"/>
            <w:vertAlign w:val="baseline"/>
          </w:rPr>
          <w:t>'Energy Transition Outlook'.</w:t>
        </w:r>
      </w:hyperlink>
    </w:p>
  </w:footnote>
  <w:footnote w:id="44">
    <w:p w14:paraId="03EE1406" w14:textId="77777777" w:rsidR="00D17FEA" w:rsidRPr="009B2B3D" w:rsidRDefault="00D17FEA" w:rsidP="009B2B3D">
      <w:pPr>
        <w:pStyle w:val="FootnoteText"/>
        <w:spacing w:after="0"/>
        <w:rPr>
          <w:sz w:val="18"/>
          <w:szCs w:val="18"/>
          <w:vertAlign w:val="baseline"/>
        </w:rPr>
      </w:pPr>
      <w:r w:rsidRPr="009B2B3D">
        <w:rPr>
          <w:rStyle w:val="FootnoteReference"/>
          <w:sz w:val="18"/>
          <w:szCs w:val="18"/>
          <w:vertAlign w:val="baseline"/>
        </w:rPr>
        <w:footnoteRef/>
      </w:r>
      <w:r w:rsidRPr="009B2B3D">
        <w:rPr>
          <w:sz w:val="18"/>
          <w:szCs w:val="18"/>
          <w:vertAlign w:val="baseline"/>
        </w:rPr>
        <w:t xml:space="preserve"> OECD. (2018). </w:t>
      </w:r>
      <w:hyperlink r:id="rId16" w:history="1">
        <w:r w:rsidRPr="009B2B3D">
          <w:rPr>
            <w:rStyle w:val="Hyperlink1"/>
            <w:sz w:val="18"/>
            <w:szCs w:val="18"/>
            <w:vertAlign w:val="baseline"/>
          </w:rPr>
          <w:t>'Growth prospects, challenges and uncertainties for selected ocean industries'.</w:t>
        </w:r>
      </w:hyperlink>
    </w:p>
  </w:footnote>
  <w:footnote w:id="45">
    <w:p w14:paraId="5F82CA2C" w14:textId="77777777" w:rsidR="00D17FEA" w:rsidRPr="009B2B3D" w:rsidRDefault="00D17FEA" w:rsidP="009B2B3D">
      <w:pPr>
        <w:pStyle w:val="FootnoteText"/>
        <w:spacing w:after="0"/>
        <w:rPr>
          <w:sz w:val="18"/>
          <w:szCs w:val="18"/>
          <w:vertAlign w:val="baseline"/>
        </w:rPr>
      </w:pPr>
      <w:r w:rsidRPr="009B2B3D">
        <w:rPr>
          <w:rStyle w:val="FootnoteReference"/>
          <w:sz w:val="18"/>
          <w:szCs w:val="18"/>
          <w:vertAlign w:val="baseline"/>
        </w:rPr>
        <w:footnoteRef/>
      </w:r>
      <w:r w:rsidRPr="009B2B3D">
        <w:rPr>
          <w:sz w:val="18"/>
          <w:szCs w:val="18"/>
          <w:vertAlign w:val="baseline"/>
        </w:rPr>
        <w:t xml:space="preserve"> Department for Transport (2018). Sea Passenger Statistics.</w:t>
      </w:r>
    </w:p>
  </w:footnote>
  <w:footnote w:id="46">
    <w:p w14:paraId="3792E954" w14:textId="77777777" w:rsidR="00D17FEA" w:rsidRDefault="00D17FEA" w:rsidP="009B2B3D">
      <w:pPr>
        <w:pStyle w:val="FootnoteText"/>
        <w:spacing w:after="0"/>
      </w:pPr>
      <w:r w:rsidRPr="009B2B3D">
        <w:rPr>
          <w:rStyle w:val="FootnoteReference"/>
          <w:sz w:val="18"/>
          <w:szCs w:val="18"/>
          <w:vertAlign w:val="baseline"/>
        </w:rPr>
        <w:footnoteRef/>
      </w:r>
      <w:r w:rsidRPr="009B2B3D">
        <w:rPr>
          <w:sz w:val="18"/>
          <w:szCs w:val="18"/>
          <w:vertAlign w:val="baseline"/>
        </w:rPr>
        <w:t xml:space="preserve"> </w:t>
      </w:r>
      <w:hyperlink r:id="rId17" w:history="1">
        <w:r w:rsidRPr="009B2B3D">
          <w:rPr>
            <w:rStyle w:val="Hyperlink1"/>
            <w:sz w:val="18"/>
            <w:szCs w:val="18"/>
            <w:vertAlign w:val="baseline"/>
          </w:rPr>
          <w:t>https://www.gov.uk/government/news/defence-budget-increases-for-the-first-time-in-six-years</w:t>
        </w:r>
      </w:hyperlink>
      <w:r w:rsidRPr="009B2B3D">
        <w:rPr>
          <w:rStyle w:val="Hyperlink1"/>
          <w:sz w:val="18"/>
          <w:vertAlign w:val="baseline"/>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A2A6" w14:textId="27C4773B" w:rsidR="00D17FEA" w:rsidRDefault="00D17FEA">
    <w:pPr>
      <w:pStyle w:val="Header"/>
    </w:pPr>
    <w:r>
      <w:tab/>
    </w:r>
    <w:r>
      <w:fldChar w:fldCharType="begin"/>
    </w:r>
    <w:r>
      <w:instrText xml:space="preserve"> PAGE  \* Arabic  \* MERGEFORMAT </w:instrText>
    </w:r>
    <w:r>
      <w:fldChar w:fldCharType="separate"/>
    </w:r>
    <w:r w:rsidR="00180D0A">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3878" w14:textId="77777777" w:rsidR="00D17FEA" w:rsidRDefault="00D17FEA">
    <w:pPr>
      <w:pStyle w:val="Header"/>
    </w:pPr>
    <w:r>
      <w:rPr>
        <w:noProof/>
        <w:lang w:eastAsia="en-GB"/>
      </w:rPr>
      <w:drawing>
        <wp:anchor distT="0" distB="0" distL="114300" distR="114300" simplePos="0" relativeHeight="251665408" behindDoc="1" locked="1" layoutInCell="1" allowOverlap="1" wp14:anchorId="6C78F210" wp14:editId="76EB4BAA">
          <wp:simplePos x="0" y="0"/>
          <wp:positionH relativeFrom="page">
            <wp:posOffset>0</wp:posOffset>
          </wp:positionH>
          <wp:positionV relativeFrom="page">
            <wp:posOffset>0</wp:posOffset>
          </wp:positionV>
          <wp:extent cx="7563600" cy="8960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Operandi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89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C0F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1AEA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00A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3E15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5673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DED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9EF4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A19D8"/>
    <w:lvl w:ilvl="0">
      <w:start w:val="1"/>
      <w:numFmt w:val="bullet"/>
      <w:pStyle w:val="ListBullet2"/>
      <w:lvlText w:val="–"/>
      <w:lvlJc w:val="left"/>
      <w:pPr>
        <w:ind w:left="587" w:hanging="360"/>
      </w:pPr>
      <w:rPr>
        <w:rFonts w:ascii="Gotham Light" w:hAnsi="Gotham Light" w:cs="Symbol" w:hint="default"/>
        <w:color w:val="008C9B" w:themeColor="accent1"/>
      </w:rPr>
    </w:lvl>
  </w:abstractNum>
  <w:abstractNum w:abstractNumId="8" w15:restartNumberingAfterBreak="0">
    <w:nsid w:val="FFFFFF88"/>
    <w:multiLevelType w:val="singleLevel"/>
    <w:tmpl w:val="0812F64C"/>
    <w:lvl w:ilvl="0">
      <w:start w:val="1"/>
      <w:numFmt w:val="decimal"/>
      <w:pStyle w:val="ListNumber"/>
      <w:lvlText w:val="%1"/>
      <w:lvlJc w:val="left"/>
      <w:pPr>
        <w:ind w:left="360" w:hanging="360"/>
      </w:pPr>
      <w:rPr>
        <w:rFonts w:hint="default"/>
        <w:b/>
        <w:i w:val="0"/>
        <w:color w:val="008C9B" w:themeColor="text2"/>
      </w:rPr>
    </w:lvl>
  </w:abstractNum>
  <w:abstractNum w:abstractNumId="9" w15:restartNumberingAfterBreak="0">
    <w:nsid w:val="FFFFFF89"/>
    <w:multiLevelType w:val="singleLevel"/>
    <w:tmpl w:val="92B6CA84"/>
    <w:lvl w:ilvl="0">
      <w:start w:val="1"/>
      <w:numFmt w:val="bullet"/>
      <w:lvlText w:val="·"/>
      <w:lvlJc w:val="left"/>
      <w:pPr>
        <w:ind w:left="360" w:hanging="360"/>
      </w:pPr>
      <w:rPr>
        <w:rFonts w:ascii="Symbol" w:hAnsi="Symbol" w:cs="Symbol" w:hint="default"/>
        <w:color w:val="008C9B" w:themeColor="accent1"/>
      </w:rPr>
    </w:lvl>
  </w:abstractNum>
  <w:abstractNum w:abstractNumId="10" w15:restartNumberingAfterBreak="0">
    <w:nsid w:val="074D38FB"/>
    <w:multiLevelType w:val="hybridMultilevel"/>
    <w:tmpl w:val="76BC8184"/>
    <w:lvl w:ilvl="0" w:tplc="3DEA876A">
      <w:start w:val="1"/>
      <w:numFmt w:val="lowerLetter"/>
      <w:pStyle w:val="ListNumber2"/>
      <w:lvlText w:val="%1"/>
      <w:lvlJc w:val="left"/>
      <w:pPr>
        <w:ind w:left="947" w:hanging="360"/>
      </w:pPr>
      <w:rPr>
        <w:rFonts w:hint="default"/>
        <w:bCs/>
        <w:iCs w:val="0"/>
        <w:color w:val="008C9B" w:themeColor="accent1"/>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1" w15:restartNumberingAfterBreak="0">
    <w:nsid w:val="0C4319E6"/>
    <w:multiLevelType w:val="hybridMultilevel"/>
    <w:tmpl w:val="714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C50799"/>
    <w:multiLevelType w:val="hybridMultilevel"/>
    <w:tmpl w:val="B45EEDCC"/>
    <w:lvl w:ilvl="0" w:tplc="1F3A570E">
      <w:start w:val="1"/>
      <w:numFmt w:val="decimal"/>
      <w:lvlText w:val="%1"/>
      <w:lvlJc w:val="left"/>
      <w:pPr>
        <w:ind w:left="360" w:hanging="360"/>
      </w:pPr>
      <w:rPr>
        <w:rFonts w:hint="default"/>
        <w:b/>
        <w:i w:val="0"/>
        <w:color w:val="008C9B"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C523E"/>
    <w:multiLevelType w:val="hybridMultilevel"/>
    <w:tmpl w:val="76F4FF10"/>
    <w:lvl w:ilvl="0" w:tplc="8E46773C">
      <w:start w:val="1"/>
      <w:numFmt w:val="upperRoman"/>
      <w:lvlText w:val="%1."/>
      <w:lvlJc w:val="right"/>
      <w:pPr>
        <w:ind w:left="360" w:hanging="360"/>
      </w:pPr>
      <w:rPr>
        <w:color w:val="008C9B"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99330D"/>
    <w:multiLevelType w:val="hybridMultilevel"/>
    <w:tmpl w:val="CF9876E6"/>
    <w:lvl w:ilvl="0" w:tplc="08090001">
      <w:start w:val="1"/>
      <w:numFmt w:val="bullet"/>
      <w:lvlText w:val=""/>
      <w:lvlJc w:val="left"/>
      <w:pPr>
        <w:ind w:left="720" w:hanging="360"/>
      </w:pPr>
      <w:rPr>
        <w:rFonts w:ascii="Symbol" w:hAnsi="Symbol" w:hint="default"/>
        <w:color w:val="008C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66AD2"/>
    <w:multiLevelType w:val="hybridMultilevel"/>
    <w:tmpl w:val="F1A03C08"/>
    <w:lvl w:ilvl="0" w:tplc="B892459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CB5DE0"/>
    <w:multiLevelType w:val="hybridMultilevel"/>
    <w:tmpl w:val="60342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26F57"/>
    <w:multiLevelType w:val="hybridMultilevel"/>
    <w:tmpl w:val="1F86A46E"/>
    <w:lvl w:ilvl="0" w:tplc="08090001">
      <w:start w:val="1"/>
      <w:numFmt w:val="bullet"/>
      <w:lvlText w:val=""/>
      <w:lvlJc w:val="left"/>
      <w:pPr>
        <w:ind w:left="720" w:hanging="360"/>
      </w:pPr>
      <w:rPr>
        <w:rFonts w:ascii="Symbol" w:hAnsi="Symbol" w:hint="default"/>
        <w:color w:val="008C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27C82"/>
    <w:multiLevelType w:val="hybridMultilevel"/>
    <w:tmpl w:val="563005D4"/>
    <w:lvl w:ilvl="0" w:tplc="DDDCBFA0">
      <w:start w:val="1"/>
      <w:numFmt w:val="upperRoman"/>
      <w:lvlText w:val="%1."/>
      <w:lvlJc w:val="right"/>
      <w:pPr>
        <w:ind w:left="360" w:hanging="360"/>
      </w:pPr>
      <w:rPr>
        <w:color w:val="008C9B"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4C1AC2"/>
    <w:multiLevelType w:val="hybridMultilevel"/>
    <w:tmpl w:val="67C09E84"/>
    <w:lvl w:ilvl="0" w:tplc="08090001">
      <w:start w:val="1"/>
      <w:numFmt w:val="bullet"/>
      <w:lvlText w:val=""/>
      <w:lvlJc w:val="left"/>
      <w:pPr>
        <w:ind w:left="720" w:hanging="360"/>
      </w:pPr>
      <w:rPr>
        <w:rFonts w:ascii="Symbol" w:hAnsi="Symbol" w:hint="default"/>
        <w:color w:val="008C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C7E45"/>
    <w:multiLevelType w:val="hybridMultilevel"/>
    <w:tmpl w:val="DC16D906"/>
    <w:lvl w:ilvl="0" w:tplc="08090001">
      <w:start w:val="1"/>
      <w:numFmt w:val="bullet"/>
      <w:lvlText w:val=""/>
      <w:lvlJc w:val="left"/>
      <w:pPr>
        <w:ind w:left="360" w:hanging="360"/>
      </w:pPr>
      <w:rPr>
        <w:rFonts w:ascii="Symbol" w:hAnsi="Symbol" w:hint="default"/>
        <w:color w:val="008C9B"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AB03ED"/>
    <w:multiLevelType w:val="hybridMultilevel"/>
    <w:tmpl w:val="76F4FF10"/>
    <w:lvl w:ilvl="0" w:tplc="8E46773C">
      <w:start w:val="1"/>
      <w:numFmt w:val="upperRoman"/>
      <w:lvlText w:val="%1."/>
      <w:lvlJc w:val="right"/>
      <w:pPr>
        <w:ind w:left="1080" w:hanging="360"/>
      </w:pPr>
      <w:rPr>
        <w:color w:val="008C9B" w:themeColor="accen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313A1A"/>
    <w:multiLevelType w:val="multilevel"/>
    <w:tmpl w:val="B596C11A"/>
    <w:numStyleLink w:val="Cebrlist"/>
  </w:abstractNum>
  <w:abstractNum w:abstractNumId="23" w15:restartNumberingAfterBreak="0">
    <w:nsid w:val="4E8B6092"/>
    <w:multiLevelType w:val="hybridMultilevel"/>
    <w:tmpl w:val="047ECBF8"/>
    <w:lvl w:ilvl="0" w:tplc="08090001">
      <w:start w:val="1"/>
      <w:numFmt w:val="bullet"/>
      <w:lvlText w:val=""/>
      <w:lvlJc w:val="left"/>
      <w:pPr>
        <w:ind w:left="720" w:hanging="360"/>
      </w:pPr>
      <w:rPr>
        <w:rFonts w:ascii="Symbol" w:hAnsi="Symbol" w:hint="default"/>
        <w:color w:val="008C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E6442"/>
    <w:multiLevelType w:val="multilevel"/>
    <w:tmpl w:val="B596C11A"/>
    <w:styleLink w:val="Cebrlist"/>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B4263B"/>
    <w:multiLevelType w:val="hybridMultilevel"/>
    <w:tmpl w:val="DB586C10"/>
    <w:lvl w:ilvl="0" w:tplc="08090001">
      <w:start w:val="1"/>
      <w:numFmt w:val="bullet"/>
      <w:lvlText w:val=""/>
      <w:lvlJc w:val="left"/>
      <w:pPr>
        <w:ind w:left="720" w:hanging="360"/>
      </w:pPr>
      <w:rPr>
        <w:rFonts w:ascii="Symbol" w:hAnsi="Symbol" w:hint="default"/>
        <w:color w:val="008C9B" w:themeColor="accent1"/>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30F23"/>
    <w:multiLevelType w:val="hybridMultilevel"/>
    <w:tmpl w:val="CD82A252"/>
    <w:lvl w:ilvl="0" w:tplc="08090001">
      <w:start w:val="1"/>
      <w:numFmt w:val="bullet"/>
      <w:lvlText w:val=""/>
      <w:lvlJc w:val="left"/>
      <w:pPr>
        <w:ind w:left="360" w:hanging="360"/>
      </w:pPr>
      <w:rPr>
        <w:rFonts w:ascii="Symbol" w:hAnsi="Symbol" w:hint="default"/>
        <w:color w:val="008C9B"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3"/>
  </w:num>
  <w:num w:numId="4">
    <w:abstractNumId w:val="3"/>
  </w:num>
  <w:num w:numId="5">
    <w:abstractNumId w:val="8"/>
  </w:num>
  <w:num w:numId="6">
    <w:abstractNumId w:val="3"/>
  </w:num>
  <w:num w:numId="7">
    <w:abstractNumId w:val="8"/>
  </w:num>
  <w:num w:numId="8">
    <w:abstractNumId w:val="9"/>
  </w:num>
  <w:num w:numId="9">
    <w:abstractNumId w:val="7"/>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5"/>
  </w:num>
  <w:num w:numId="15">
    <w:abstractNumId w:val="4"/>
  </w:num>
  <w:num w:numId="16">
    <w:abstractNumId w:val="2"/>
  </w:num>
  <w:num w:numId="17">
    <w:abstractNumId w:val="1"/>
  </w:num>
  <w:num w:numId="18">
    <w:abstractNumId w:val="0"/>
  </w:num>
  <w:num w:numId="19">
    <w:abstractNumId w:val="10"/>
  </w:num>
  <w:num w:numId="20">
    <w:abstractNumId w:val="17"/>
  </w:num>
  <w:num w:numId="21">
    <w:abstractNumId w:val="16"/>
  </w:num>
  <w:num w:numId="22">
    <w:abstractNumId w:val="11"/>
  </w:num>
  <w:num w:numId="23">
    <w:abstractNumId w:val="19"/>
  </w:num>
  <w:num w:numId="24">
    <w:abstractNumId w:val="14"/>
  </w:num>
  <w:num w:numId="25">
    <w:abstractNumId w:val="25"/>
  </w:num>
  <w:num w:numId="26">
    <w:abstractNumId w:val="22"/>
  </w:num>
  <w:num w:numId="27">
    <w:abstractNumId w:val="22"/>
  </w:num>
  <w:num w:numId="28">
    <w:abstractNumId w:val="12"/>
    <w:lvlOverride w:ilvl="0">
      <w:startOverride w:val="1"/>
    </w:lvlOverride>
  </w:num>
  <w:num w:numId="29">
    <w:abstractNumId w:val="21"/>
  </w:num>
  <w:num w:numId="30">
    <w:abstractNumId w:val="15"/>
  </w:num>
  <w:num w:numId="31">
    <w:abstractNumId w:val="26"/>
  </w:num>
  <w:num w:numId="32">
    <w:abstractNumId w:val="20"/>
  </w:num>
  <w:num w:numId="33">
    <w:abstractNumId w:val="18"/>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53"/>
    <w:rsid w:val="00000497"/>
    <w:rsid w:val="00000947"/>
    <w:rsid w:val="000018E2"/>
    <w:rsid w:val="0000326D"/>
    <w:rsid w:val="00003CF1"/>
    <w:rsid w:val="000043CD"/>
    <w:rsid w:val="00006A82"/>
    <w:rsid w:val="00010228"/>
    <w:rsid w:val="000117DA"/>
    <w:rsid w:val="000121F3"/>
    <w:rsid w:val="00012D13"/>
    <w:rsid w:val="0001349B"/>
    <w:rsid w:val="00013904"/>
    <w:rsid w:val="000152D2"/>
    <w:rsid w:val="00015B31"/>
    <w:rsid w:val="000170AB"/>
    <w:rsid w:val="00017CB2"/>
    <w:rsid w:val="00017ECB"/>
    <w:rsid w:val="000206FD"/>
    <w:rsid w:val="00020A59"/>
    <w:rsid w:val="00020D65"/>
    <w:rsid w:val="00020EA0"/>
    <w:rsid w:val="000217E9"/>
    <w:rsid w:val="000219E1"/>
    <w:rsid w:val="00021D67"/>
    <w:rsid w:val="00023209"/>
    <w:rsid w:val="000235FB"/>
    <w:rsid w:val="00023EFF"/>
    <w:rsid w:val="0002614D"/>
    <w:rsid w:val="000264EB"/>
    <w:rsid w:val="0003037A"/>
    <w:rsid w:val="000306E8"/>
    <w:rsid w:val="00030D94"/>
    <w:rsid w:val="00031422"/>
    <w:rsid w:val="00032440"/>
    <w:rsid w:val="00034174"/>
    <w:rsid w:val="0003446B"/>
    <w:rsid w:val="0003517A"/>
    <w:rsid w:val="00035748"/>
    <w:rsid w:val="0003654B"/>
    <w:rsid w:val="0004014F"/>
    <w:rsid w:val="00040567"/>
    <w:rsid w:val="0004066A"/>
    <w:rsid w:val="0004452A"/>
    <w:rsid w:val="00045C1B"/>
    <w:rsid w:val="00045E7B"/>
    <w:rsid w:val="000514CC"/>
    <w:rsid w:val="00051DD5"/>
    <w:rsid w:val="0005284D"/>
    <w:rsid w:val="0005294E"/>
    <w:rsid w:val="000540B6"/>
    <w:rsid w:val="00054BC2"/>
    <w:rsid w:val="0005602C"/>
    <w:rsid w:val="00056595"/>
    <w:rsid w:val="00056F55"/>
    <w:rsid w:val="00057388"/>
    <w:rsid w:val="00057446"/>
    <w:rsid w:val="0005788D"/>
    <w:rsid w:val="00061EDC"/>
    <w:rsid w:val="0006481D"/>
    <w:rsid w:val="00064FA6"/>
    <w:rsid w:val="0006652D"/>
    <w:rsid w:val="00067329"/>
    <w:rsid w:val="00067868"/>
    <w:rsid w:val="00067F4A"/>
    <w:rsid w:val="0007006C"/>
    <w:rsid w:val="0007113D"/>
    <w:rsid w:val="00071B29"/>
    <w:rsid w:val="0007262F"/>
    <w:rsid w:val="00072E52"/>
    <w:rsid w:val="00073551"/>
    <w:rsid w:val="0007369D"/>
    <w:rsid w:val="00075389"/>
    <w:rsid w:val="000753CE"/>
    <w:rsid w:val="000757FE"/>
    <w:rsid w:val="00076452"/>
    <w:rsid w:val="00077F62"/>
    <w:rsid w:val="000805D5"/>
    <w:rsid w:val="0008081F"/>
    <w:rsid w:val="00081408"/>
    <w:rsid w:val="00081B3B"/>
    <w:rsid w:val="0008458B"/>
    <w:rsid w:val="00084651"/>
    <w:rsid w:val="000858D0"/>
    <w:rsid w:val="00090BA3"/>
    <w:rsid w:val="0009102E"/>
    <w:rsid w:val="00091112"/>
    <w:rsid w:val="00091345"/>
    <w:rsid w:val="00091674"/>
    <w:rsid w:val="0009263B"/>
    <w:rsid w:val="0009314A"/>
    <w:rsid w:val="00095C1F"/>
    <w:rsid w:val="00096B86"/>
    <w:rsid w:val="00096CCB"/>
    <w:rsid w:val="000973F9"/>
    <w:rsid w:val="000A0246"/>
    <w:rsid w:val="000A1D11"/>
    <w:rsid w:val="000A1F0D"/>
    <w:rsid w:val="000A21A4"/>
    <w:rsid w:val="000A2222"/>
    <w:rsid w:val="000A2830"/>
    <w:rsid w:val="000A3DD3"/>
    <w:rsid w:val="000A552A"/>
    <w:rsid w:val="000A5D8C"/>
    <w:rsid w:val="000A6142"/>
    <w:rsid w:val="000A706F"/>
    <w:rsid w:val="000B1230"/>
    <w:rsid w:val="000B181E"/>
    <w:rsid w:val="000B1868"/>
    <w:rsid w:val="000B472F"/>
    <w:rsid w:val="000C04CC"/>
    <w:rsid w:val="000C06F7"/>
    <w:rsid w:val="000C1477"/>
    <w:rsid w:val="000C2351"/>
    <w:rsid w:val="000C451B"/>
    <w:rsid w:val="000C4F16"/>
    <w:rsid w:val="000C6EEF"/>
    <w:rsid w:val="000C6F1C"/>
    <w:rsid w:val="000C7C3B"/>
    <w:rsid w:val="000D0432"/>
    <w:rsid w:val="000D177A"/>
    <w:rsid w:val="000D2358"/>
    <w:rsid w:val="000D2719"/>
    <w:rsid w:val="000D2AF5"/>
    <w:rsid w:val="000D2C49"/>
    <w:rsid w:val="000D333E"/>
    <w:rsid w:val="000D6833"/>
    <w:rsid w:val="000D7F85"/>
    <w:rsid w:val="000E1496"/>
    <w:rsid w:val="000E2167"/>
    <w:rsid w:val="000E4B3D"/>
    <w:rsid w:val="000E543B"/>
    <w:rsid w:val="000E6328"/>
    <w:rsid w:val="000E788B"/>
    <w:rsid w:val="000E7A06"/>
    <w:rsid w:val="000F0D15"/>
    <w:rsid w:val="000F1888"/>
    <w:rsid w:val="000F1B6C"/>
    <w:rsid w:val="000F2847"/>
    <w:rsid w:val="000F2AD2"/>
    <w:rsid w:val="000F33CB"/>
    <w:rsid w:val="000F39DB"/>
    <w:rsid w:val="000F3AAC"/>
    <w:rsid w:val="000F3E57"/>
    <w:rsid w:val="000F58AA"/>
    <w:rsid w:val="000F5C85"/>
    <w:rsid w:val="000F7B47"/>
    <w:rsid w:val="001007A9"/>
    <w:rsid w:val="0010557C"/>
    <w:rsid w:val="00107BF6"/>
    <w:rsid w:val="00107FC0"/>
    <w:rsid w:val="001101D8"/>
    <w:rsid w:val="0011101A"/>
    <w:rsid w:val="00112781"/>
    <w:rsid w:val="00114EEA"/>
    <w:rsid w:val="0011534E"/>
    <w:rsid w:val="00115B52"/>
    <w:rsid w:val="00115C74"/>
    <w:rsid w:val="0011690A"/>
    <w:rsid w:val="0011698E"/>
    <w:rsid w:val="00117AF1"/>
    <w:rsid w:val="00117B5C"/>
    <w:rsid w:val="00121D53"/>
    <w:rsid w:val="001238E3"/>
    <w:rsid w:val="00123988"/>
    <w:rsid w:val="0012421A"/>
    <w:rsid w:val="00125EEC"/>
    <w:rsid w:val="00126286"/>
    <w:rsid w:val="00126483"/>
    <w:rsid w:val="001278E4"/>
    <w:rsid w:val="00130280"/>
    <w:rsid w:val="00130F43"/>
    <w:rsid w:val="001312D6"/>
    <w:rsid w:val="00131817"/>
    <w:rsid w:val="00136693"/>
    <w:rsid w:val="001401E4"/>
    <w:rsid w:val="001407F0"/>
    <w:rsid w:val="00140F6A"/>
    <w:rsid w:val="00143397"/>
    <w:rsid w:val="00143ABD"/>
    <w:rsid w:val="001449BC"/>
    <w:rsid w:val="001450A1"/>
    <w:rsid w:val="00145550"/>
    <w:rsid w:val="0014700E"/>
    <w:rsid w:val="00147A46"/>
    <w:rsid w:val="001515D2"/>
    <w:rsid w:val="001551FA"/>
    <w:rsid w:val="001579F7"/>
    <w:rsid w:val="00157BFF"/>
    <w:rsid w:val="00160F5F"/>
    <w:rsid w:val="001610E3"/>
    <w:rsid w:val="0016171C"/>
    <w:rsid w:val="00163A44"/>
    <w:rsid w:val="00164503"/>
    <w:rsid w:val="00164BB5"/>
    <w:rsid w:val="001663D9"/>
    <w:rsid w:val="00167513"/>
    <w:rsid w:val="00167A03"/>
    <w:rsid w:val="00171DB7"/>
    <w:rsid w:val="00173DF9"/>
    <w:rsid w:val="0017503B"/>
    <w:rsid w:val="00175B91"/>
    <w:rsid w:val="00180507"/>
    <w:rsid w:val="00180B29"/>
    <w:rsid w:val="00180D0A"/>
    <w:rsid w:val="00180E40"/>
    <w:rsid w:val="00185A37"/>
    <w:rsid w:val="00193296"/>
    <w:rsid w:val="00195BD7"/>
    <w:rsid w:val="00196876"/>
    <w:rsid w:val="00197218"/>
    <w:rsid w:val="001A08E0"/>
    <w:rsid w:val="001A4245"/>
    <w:rsid w:val="001A649D"/>
    <w:rsid w:val="001A6835"/>
    <w:rsid w:val="001A7AC9"/>
    <w:rsid w:val="001B0BB6"/>
    <w:rsid w:val="001B0D06"/>
    <w:rsid w:val="001B1638"/>
    <w:rsid w:val="001B1FDC"/>
    <w:rsid w:val="001B294E"/>
    <w:rsid w:val="001B5DB7"/>
    <w:rsid w:val="001B6D83"/>
    <w:rsid w:val="001B7712"/>
    <w:rsid w:val="001C146F"/>
    <w:rsid w:val="001C16F9"/>
    <w:rsid w:val="001C25A6"/>
    <w:rsid w:val="001C3F32"/>
    <w:rsid w:val="001C572C"/>
    <w:rsid w:val="001C6862"/>
    <w:rsid w:val="001C77BE"/>
    <w:rsid w:val="001C79ED"/>
    <w:rsid w:val="001D006F"/>
    <w:rsid w:val="001D19F7"/>
    <w:rsid w:val="001D26C5"/>
    <w:rsid w:val="001D2F8A"/>
    <w:rsid w:val="001D510D"/>
    <w:rsid w:val="001D7D48"/>
    <w:rsid w:val="001E1A2D"/>
    <w:rsid w:val="001E3470"/>
    <w:rsid w:val="001E3A18"/>
    <w:rsid w:val="001E3FCF"/>
    <w:rsid w:val="001E403C"/>
    <w:rsid w:val="001E4A61"/>
    <w:rsid w:val="001E6939"/>
    <w:rsid w:val="001F0E79"/>
    <w:rsid w:val="001F1189"/>
    <w:rsid w:val="001F1CBB"/>
    <w:rsid w:val="001F1CCD"/>
    <w:rsid w:val="001F28E1"/>
    <w:rsid w:val="001F2A8E"/>
    <w:rsid w:val="001F329C"/>
    <w:rsid w:val="001F48B2"/>
    <w:rsid w:val="001F49A7"/>
    <w:rsid w:val="00200F18"/>
    <w:rsid w:val="002023D7"/>
    <w:rsid w:val="002029F8"/>
    <w:rsid w:val="00202D1A"/>
    <w:rsid w:val="002032CC"/>
    <w:rsid w:val="0020407D"/>
    <w:rsid w:val="00205E0D"/>
    <w:rsid w:val="00206A6A"/>
    <w:rsid w:val="00206D6D"/>
    <w:rsid w:val="00207641"/>
    <w:rsid w:val="00207BC4"/>
    <w:rsid w:val="00211802"/>
    <w:rsid w:val="00212E2F"/>
    <w:rsid w:val="002142C5"/>
    <w:rsid w:val="00215353"/>
    <w:rsid w:val="00215D04"/>
    <w:rsid w:val="002165B6"/>
    <w:rsid w:val="00220478"/>
    <w:rsid w:val="00221CA0"/>
    <w:rsid w:val="002220A0"/>
    <w:rsid w:val="00222C22"/>
    <w:rsid w:val="00223B88"/>
    <w:rsid w:val="00224777"/>
    <w:rsid w:val="00225FBC"/>
    <w:rsid w:val="00226BEF"/>
    <w:rsid w:val="00227618"/>
    <w:rsid w:val="002301EC"/>
    <w:rsid w:val="00230E16"/>
    <w:rsid w:val="00235452"/>
    <w:rsid w:val="00236205"/>
    <w:rsid w:val="00236549"/>
    <w:rsid w:val="0024093B"/>
    <w:rsid w:val="00240A34"/>
    <w:rsid w:val="00244179"/>
    <w:rsid w:val="00244804"/>
    <w:rsid w:val="00245DD9"/>
    <w:rsid w:val="00247076"/>
    <w:rsid w:val="00247417"/>
    <w:rsid w:val="0025229C"/>
    <w:rsid w:val="00252D38"/>
    <w:rsid w:val="00256B52"/>
    <w:rsid w:val="002609CB"/>
    <w:rsid w:val="00260D92"/>
    <w:rsid w:val="00264A2F"/>
    <w:rsid w:val="002650FE"/>
    <w:rsid w:val="00266521"/>
    <w:rsid w:val="002671F0"/>
    <w:rsid w:val="00267AA3"/>
    <w:rsid w:val="00270958"/>
    <w:rsid w:val="0027245F"/>
    <w:rsid w:val="00273FBF"/>
    <w:rsid w:val="0027436F"/>
    <w:rsid w:val="00275DF1"/>
    <w:rsid w:val="00276037"/>
    <w:rsid w:val="002762E9"/>
    <w:rsid w:val="0027718B"/>
    <w:rsid w:val="00281114"/>
    <w:rsid w:val="00281780"/>
    <w:rsid w:val="00285EBD"/>
    <w:rsid w:val="002871E4"/>
    <w:rsid w:val="00290DC3"/>
    <w:rsid w:val="00291A61"/>
    <w:rsid w:val="002941C3"/>
    <w:rsid w:val="002943AD"/>
    <w:rsid w:val="00294ED5"/>
    <w:rsid w:val="00295082"/>
    <w:rsid w:val="002950A1"/>
    <w:rsid w:val="0029510C"/>
    <w:rsid w:val="002957A6"/>
    <w:rsid w:val="00295F56"/>
    <w:rsid w:val="00297B8F"/>
    <w:rsid w:val="002A40BC"/>
    <w:rsid w:val="002A4CCE"/>
    <w:rsid w:val="002A572B"/>
    <w:rsid w:val="002A5E9C"/>
    <w:rsid w:val="002A5F37"/>
    <w:rsid w:val="002A5FF1"/>
    <w:rsid w:val="002A638C"/>
    <w:rsid w:val="002A66A7"/>
    <w:rsid w:val="002B1ABE"/>
    <w:rsid w:val="002B1C09"/>
    <w:rsid w:val="002B1D21"/>
    <w:rsid w:val="002B45C6"/>
    <w:rsid w:val="002B4913"/>
    <w:rsid w:val="002B5AEB"/>
    <w:rsid w:val="002B6398"/>
    <w:rsid w:val="002B7C9E"/>
    <w:rsid w:val="002C2495"/>
    <w:rsid w:val="002C2934"/>
    <w:rsid w:val="002C334C"/>
    <w:rsid w:val="002C4491"/>
    <w:rsid w:val="002C5486"/>
    <w:rsid w:val="002C657F"/>
    <w:rsid w:val="002C754B"/>
    <w:rsid w:val="002D2B58"/>
    <w:rsid w:val="002D2B80"/>
    <w:rsid w:val="002D457E"/>
    <w:rsid w:val="002D6E51"/>
    <w:rsid w:val="002E0525"/>
    <w:rsid w:val="002E059E"/>
    <w:rsid w:val="002E11B9"/>
    <w:rsid w:val="002E3290"/>
    <w:rsid w:val="002E4336"/>
    <w:rsid w:val="002E4A44"/>
    <w:rsid w:val="002E55FC"/>
    <w:rsid w:val="002E7ABA"/>
    <w:rsid w:val="002F0688"/>
    <w:rsid w:val="002F0710"/>
    <w:rsid w:val="002F114F"/>
    <w:rsid w:val="002F34F7"/>
    <w:rsid w:val="002F4074"/>
    <w:rsid w:val="002F422C"/>
    <w:rsid w:val="002F5496"/>
    <w:rsid w:val="002F58AD"/>
    <w:rsid w:val="002F5CB6"/>
    <w:rsid w:val="002F5EFB"/>
    <w:rsid w:val="002F79AE"/>
    <w:rsid w:val="002F7ACD"/>
    <w:rsid w:val="002F7BCC"/>
    <w:rsid w:val="003019F8"/>
    <w:rsid w:val="00302AB5"/>
    <w:rsid w:val="0030342E"/>
    <w:rsid w:val="00303E0C"/>
    <w:rsid w:val="00303FED"/>
    <w:rsid w:val="0030679D"/>
    <w:rsid w:val="00306FE4"/>
    <w:rsid w:val="003101C8"/>
    <w:rsid w:val="00310741"/>
    <w:rsid w:val="00310E5E"/>
    <w:rsid w:val="00310FC9"/>
    <w:rsid w:val="00313D48"/>
    <w:rsid w:val="0031484C"/>
    <w:rsid w:val="00314870"/>
    <w:rsid w:val="00316376"/>
    <w:rsid w:val="00316956"/>
    <w:rsid w:val="00317D47"/>
    <w:rsid w:val="003200D2"/>
    <w:rsid w:val="00321E8C"/>
    <w:rsid w:val="003228AA"/>
    <w:rsid w:val="003231F6"/>
    <w:rsid w:val="0032343C"/>
    <w:rsid w:val="00323635"/>
    <w:rsid w:val="00324EAB"/>
    <w:rsid w:val="00324F18"/>
    <w:rsid w:val="00325037"/>
    <w:rsid w:val="0032537B"/>
    <w:rsid w:val="0032634F"/>
    <w:rsid w:val="00327842"/>
    <w:rsid w:val="00332943"/>
    <w:rsid w:val="003337E4"/>
    <w:rsid w:val="00343250"/>
    <w:rsid w:val="0034334D"/>
    <w:rsid w:val="0034349D"/>
    <w:rsid w:val="00344928"/>
    <w:rsid w:val="00346B5A"/>
    <w:rsid w:val="00346B61"/>
    <w:rsid w:val="0035012D"/>
    <w:rsid w:val="00350B7A"/>
    <w:rsid w:val="00350CE3"/>
    <w:rsid w:val="003523F1"/>
    <w:rsid w:val="0035369D"/>
    <w:rsid w:val="003539E3"/>
    <w:rsid w:val="00353AD0"/>
    <w:rsid w:val="00353C19"/>
    <w:rsid w:val="00353E72"/>
    <w:rsid w:val="00354FC9"/>
    <w:rsid w:val="00355E7A"/>
    <w:rsid w:val="00356ED9"/>
    <w:rsid w:val="00357C56"/>
    <w:rsid w:val="00357D17"/>
    <w:rsid w:val="0036045C"/>
    <w:rsid w:val="0036071A"/>
    <w:rsid w:val="00361152"/>
    <w:rsid w:val="003612C6"/>
    <w:rsid w:val="003634CA"/>
    <w:rsid w:val="00364DF9"/>
    <w:rsid w:val="0036594F"/>
    <w:rsid w:val="00365BC6"/>
    <w:rsid w:val="00365FD0"/>
    <w:rsid w:val="00371BC9"/>
    <w:rsid w:val="00373528"/>
    <w:rsid w:val="00376A35"/>
    <w:rsid w:val="0037740E"/>
    <w:rsid w:val="00377D78"/>
    <w:rsid w:val="003803FE"/>
    <w:rsid w:val="003821E9"/>
    <w:rsid w:val="00383851"/>
    <w:rsid w:val="00384832"/>
    <w:rsid w:val="00386890"/>
    <w:rsid w:val="00387278"/>
    <w:rsid w:val="003874F3"/>
    <w:rsid w:val="00387ABD"/>
    <w:rsid w:val="00387F9F"/>
    <w:rsid w:val="00390A30"/>
    <w:rsid w:val="00391B69"/>
    <w:rsid w:val="00392E20"/>
    <w:rsid w:val="003930AA"/>
    <w:rsid w:val="003943CF"/>
    <w:rsid w:val="00394FFF"/>
    <w:rsid w:val="003950C2"/>
    <w:rsid w:val="003963AF"/>
    <w:rsid w:val="00397543"/>
    <w:rsid w:val="00397DB5"/>
    <w:rsid w:val="003A0B03"/>
    <w:rsid w:val="003A0DE9"/>
    <w:rsid w:val="003A1855"/>
    <w:rsid w:val="003A22E7"/>
    <w:rsid w:val="003A31CC"/>
    <w:rsid w:val="003A459B"/>
    <w:rsid w:val="003A4645"/>
    <w:rsid w:val="003A4C66"/>
    <w:rsid w:val="003B082C"/>
    <w:rsid w:val="003B0E4D"/>
    <w:rsid w:val="003B28E3"/>
    <w:rsid w:val="003B2FC1"/>
    <w:rsid w:val="003B4853"/>
    <w:rsid w:val="003B4ADF"/>
    <w:rsid w:val="003B5FA9"/>
    <w:rsid w:val="003B7452"/>
    <w:rsid w:val="003B7F36"/>
    <w:rsid w:val="003C088A"/>
    <w:rsid w:val="003C3D67"/>
    <w:rsid w:val="003C56E4"/>
    <w:rsid w:val="003C646B"/>
    <w:rsid w:val="003C6C02"/>
    <w:rsid w:val="003C7F77"/>
    <w:rsid w:val="003D0188"/>
    <w:rsid w:val="003D0A87"/>
    <w:rsid w:val="003D34F7"/>
    <w:rsid w:val="003D504C"/>
    <w:rsid w:val="003D5E11"/>
    <w:rsid w:val="003D79A7"/>
    <w:rsid w:val="003E0C81"/>
    <w:rsid w:val="003E28F4"/>
    <w:rsid w:val="003E3EF2"/>
    <w:rsid w:val="003E40F7"/>
    <w:rsid w:val="003E4D30"/>
    <w:rsid w:val="003E4F77"/>
    <w:rsid w:val="003E5040"/>
    <w:rsid w:val="003E54D8"/>
    <w:rsid w:val="003E62D4"/>
    <w:rsid w:val="003E7143"/>
    <w:rsid w:val="003F01A8"/>
    <w:rsid w:val="003F0A50"/>
    <w:rsid w:val="003F10DF"/>
    <w:rsid w:val="003F125E"/>
    <w:rsid w:val="003F1679"/>
    <w:rsid w:val="003F1D4F"/>
    <w:rsid w:val="003F2CE4"/>
    <w:rsid w:val="003F3070"/>
    <w:rsid w:val="003F3FC1"/>
    <w:rsid w:val="003F6121"/>
    <w:rsid w:val="00400131"/>
    <w:rsid w:val="00401A48"/>
    <w:rsid w:val="00402104"/>
    <w:rsid w:val="00403661"/>
    <w:rsid w:val="00403D2D"/>
    <w:rsid w:val="004045CC"/>
    <w:rsid w:val="00411553"/>
    <w:rsid w:val="00412B76"/>
    <w:rsid w:val="004154E6"/>
    <w:rsid w:val="00417AB2"/>
    <w:rsid w:val="00420447"/>
    <w:rsid w:val="00422C30"/>
    <w:rsid w:val="00423757"/>
    <w:rsid w:val="00423A10"/>
    <w:rsid w:val="004247BB"/>
    <w:rsid w:val="004248FE"/>
    <w:rsid w:val="00424F1F"/>
    <w:rsid w:val="00426236"/>
    <w:rsid w:val="00426E10"/>
    <w:rsid w:val="00430485"/>
    <w:rsid w:val="00431918"/>
    <w:rsid w:val="00431B75"/>
    <w:rsid w:val="0043310C"/>
    <w:rsid w:val="00433556"/>
    <w:rsid w:val="00434468"/>
    <w:rsid w:val="00434470"/>
    <w:rsid w:val="0043579C"/>
    <w:rsid w:val="00435984"/>
    <w:rsid w:val="004366E1"/>
    <w:rsid w:val="0043696E"/>
    <w:rsid w:val="00437862"/>
    <w:rsid w:val="00440450"/>
    <w:rsid w:val="00440E79"/>
    <w:rsid w:val="00440F72"/>
    <w:rsid w:val="0044152C"/>
    <w:rsid w:val="004443FE"/>
    <w:rsid w:val="00444973"/>
    <w:rsid w:val="004455DE"/>
    <w:rsid w:val="00445838"/>
    <w:rsid w:val="00447671"/>
    <w:rsid w:val="00447D1A"/>
    <w:rsid w:val="0045252C"/>
    <w:rsid w:val="0045581D"/>
    <w:rsid w:val="0045723B"/>
    <w:rsid w:val="0046111D"/>
    <w:rsid w:val="004613C6"/>
    <w:rsid w:val="004639CB"/>
    <w:rsid w:val="00464B04"/>
    <w:rsid w:val="00464B2E"/>
    <w:rsid w:val="00470A5B"/>
    <w:rsid w:val="00470E1A"/>
    <w:rsid w:val="00472655"/>
    <w:rsid w:val="004748D8"/>
    <w:rsid w:val="00474AEA"/>
    <w:rsid w:val="004772E5"/>
    <w:rsid w:val="00477C7B"/>
    <w:rsid w:val="00477C8F"/>
    <w:rsid w:val="00477C93"/>
    <w:rsid w:val="004821AD"/>
    <w:rsid w:val="004839C8"/>
    <w:rsid w:val="004841E3"/>
    <w:rsid w:val="00484ED4"/>
    <w:rsid w:val="00485655"/>
    <w:rsid w:val="0048593B"/>
    <w:rsid w:val="00485B39"/>
    <w:rsid w:val="00485B3D"/>
    <w:rsid w:val="00490ACC"/>
    <w:rsid w:val="00490EA9"/>
    <w:rsid w:val="0049142E"/>
    <w:rsid w:val="004916E3"/>
    <w:rsid w:val="00491A2D"/>
    <w:rsid w:val="004940CE"/>
    <w:rsid w:val="00494369"/>
    <w:rsid w:val="00495496"/>
    <w:rsid w:val="00496A7A"/>
    <w:rsid w:val="00497F43"/>
    <w:rsid w:val="004A1A14"/>
    <w:rsid w:val="004A2DDD"/>
    <w:rsid w:val="004A5A11"/>
    <w:rsid w:val="004A62A1"/>
    <w:rsid w:val="004A631A"/>
    <w:rsid w:val="004B10B8"/>
    <w:rsid w:val="004B42E7"/>
    <w:rsid w:val="004B60B3"/>
    <w:rsid w:val="004B7075"/>
    <w:rsid w:val="004C039F"/>
    <w:rsid w:val="004C05E7"/>
    <w:rsid w:val="004C1BD2"/>
    <w:rsid w:val="004C5EC0"/>
    <w:rsid w:val="004C61AB"/>
    <w:rsid w:val="004C6516"/>
    <w:rsid w:val="004D4579"/>
    <w:rsid w:val="004D545D"/>
    <w:rsid w:val="004D69E8"/>
    <w:rsid w:val="004E1133"/>
    <w:rsid w:val="004E191F"/>
    <w:rsid w:val="004E1D8E"/>
    <w:rsid w:val="004E588A"/>
    <w:rsid w:val="004E7038"/>
    <w:rsid w:val="004F08C3"/>
    <w:rsid w:val="004F08EC"/>
    <w:rsid w:val="004F1326"/>
    <w:rsid w:val="004F151C"/>
    <w:rsid w:val="004F1540"/>
    <w:rsid w:val="004F273C"/>
    <w:rsid w:val="004F543C"/>
    <w:rsid w:val="004F571F"/>
    <w:rsid w:val="004F626B"/>
    <w:rsid w:val="004F673D"/>
    <w:rsid w:val="004F6CC8"/>
    <w:rsid w:val="004F70A1"/>
    <w:rsid w:val="004F7BC8"/>
    <w:rsid w:val="005006F8"/>
    <w:rsid w:val="0050210E"/>
    <w:rsid w:val="0050232B"/>
    <w:rsid w:val="005053EA"/>
    <w:rsid w:val="00507A02"/>
    <w:rsid w:val="00511400"/>
    <w:rsid w:val="005131DD"/>
    <w:rsid w:val="0051409C"/>
    <w:rsid w:val="00514DFA"/>
    <w:rsid w:val="005208EE"/>
    <w:rsid w:val="00520FF4"/>
    <w:rsid w:val="00521761"/>
    <w:rsid w:val="005226AC"/>
    <w:rsid w:val="0052627D"/>
    <w:rsid w:val="005264AC"/>
    <w:rsid w:val="00526AC3"/>
    <w:rsid w:val="00530206"/>
    <w:rsid w:val="005314DF"/>
    <w:rsid w:val="00532583"/>
    <w:rsid w:val="00532CAF"/>
    <w:rsid w:val="00537380"/>
    <w:rsid w:val="00537523"/>
    <w:rsid w:val="00540CF3"/>
    <w:rsid w:val="005413A8"/>
    <w:rsid w:val="00541F27"/>
    <w:rsid w:val="00542245"/>
    <w:rsid w:val="005434FD"/>
    <w:rsid w:val="00544111"/>
    <w:rsid w:val="005445A6"/>
    <w:rsid w:val="00545D64"/>
    <w:rsid w:val="00547D2A"/>
    <w:rsid w:val="005529FF"/>
    <w:rsid w:val="0055300C"/>
    <w:rsid w:val="0055371D"/>
    <w:rsid w:val="005539FC"/>
    <w:rsid w:val="00554F6A"/>
    <w:rsid w:val="005558E6"/>
    <w:rsid w:val="0055684E"/>
    <w:rsid w:val="00556AB6"/>
    <w:rsid w:val="00557C3E"/>
    <w:rsid w:val="00560B71"/>
    <w:rsid w:val="005619FB"/>
    <w:rsid w:val="0056244A"/>
    <w:rsid w:val="005642DD"/>
    <w:rsid w:val="005646B3"/>
    <w:rsid w:val="005647A6"/>
    <w:rsid w:val="00564E87"/>
    <w:rsid w:val="0056580E"/>
    <w:rsid w:val="00573195"/>
    <w:rsid w:val="0057367F"/>
    <w:rsid w:val="0057452B"/>
    <w:rsid w:val="005745CC"/>
    <w:rsid w:val="00574608"/>
    <w:rsid w:val="0057467D"/>
    <w:rsid w:val="00574781"/>
    <w:rsid w:val="00575848"/>
    <w:rsid w:val="00575BDB"/>
    <w:rsid w:val="00575E40"/>
    <w:rsid w:val="00576BB5"/>
    <w:rsid w:val="00577556"/>
    <w:rsid w:val="00577567"/>
    <w:rsid w:val="00577AD8"/>
    <w:rsid w:val="00577F40"/>
    <w:rsid w:val="00582DE2"/>
    <w:rsid w:val="005834EB"/>
    <w:rsid w:val="005841DC"/>
    <w:rsid w:val="005867D5"/>
    <w:rsid w:val="00586F27"/>
    <w:rsid w:val="005876E0"/>
    <w:rsid w:val="00587B5B"/>
    <w:rsid w:val="00591A1A"/>
    <w:rsid w:val="005920FA"/>
    <w:rsid w:val="005927C1"/>
    <w:rsid w:val="00595532"/>
    <w:rsid w:val="005A163F"/>
    <w:rsid w:val="005A284A"/>
    <w:rsid w:val="005A4B58"/>
    <w:rsid w:val="005A4C33"/>
    <w:rsid w:val="005A6FB0"/>
    <w:rsid w:val="005A72F4"/>
    <w:rsid w:val="005A746B"/>
    <w:rsid w:val="005B0018"/>
    <w:rsid w:val="005B0F92"/>
    <w:rsid w:val="005B13D8"/>
    <w:rsid w:val="005B5948"/>
    <w:rsid w:val="005B73BB"/>
    <w:rsid w:val="005B7CB8"/>
    <w:rsid w:val="005C1085"/>
    <w:rsid w:val="005C1581"/>
    <w:rsid w:val="005C1E57"/>
    <w:rsid w:val="005C28F2"/>
    <w:rsid w:val="005C2C73"/>
    <w:rsid w:val="005C5057"/>
    <w:rsid w:val="005C6EA6"/>
    <w:rsid w:val="005C7466"/>
    <w:rsid w:val="005D06CF"/>
    <w:rsid w:val="005D0A8D"/>
    <w:rsid w:val="005D2FB3"/>
    <w:rsid w:val="005D3695"/>
    <w:rsid w:val="005D37CB"/>
    <w:rsid w:val="005D4907"/>
    <w:rsid w:val="005D5377"/>
    <w:rsid w:val="005D7229"/>
    <w:rsid w:val="005E0F63"/>
    <w:rsid w:val="005E2C32"/>
    <w:rsid w:val="005E62BA"/>
    <w:rsid w:val="005E6ECB"/>
    <w:rsid w:val="005E7BB2"/>
    <w:rsid w:val="005F219F"/>
    <w:rsid w:val="005F2611"/>
    <w:rsid w:val="005F29C6"/>
    <w:rsid w:val="005F4464"/>
    <w:rsid w:val="005F59B6"/>
    <w:rsid w:val="005F7FE2"/>
    <w:rsid w:val="00601E43"/>
    <w:rsid w:val="00603766"/>
    <w:rsid w:val="00605F3E"/>
    <w:rsid w:val="0060705D"/>
    <w:rsid w:val="006077B0"/>
    <w:rsid w:val="006100D2"/>
    <w:rsid w:val="00610FE8"/>
    <w:rsid w:val="00611291"/>
    <w:rsid w:val="00612610"/>
    <w:rsid w:val="00612F87"/>
    <w:rsid w:val="00613918"/>
    <w:rsid w:val="00615ABC"/>
    <w:rsid w:val="00616FAE"/>
    <w:rsid w:val="006177CB"/>
    <w:rsid w:val="00621054"/>
    <w:rsid w:val="00621094"/>
    <w:rsid w:val="0062184F"/>
    <w:rsid w:val="00622975"/>
    <w:rsid w:val="00623772"/>
    <w:rsid w:val="006239F0"/>
    <w:rsid w:val="00623DDD"/>
    <w:rsid w:val="00625A17"/>
    <w:rsid w:val="006272FE"/>
    <w:rsid w:val="00630D4B"/>
    <w:rsid w:val="006324CB"/>
    <w:rsid w:val="00632FFC"/>
    <w:rsid w:val="00635115"/>
    <w:rsid w:val="00635705"/>
    <w:rsid w:val="00636491"/>
    <w:rsid w:val="0063738A"/>
    <w:rsid w:val="00637DDB"/>
    <w:rsid w:val="006403B5"/>
    <w:rsid w:val="006413EE"/>
    <w:rsid w:val="00641D75"/>
    <w:rsid w:val="0064416D"/>
    <w:rsid w:val="0064509B"/>
    <w:rsid w:val="00645CD4"/>
    <w:rsid w:val="00647E25"/>
    <w:rsid w:val="0065038F"/>
    <w:rsid w:val="00650B85"/>
    <w:rsid w:val="006514D1"/>
    <w:rsid w:val="006525CA"/>
    <w:rsid w:val="006556BA"/>
    <w:rsid w:val="00656315"/>
    <w:rsid w:val="00662393"/>
    <w:rsid w:val="0066325B"/>
    <w:rsid w:val="006652BF"/>
    <w:rsid w:val="00671F1D"/>
    <w:rsid w:val="00672551"/>
    <w:rsid w:val="00672DF2"/>
    <w:rsid w:val="00673CB3"/>
    <w:rsid w:val="006745B6"/>
    <w:rsid w:val="00674664"/>
    <w:rsid w:val="006748A0"/>
    <w:rsid w:val="00676761"/>
    <w:rsid w:val="0067774A"/>
    <w:rsid w:val="00677CD6"/>
    <w:rsid w:val="00680770"/>
    <w:rsid w:val="00680DED"/>
    <w:rsid w:val="00681A40"/>
    <w:rsid w:val="0068212F"/>
    <w:rsid w:val="0068331A"/>
    <w:rsid w:val="006833CB"/>
    <w:rsid w:val="006840B6"/>
    <w:rsid w:val="006847FE"/>
    <w:rsid w:val="00685C49"/>
    <w:rsid w:val="006874A4"/>
    <w:rsid w:val="00690103"/>
    <w:rsid w:val="006907E5"/>
    <w:rsid w:val="006919F6"/>
    <w:rsid w:val="00693519"/>
    <w:rsid w:val="0069483A"/>
    <w:rsid w:val="00694B16"/>
    <w:rsid w:val="00695FB7"/>
    <w:rsid w:val="00696241"/>
    <w:rsid w:val="006963EE"/>
    <w:rsid w:val="006966CF"/>
    <w:rsid w:val="00696CAF"/>
    <w:rsid w:val="006A1493"/>
    <w:rsid w:val="006A226D"/>
    <w:rsid w:val="006A332C"/>
    <w:rsid w:val="006A357E"/>
    <w:rsid w:val="006A49B2"/>
    <w:rsid w:val="006A6217"/>
    <w:rsid w:val="006A73CE"/>
    <w:rsid w:val="006A7D7B"/>
    <w:rsid w:val="006B1CB6"/>
    <w:rsid w:val="006B3E4E"/>
    <w:rsid w:val="006B7994"/>
    <w:rsid w:val="006C1A0C"/>
    <w:rsid w:val="006C2733"/>
    <w:rsid w:val="006C2AA6"/>
    <w:rsid w:val="006C49FB"/>
    <w:rsid w:val="006C63AD"/>
    <w:rsid w:val="006C66ED"/>
    <w:rsid w:val="006C698C"/>
    <w:rsid w:val="006C7E55"/>
    <w:rsid w:val="006C7E6E"/>
    <w:rsid w:val="006D10DF"/>
    <w:rsid w:val="006D2C93"/>
    <w:rsid w:val="006D2C9C"/>
    <w:rsid w:val="006D2E95"/>
    <w:rsid w:val="006D4BE9"/>
    <w:rsid w:val="006D6868"/>
    <w:rsid w:val="006D715F"/>
    <w:rsid w:val="006D744C"/>
    <w:rsid w:val="006E031B"/>
    <w:rsid w:val="006E1C54"/>
    <w:rsid w:val="006E61F5"/>
    <w:rsid w:val="006E6942"/>
    <w:rsid w:val="006E733A"/>
    <w:rsid w:val="006E740C"/>
    <w:rsid w:val="006E7BD7"/>
    <w:rsid w:val="006F145C"/>
    <w:rsid w:val="006F4830"/>
    <w:rsid w:val="006F49CE"/>
    <w:rsid w:val="006F6989"/>
    <w:rsid w:val="00700F14"/>
    <w:rsid w:val="00701F91"/>
    <w:rsid w:val="0070200E"/>
    <w:rsid w:val="00703174"/>
    <w:rsid w:val="0070335E"/>
    <w:rsid w:val="0070619D"/>
    <w:rsid w:val="00706324"/>
    <w:rsid w:val="0070662C"/>
    <w:rsid w:val="00706B35"/>
    <w:rsid w:val="00710A38"/>
    <w:rsid w:val="00711FC9"/>
    <w:rsid w:val="0071229C"/>
    <w:rsid w:val="00712D1C"/>
    <w:rsid w:val="00717C6C"/>
    <w:rsid w:val="00720692"/>
    <w:rsid w:val="007211CB"/>
    <w:rsid w:val="00722BAE"/>
    <w:rsid w:val="0072352B"/>
    <w:rsid w:val="007253DA"/>
    <w:rsid w:val="0072614C"/>
    <w:rsid w:val="00726394"/>
    <w:rsid w:val="007265E0"/>
    <w:rsid w:val="00726FEC"/>
    <w:rsid w:val="007274FF"/>
    <w:rsid w:val="00731666"/>
    <w:rsid w:val="0073267F"/>
    <w:rsid w:val="00732AA9"/>
    <w:rsid w:val="00732B47"/>
    <w:rsid w:val="00735A1B"/>
    <w:rsid w:val="00735A91"/>
    <w:rsid w:val="00736657"/>
    <w:rsid w:val="0074040A"/>
    <w:rsid w:val="00740F33"/>
    <w:rsid w:val="007412F3"/>
    <w:rsid w:val="00741C82"/>
    <w:rsid w:val="0074291F"/>
    <w:rsid w:val="00743170"/>
    <w:rsid w:val="00744931"/>
    <w:rsid w:val="00750716"/>
    <w:rsid w:val="007619C3"/>
    <w:rsid w:val="0076279B"/>
    <w:rsid w:val="00762C75"/>
    <w:rsid w:val="00763374"/>
    <w:rsid w:val="00763DDF"/>
    <w:rsid w:val="007650A1"/>
    <w:rsid w:val="00765741"/>
    <w:rsid w:val="00765D0D"/>
    <w:rsid w:val="00765EED"/>
    <w:rsid w:val="00765FD1"/>
    <w:rsid w:val="0077207F"/>
    <w:rsid w:val="00772594"/>
    <w:rsid w:val="00773051"/>
    <w:rsid w:val="00773CE3"/>
    <w:rsid w:val="00774702"/>
    <w:rsid w:val="0077498C"/>
    <w:rsid w:val="007749EF"/>
    <w:rsid w:val="00775D9A"/>
    <w:rsid w:val="00780003"/>
    <w:rsid w:val="00780DB7"/>
    <w:rsid w:val="00780E06"/>
    <w:rsid w:val="00781BEF"/>
    <w:rsid w:val="007825F3"/>
    <w:rsid w:val="007827D4"/>
    <w:rsid w:val="00790207"/>
    <w:rsid w:val="007916CC"/>
    <w:rsid w:val="00792CEB"/>
    <w:rsid w:val="00792FDF"/>
    <w:rsid w:val="0079438F"/>
    <w:rsid w:val="00796367"/>
    <w:rsid w:val="007A0C5A"/>
    <w:rsid w:val="007A1DB8"/>
    <w:rsid w:val="007A2119"/>
    <w:rsid w:val="007A3AC1"/>
    <w:rsid w:val="007A3C2E"/>
    <w:rsid w:val="007A6501"/>
    <w:rsid w:val="007A6BA2"/>
    <w:rsid w:val="007A6E58"/>
    <w:rsid w:val="007A78A3"/>
    <w:rsid w:val="007A7D3E"/>
    <w:rsid w:val="007B28B4"/>
    <w:rsid w:val="007B2A14"/>
    <w:rsid w:val="007B526D"/>
    <w:rsid w:val="007B5565"/>
    <w:rsid w:val="007B5746"/>
    <w:rsid w:val="007B5CD6"/>
    <w:rsid w:val="007B68FB"/>
    <w:rsid w:val="007B7335"/>
    <w:rsid w:val="007C28A9"/>
    <w:rsid w:val="007C3753"/>
    <w:rsid w:val="007C7328"/>
    <w:rsid w:val="007C7C00"/>
    <w:rsid w:val="007D0F83"/>
    <w:rsid w:val="007D1B70"/>
    <w:rsid w:val="007D2660"/>
    <w:rsid w:val="007D33DD"/>
    <w:rsid w:val="007D3867"/>
    <w:rsid w:val="007D3938"/>
    <w:rsid w:val="007D4727"/>
    <w:rsid w:val="007D5015"/>
    <w:rsid w:val="007D551E"/>
    <w:rsid w:val="007D56F4"/>
    <w:rsid w:val="007D6EF1"/>
    <w:rsid w:val="007D75EC"/>
    <w:rsid w:val="007D7702"/>
    <w:rsid w:val="007D7821"/>
    <w:rsid w:val="007E0686"/>
    <w:rsid w:val="007E2537"/>
    <w:rsid w:val="007E27BC"/>
    <w:rsid w:val="007E347F"/>
    <w:rsid w:val="007E3D89"/>
    <w:rsid w:val="007E4219"/>
    <w:rsid w:val="007E476B"/>
    <w:rsid w:val="007E4A50"/>
    <w:rsid w:val="007E53A0"/>
    <w:rsid w:val="007E6A76"/>
    <w:rsid w:val="007F025E"/>
    <w:rsid w:val="007F239F"/>
    <w:rsid w:val="007F287C"/>
    <w:rsid w:val="007F3FDD"/>
    <w:rsid w:val="007F434C"/>
    <w:rsid w:val="007F4F48"/>
    <w:rsid w:val="007F66EA"/>
    <w:rsid w:val="007F6B69"/>
    <w:rsid w:val="00801D46"/>
    <w:rsid w:val="00802AAA"/>
    <w:rsid w:val="00804E1A"/>
    <w:rsid w:val="0080602B"/>
    <w:rsid w:val="00806EFE"/>
    <w:rsid w:val="00807B19"/>
    <w:rsid w:val="00814B04"/>
    <w:rsid w:val="00814D6E"/>
    <w:rsid w:val="008156C6"/>
    <w:rsid w:val="00816039"/>
    <w:rsid w:val="0081677F"/>
    <w:rsid w:val="00822425"/>
    <w:rsid w:val="00822886"/>
    <w:rsid w:val="00825449"/>
    <w:rsid w:val="00826B4B"/>
    <w:rsid w:val="00826D05"/>
    <w:rsid w:val="00827B4F"/>
    <w:rsid w:val="00830B0E"/>
    <w:rsid w:val="008314E4"/>
    <w:rsid w:val="008322F7"/>
    <w:rsid w:val="00833C43"/>
    <w:rsid w:val="008348B2"/>
    <w:rsid w:val="0083567E"/>
    <w:rsid w:val="00835F5D"/>
    <w:rsid w:val="00837A22"/>
    <w:rsid w:val="00837AC5"/>
    <w:rsid w:val="00842C8A"/>
    <w:rsid w:val="00846517"/>
    <w:rsid w:val="00846865"/>
    <w:rsid w:val="00846DEC"/>
    <w:rsid w:val="0085092D"/>
    <w:rsid w:val="00851FD9"/>
    <w:rsid w:val="0085455A"/>
    <w:rsid w:val="00855878"/>
    <w:rsid w:val="00856904"/>
    <w:rsid w:val="00856BBD"/>
    <w:rsid w:val="00857FA2"/>
    <w:rsid w:val="0086066C"/>
    <w:rsid w:val="00861861"/>
    <w:rsid w:val="008619B1"/>
    <w:rsid w:val="008624D0"/>
    <w:rsid w:val="008634E9"/>
    <w:rsid w:val="00864DE9"/>
    <w:rsid w:val="00865007"/>
    <w:rsid w:val="00865224"/>
    <w:rsid w:val="008656D8"/>
    <w:rsid w:val="00866ABE"/>
    <w:rsid w:val="00866D15"/>
    <w:rsid w:val="00870746"/>
    <w:rsid w:val="008707F0"/>
    <w:rsid w:val="00870B78"/>
    <w:rsid w:val="008717A1"/>
    <w:rsid w:val="00871EF1"/>
    <w:rsid w:val="0087221D"/>
    <w:rsid w:val="00872F60"/>
    <w:rsid w:val="008752FF"/>
    <w:rsid w:val="008756E2"/>
    <w:rsid w:val="008763B3"/>
    <w:rsid w:val="00876800"/>
    <w:rsid w:val="008774D6"/>
    <w:rsid w:val="00880F8B"/>
    <w:rsid w:val="008817C9"/>
    <w:rsid w:val="008819A8"/>
    <w:rsid w:val="00883BEE"/>
    <w:rsid w:val="00885B6F"/>
    <w:rsid w:val="00886417"/>
    <w:rsid w:val="00886BCA"/>
    <w:rsid w:val="008873E9"/>
    <w:rsid w:val="00887B2A"/>
    <w:rsid w:val="00887DD7"/>
    <w:rsid w:val="00890650"/>
    <w:rsid w:val="00890A95"/>
    <w:rsid w:val="008911E4"/>
    <w:rsid w:val="00892189"/>
    <w:rsid w:val="00894341"/>
    <w:rsid w:val="00895615"/>
    <w:rsid w:val="00896479"/>
    <w:rsid w:val="00896FEE"/>
    <w:rsid w:val="008A055E"/>
    <w:rsid w:val="008A3347"/>
    <w:rsid w:val="008A369C"/>
    <w:rsid w:val="008A3CD0"/>
    <w:rsid w:val="008A4022"/>
    <w:rsid w:val="008A450C"/>
    <w:rsid w:val="008A4762"/>
    <w:rsid w:val="008A55AE"/>
    <w:rsid w:val="008A65A7"/>
    <w:rsid w:val="008A70F6"/>
    <w:rsid w:val="008B0A02"/>
    <w:rsid w:val="008B0C34"/>
    <w:rsid w:val="008B33D9"/>
    <w:rsid w:val="008B6E39"/>
    <w:rsid w:val="008B7438"/>
    <w:rsid w:val="008B7DE7"/>
    <w:rsid w:val="008B7FD1"/>
    <w:rsid w:val="008C0685"/>
    <w:rsid w:val="008C0770"/>
    <w:rsid w:val="008C0C0C"/>
    <w:rsid w:val="008C1849"/>
    <w:rsid w:val="008C1DC5"/>
    <w:rsid w:val="008C2567"/>
    <w:rsid w:val="008C2E52"/>
    <w:rsid w:val="008C482C"/>
    <w:rsid w:val="008C4D7F"/>
    <w:rsid w:val="008C52C9"/>
    <w:rsid w:val="008C76D1"/>
    <w:rsid w:val="008C79A8"/>
    <w:rsid w:val="008D0B63"/>
    <w:rsid w:val="008D124B"/>
    <w:rsid w:val="008D13FF"/>
    <w:rsid w:val="008D1F06"/>
    <w:rsid w:val="008D21E0"/>
    <w:rsid w:val="008D296A"/>
    <w:rsid w:val="008D2FF4"/>
    <w:rsid w:val="008D399F"/>
    <w:rsid w:val="008D4913"/>
    <w:rsid w:val="008D4AEF"/>
    <w:rsid w:val="008D4C2E"/>
    <w:rsid w:val="008D5895"/>
    <w:rsid w:val="008D76B9"/>
    <w:rsid w:val="008D7CA8"/>
    <w:rsid w:val="008E0372"/>
    <w:rsid w:val="008E0F3E"/>
    <w:rsid w:val="008E1369"/>
    <w:rsid w:val="008E1B04"/>
    <w:rsid w:val="008E374D"/>
    <w:rsid w:val="008E4104"/>
    <w:rsid w:val="008E63BF"/>
    <w:rsid w:val="008E7102"/>
    <w:rsid w:val="008E78D1"/>
    <w:rsid w:val="008E7CB5"/>
    <w:rsid w:val="008F1EB8"/>
    <w:rsid w:val="008F213B"/>
    <w:rsid w:val="008F4A3F"/>
    <w:rsid w:val="008F4A54"/>
    <w:rsid w:val="008F598D"/>
    <w:rsid w:val="008F5CC3"/>
    <w:rsid w:val="008F63F2"/>
    <w:rsid w:val="008F6EA9"/>
    <w:rsid w:val="008F77CA"/>
    <w:rsid w:val="00900189"/>
    <w:rsid w:val="00900C7D"/>
    <w:rsid w:val="00904006"/>
    <w:rsid w:val="0090416D"/>
    <w:rsid w:val="009051B6"/>
    <w:rsid w:val="0090582A"/>
    <w:rsid w:val="00905A5F"/>
    <w:rsid w:val="00905B2D"/>
    <w:rsid w:val="009060A3"/>
    <w:rsid w:val="00906423"/>
    <w:rsid w:val="00906628"/>
    <w:rsid w:val="009067CE"/>
    <w:rsid w:val="009069BE"/>
    <w:rsid w:val="00907B6E"/>
    <w:rsid w:val="00910049"/>
    <w:rsid w:val="009120A6"/>
    <w:rsid w:val="009123B7"/>
    <w:rsid w:val="0091301E"/>
    <w:rsid w:val="00913648"/>
    <w:rsid w:val="0091385C"/>
    <w:rsid w:val="009147D0"/>
    <w:rsid w:val="009148EC"/>
    <w:rsid w:val="00914A14"/>
    <w:rsid w:val="009150A4"/>
    <w:rsid w:val="009157B6"/>
    <w:rsid w:val="009162C0"/>
    <w:rsid w:val="009239DD"/>
    <w:rsid w:val="009245D9"/>
    <w:rsid w:val="009248E2"/>
    <w:rsid w:val="00925004"/>
    <w:rsid w:val="0092661C"/>
    <w:rsid w:val="0092744B"/>
    <w:rsid w:val="009274B0"/>
    <w:rsid w:val="00931170"/>
    <w:rsid w:val="00931C32"/>
    <w:rsid w:val="00932EC8"/>
    <w:rsid w:val="0093340D"/>
    <w:rsid w:val="009336A9"/>
    <w:rsid w:val="00933C1C"/>
    <w:rsid w:val="0093683D"/>
    <w:rsid w:val="00936F3E"/>
    <w:rsid w:val="0094072E"/>
    <w:rsid w:val="00940E05"/>
    <w:rsid w:val="00941490"/>
    <w:rsid w:val="00941571"/>
    <w:rsid w:val="00941D96"/>
    <w:rsid w:val="009421C5"/>
    <w:rsid w:val="00942955"/>
    <w:rsid w:val="00943A8E"/>
    <w:rsid w:val="00943DC4"/>
    <w:rsid w:val="0094443B"/>
    <w:rsid w:val="0095018A"/>
    <w:rsid w:val="00952067"/>
    <w:rsid w:val="009520D1"/>
    <w:rsid w:val="009527C3"/>
    <w:rsid w:val="009529AA"/>
    <w:rsid w:val="00952B67"/>
    <w:rsid w:val="00955970"/>
    <w:rsid w:val="00956DDD"/>
    <w:rsid w:val="009579B0"/>
    <w:rsid w:val="00963AB7"/>
    <w:rsid w:val="0096429B"/>
    <w:rsid w:val="00964524"/>
    <w:rsid w:val="00964B78"/>
    <w:rsid w:val="009664CA"/>
    <w:rsid w:val="00966649"/>
    <w:rsid w:val="00966BDB"/>
    <w:rsid w:val="00967330"/>
    <w:rsid w:val="00967CC3"/>
    <w:rsid w:val="009712F9"/>
    <w:rsid w:val="00971D4E"/>
    <w:rsid w:val="00971E66"/>
    <w:rsid w:val="009738DA"/>
    <w:rsid w:val="00974388"/>
    <w:rsid w:val="009753A4"/>
    <w:rsid w:val="0097781A"/>
    <w:rsid w:val="009779FB"/>
    <w:rsid w:val="00977ADC"/>
    <w:rsid w:val="00980EB9"/>
    <w:rsid w:val="009817F8"/>
    <w:rsid w:val="00982138"/>
    <w:rsid w:val="0098334B"/>
    <w:rsid w:val="00983BA2"/>
    <w:rsid w:val="009861BC"/>
    <w:rsid w:val="00986710"/>
    <w:rsid w:val="00990150"/>
    <w:rsid w:val="0099077C"/>
    <w:rsid w:val="009918F9"/>
    <w:rsid w:val="00991BA2"/>
    <w:rsid w:val="00992110"/>
    <w:rsid w:val="009924DA"/>
    <w:rsid w:val="00993517"/>
    <w:rsid w:val="0099446E"/>
    <w:rsid w:val="00995811"/>
    <w:rsid w:val="009979A9"/>
    <w:rsid w:val="009A0F45"/>
    <w:rsid w:val="009A1972"/>
    <w:rsid w:val="009A327E"/>
    <w:rsid w:val="009A48B3"/>
    <w:rsid w:val="009A704F"/>
    <w:rsid w:val="009A794C"/>
    <w:rsid w:val="009B021D"/>
    <w:rsid w:val="009B20FE"/>
    <w:rsid w:val="009B281B"/>
    <w:rsid w:val="009B2B3D"/>
    <w:rsid w:val="009B3EFC"/>
    <w:rsid w:val="009B627B"/>
    <w:rsid w:val="009C2C5B"/>
    <w:rsid w:val="009C3376"/>
    <w:rsid w:val="009C35D4"/>
    <w:rsid w:val="009C388A"/>
    <w:rsid w:val="009C489F"/>
    <w:rsid w:val="009C4D95"/>
    <w:rsid w:val="009C51F5"/>
    <w:rsid w:val="009C57FE"/>
    <w:rsid w:val="009C6F9E"/>
    <w:rsid w:val="009C7826"/>
    <w:rsid w:val="009D0A66"/>
    <w:rsid w:val="009D2E8B"/>
    <w:rsid w:val="009D3144"/>
    <w:rsid w:val="009D3360"/>
    <w:rsid w:val="009D37E5"/>
    <w:rsid w:val="009D3D20"/>
    <w:rsid w:val="009D5CDD"/>
    <w:rsid w:val="009D5D3A"/>
    <w:rsid w:val="009D6F35"/>
    <w:rsid w:val="009D7036"/>
    <w:rsid w:val="009E0286"/>
    <w:rsid w:val="009E065D"/>
    <w:rsid w:val="009E0AA2"/>
    <w:rsid w:val="009E2179"/>
    <w:rsid w:val="009E2856"/>
    <w:rsid w:val="009E348A"/>
    <w:rsid w:val="009E37FF"/>
    <w:rsid w:val="009E3BB1"/>
    <w:rsid w:val="009E4177"/>
    <w:rsid w:val="009E4181"/>
    <w:rsid w:val="009E443F"/>
    <w:rsid w:val="009E4915"/>
    <w:rsid w:val="009E5432"/>
    <w:rsid w:val="009E6A14"/>
    <w:rsid w:val="009F1195"/>
    <w:rsid w:val="009F269A"/>
    <w:rsid w:val="009F3173"/>
    <w:rsid w:val="009F3D7C"/>
    <w:rsid w:val="009F47CE"/>
    <w:rsid w:val="009F7E90"/>
    <w:rsid w:val="00A003C9"/>
    <w:rsid w:val="00A019EC"/>
    <w:rsid w:val="00A01A22"/>
    <w:rsid w:val="00A03B3F"/>
    <w:rsid w:val="00A03D03"/>
    <w:rsid w:val="00A0429B"/>
    <w:rsid w:val="00A048EF"/>
    <w:rsid w:val="00A0502B"/>
    <w:rsid w:val="00A05ED6"/>
    <w:rsid w:val="00A06C21"/>
    <w:rsid w:val="00A07C5B"/>
    <w:rsid w:val="00A11E15"/>
    <w:rsid w:val="00A133D8"/>
    <w:rsid w:val="00A136DE"/>
    <w:rsid w:val="00A1417F"/>
    <w:rsid w:val="00A14F81"/>
    <w:rsid w:val="00A17D9A"/>
    <w:rsid w:val="00A20542"/>
    <w:rsid w:val="00A2097E"/>
    <w:rsid w:val="00A216CB"/>
    <w:rsid w:val="00A21D6C"/>
    <w:rsid w:val="00A256C1"/>
    <w:rsid w:val="00A27132"/>
    <w:rsid w:val="00A27305"/>
    <w:rsid w:val="00A305A9"/>
    <w:rsid w:val="00A306F3"/>
    <w:rsid w:val="00A312F9"/>
    <w:rsid w:val="00A3268F"/>
    <w:rsid w:val="00A33947"/>
    <w:rsid w:val="00A358F4"/>
    <w:rsid w:val="00A36156"/>
    <w:rsid w:val="00A36C15"/>
    <w:rsid w:val="00A3710F"/>
    <w:rsid w:val="00A37389"/>
    <w:rsid w:val="00A373BE"/>
    <w:rsid w:val="00A41160"/>
    <w:rsid w:val="00A43913"/>
    <w:rsid w:val="00A43E07"/>
    <w:rsid w:val="00A43F06"/>
    <w:rsid w:val="00A4415F"/>
    <w:rsid w:val="00A45B10"/>
    <w:rsid w:val="00A45BAA"/>
    <w:rsid w:val="00A509CB"/>
    <w:rsid w:val="00A524DB"/>
    <w:rsid w:val="00A52B0B"/>
    <w:rsid w:val="00A52D0F"/>
    <w:rsid w:val="00A54574"/>
    <w:rsid w:val="00A54616"/>
    <w:rsid w:val="00A548FE"/>
    <w:rsid w:val="00A562FE"/>
    <w:rsid w:val="00A56532"/>
    <w:rsid w:val="00A56A08"/>
    <w:rsid w:val="00A600BF"/>
    <w:rsid w:val="00A603F9"/>
    <w:rsid w:val="00A61ABD"/>
    <w:rsid w:val="00A61E76"/>
    <w:rsid w:val="00A63933"/>
    <w:rsid w:val="00A63E38"/>
    <w:rsid w:val="00A64334"/>
    <w:rsid w:val="00A64AAC"/>
    <w:rsid w:val="00A669C8"/>
    <w:rsid w:val="00A70B1C"/>
    <w:rsid w:val="00A7232E"/>
    <w:rsid w:val="00A73109"/>
    <w:rsid w:val="00A74426"/>
    <w:rsid w:val="00A74D2A"/>
    <w:rsid w:val="00A76027"/>
    <w:rsid w:val="00A7673A"/>
    <w:rsid w:val="00A77AC0"/>
    <w:rsid w:val="00A80F2B"/>
    <w:rsid w:val="00A812F4"/>
    <w:rsid w:val="00A83222"/>
    <w:rsid w:val="00A84088"/>
    <w:rsid w:val="00A852F3"/>
    <w:rsid w:val="00A868D5"/>
    <w:rsid w:val="00A90920"/>
    <w:rsid w:val="00A920FF"/>
    <w:rsid w:val="00A93081"/>
    <w:rsid w:val="00A94014"/>
    <w:rsid w:val="00A95CFD"/>
    <w:rsid w:val="00A97714"/>
    <w:rsid w:val="00A97917"/>
    <w:rsid w:val="00AA0755"/>
    <w:rsid w:val="00AA0A7E"/>
    <w:rsid w:val="00AA1798"/>
    <w:rsid w:val="00AA2468"/>
    <w:rsid w:val="00AA384D"/>
    <w:rsid w:val="00AA4A2E"/>
    <w:rsid w:val="00AA523D"/>
    <w:rsid w:val="00AA616A"/>
    <w:rsid w:val="00AB187D"/>
    <w:rsid w:val="00AB2550"/>
    <w:rsid w:val="00AB2FE4"/>
    <w:rsid w:val="00AB3130"/>
    <w:rsid w:val="00AB5D9A"/>
    <w:rsid w:val="00AB6513"/>
    <w:rsid w:val="00AB6D4B"/>
    <w:rsid w:val="00AC0528"/>
    <w:rsid w:val="00AC10CC"/>
    <w:rsid w:val="00AC12E9"/>
    <w:rsid w:val="00AC1EE8"/>
    <w:rsid w:val="00AC25B1"/>
    <w:rsid w:val="00AC32B6"/>
    <w:rsid w:val="00AC4F9A"/>
    <w:rsid w:val="00AC502A"/>
    <w:rsid w:val="00AC5A1C"/>
    <w:rsid w:val="00AC6B7C"/>
    <w:rsid w:val="00AD1223"/>
    <w:rsid w:val="00AD1337"/>
    <w:rsid w:val="00AD14A7"/>
    <w:rsid w:val="00AD2E25"/>
    <w:rsid w:val="00AD307F"/>
    <w:rsid w:val="00AD33BF"/>
    <w:rsid w:val="00AD6BA0"/>
    <w:rsid w:val="00AD6F62"/>
    <w:rsid w:val="00AD7C07"/>
    <w:rsid w:val="00AD7F91"/>
    <w:rsid w:val="00AE1A28"/>
    <w:rsid w:val="00AE236F"/>
    <w:rsid w:val="00AE2402"/>
    <w:rsid w:val="00AE2AA1"/>
    <w:rsid w:val="00AE5E87"/>
    <w:rsid w:val="00AE6231"/>
    <w:rsid w:val="00AE62A1"/>
    <w:rsid w:val="00AE6722"/>
    <w:rsid w:val="00AE687E"/>
    <w:rsid w:val="00AF0012"/>
    <w:rsid w:val="00AF216F"/>
    <w:rsid w:val="00AF34EC"/>
    <w:rsid w:val="00AF57A1"/>
    <w:rsid w:val="00AF5C26"/>
    <w:rsid w:val="00AF5F10"/>
    <w:rsid w:val="00AF5FE6"/>
    <w:rsid w:val="00AF7B60"/>
    <w:rsid w:val="00B0151A"/>
    <w:rsid w:val="00B02159"/>
    <w:rsid w:val="00B03191"/>
    <w:rsid w:val="00B03818"/>
    <w:rsid w:val="00B04BA1"/>
    <w:rsid w:val="00B050B6"/>
    <w:rsid w:val="00B05EC5"/>
    <w:rsid w:val="00B06723"/>
    <w:rsid w:val="00B07A06"/>
    <w:rsid w:val="00B07F59"/>
    <w:rsid w:val="00B12041"/>
    <w:rsid w:val="00B12DE9"/>
    <w:rsid w:val="00B137F4"/>
    <w:rsid w:val="00B14D2E"/>
    <w:rsid w:val="00B16126"/>
    <w:rsid w:val="00B16BD5"/>
    <w:rsid w:val="00B208A9"/>
    <w:rsid w:val="00B22434"/>
    <w:rsid w:val="00B234EE"/>
    <w:rsid w:val="00B246A6"/>
    <w:rsid w:val="00B2474E"/>
    <w:rsid w:val="00B24AD0"/>
    <w:rsid w:val="00B2575E"/>
    <w:rsid w:val="00B2662F"/>
    <w:rsid w:val="00B26C61"/>
    <w:rsid w:val="00B3011A"/>
    <w:rsid w:val="00B30422"/>
    <w:rsid w:val="00B304C1"/>
    <w:rsid w:val="00B30926"/>
    <w:rsid w:val="00B327B6"/>
    <w:rsid w:val="00B3364B"/>
    <w:rsid w:val="00B33CA7"/>
    <w:rsid w:val="00B33FD4"/>
    <w:rsid w:val="00B344CC"/>
    <w:rsid w:val="00B35866"/>
    <w:rsid w:val="00B3617B"/>
    <w:rsid w:val="00B402EE"/>
    <w:rsid w:val="00B4337B"/>
    <w:rsid w:val="00B43C18"/>
    <w:rsid w:val="00B44CD4"/>
    <w:rsid w:val="00B475F8"/>
    <w:rsid w:val="00B5020C"/>
    <w:rsid w:val="00B53A04"/>
    <w:rsid w:val="00B54CAD"/>
    <w:rsid w:val="00B55CAF"/>
    <w:rsid w:val="00B55FDD"/>
    <w:rsid w:val="00B56836"/>
    <w:rsid w:val="00B61B98"/>
    <w:rsid w:val="00B62322"/>
    <w:rsid w:val="00B63253"/>
    <w:rsid w:val="00B64681"/>
    <w:rsid w:val="00B65044"/>
    <w:rsid w:val="00B652B2"/>
    <w:rsid w:val="00B6563F"/>
    <w:rsid w:val="00B66826"/>
    <w:rsid w:val="00B67724"/>
    <w:rsid w:val="00B704F8"/>
    <w:rsid w:val="00B71C84"/>
    <w:rsid w:val="00B7255E"/>
    <w:rsid w:val="00B75A48"/>
    <w:rsid w:val="00B75FAE"/>
    <w:rsid w:val="00B81150"/>
    <w:rsid w:val="00B8140D"/>
    <w:rsid w:val="00B81A21"/>
    <w:rsid w:val="00B820A6"/>
    <w:rsid w:val="00B82DEE"/>
    <w:rsid w:val="00B833E8"/>
    <w:rsid w:val="00B847A7"/>
    <w:rsid w:val="00B848F6"/>
    <w:rsid w:val="00B857A5"/>
    <w:rsid w:val="00B85DEA"/>
    <w:rsid w:val="00B86153"/>
    <w:rsid w:val="00B87EA5"/>
    <w:rsid w:val="00B90B4D"/>
    <w:rsid w:val="00B9173C"/>
    <w:rsid w:val="00B92D63"/>
    <w:rsid w:val="00B93A37"/>
    <w:rsid w:val="00B9432F"/>
    <w:rsid w:val="00B97C94"/>
    <w:rsid w:val="00BA09B3"/>
    <w:rsid w:val="00BA1B36"/>
    <w:rsid w:val="00BA2B9C"/>
    <w:rsid w:val="00BA407B"/>
    <w:rsid w:val="00BA5BB8"/>
    <w:rsid w:val="00BB089C"/>
    <w:rsid w:val="00BB14A3"/>
    <w:rsid w:val="00BB18BF"/>
    <w:rsid w:val="00BB6F91"/>
    <w:rsid w:val="00BC04EB"/>
    <w:rsid w:val="00BC0744"/>
    <w:rsid w:val="00BC137A"/>
    <w:rsid w:val="00BC15F1"/>
    <w:rsid w:val="00BC1719"/>
    <w:rsid w:val="00BC2B11"/>
    <w:rsid w:val="00BC5710"/>
    <w:rsid w:val="00BC7998"/>
    <w:rsid w:val="00BD089D"/>
    <w:rsid w:val="00BD1439"/>
    <w:rsid w:val="00BD26A7"/>
    <w:rsid w:val="00BD379F"/>
    <w:rsid w:val="00BD3D31"/>
    <w:rsid w:val="00BD3EB8"/>
    <w:rsid w:val="00BD4D7F"/>
    <w:rsid w:val="00BD60FC"/>
    <w:rsid w:val="00BD7E95"/>
    <w:rsid w:val="00BE27EB"/>
    <w:rsid w:val="00BE6EE6"/>
    <w:rsid w:val="00BE7AD5"/>
    <w:rsid w:val="00BF064F"/>
    <w:rsid w:val="00BF0F80"/>
    <w:rsid w:val="00BF1C99"/>
    <w:rsid w:val="00BF327C"/>
    <w:rsid w:val="00BF60DC"/>
    <w:rsid w:val="00BF673A"/>
    <w:rsid w:val="00BF6B3A"/>
    <w:rsid w:val="00C01CC6"/>
    <w:rsid w:val="00C032D3"/>
    <w:rsid w:val="00C03444"/>
    <w:rsid w:val="00C036D5"/>
    <w:rsid w:val="00C05FB7"/>
    <w:rsid w:val="00C06952"/>
    <w:rsid w:val="00C06C77"/>
    <w:rsid w:val="00C07A59"/>
    <w:rsid w:val="00C10D2D"/>
    <w:rsid w:val="00C10FEB"/>
    <w:rsid w:val="00C12E41"/>
    <w:rsid w:val="00C130D8"/>
    <w:rsid w:val="00C133CD"/>
    <w:rsid w:val="00C145A2"/>
    <w:rsid w:val="00C15B6B"/>
    <w:rsid w:val="00C162C4"/>
    <w:rsid w:val="00C202C1"/>
    <w:rsid w:val="00C208D2"/>
    <w:rsid w:val="00C22011"/>
    <w:rsid w:val="00C221F3"/>
    <w:rsid w:val="00C226B8"/>
    <w:rsid w:val="00C24822"/>
    <w:rsid w:val="00C25A8D"/>
    <w:rsid w:val="00C25CC9"/>
    <w:rsid w:val="00C26E8A"/>
    <w:rsid w:val="00C26F9E"/>
    <w:rsid w:val="00C30063"/>
    <w:rsid w:val="00C30EA7"/>
    <w:rsid w:val="00C30EBF"/>
    <w:rsid w:val="00C3217C"/>
    <w:rsid w:val="00C33048"/>
    <w:rsid w:val="00C3444C"/>
    <w:rsid w:val="00C35496"/>
    <w:rsid w:val="00C35EAB"/>
    <w:rsid w:val="00C36E3B"/>
    <w:rsid w:val="00C41053"/>
    <w:rsid w:val="00C411B4"/>
    <w:rsid w:val="00C41B5C"/>
    <w:rsid w:val="00C41D9A"/>
    <w:rsid w:val="00C44250"/>
    <w:rsid w:val="00C449AC"/>
    <w:rsid w:val="00C44E3C"/>
    <w:rsid w:val="00C467B0"/>
    <w:rsid w:val="00C46CCA"/>
    <w:rsid w:val="00C47261"/>
    <w:rsid w:val="00C5126B"/>
    <w:rsid w:val="00C5158D"/>
    <w:rsid w:val="00C525C5"/>
    <w:rsid w:val="00C53B01"/>
    <w:rsid w:val="00C548C7"/>
    <w:rsid w:val="00C54A69"/>
    <w:rsid w:val="00C55D66"/>
    <w:rsid w:val="00C56BFB"/>
    <w:rsid w:val="00C57340"/>
    <w:rsid w:val="00C603BE"/>
    <w:rsid w:val="00C60EDD"/>
    <w:rsid w:val="00C61811"/>
    <w:rsid w:val="00C627A9"/>
    <w:rsid w:val="00C660A2"/>
    <w:rsid w:val="00C660B3"/>
    <w:rsid w:val="00C66903"/>
    <w:rsid w:val="00C70850"/>
    <w:rsid w:val="00C709B5"/>
    <w:rsid w:val="00C711C8"/>
    <w:rsid w:val="00C723F8"/>
    <w:rsid w:val="00C72899"/>
    <w:rsid w:val="00C739BE"/>
    <w:rsid w:val="00C7600D"/>
    <w:rsid w:val="00C80474"/>
    <w:rsid w:val="00C812A8"/>
    <w:rsid w:val="00C81334"/>
    <w:rsid w:val="00C815E7"/>
    <w:rsid w:val="00C82A09"/>
    <w:rsid w:val="00C83CAF"/>
    <w:rsid w:val="00C84209"/>
    <w:rsid w:val="00C855C0"/>
    <w:rsid w:val="00C86283"/>
    <w:rsid w:val="00C86606"/>
    <w:rsid w:val="00C87020"/>
    <w:rsid w:val="00C92320"/>
    <w:rsid w:val="00C94E19"/>
    <w:rsid w:val="00C9521B"/>
    <w:rsid w:val="00C97486"/>
    <w:rsid w:val="00C97B56"/>
    <w:rsid w:val="00CA0053"/>
    <w:rsid w:val="00CA0B30"/>
    <w:rsid w:val="00CA1932"/>
    <w:rsid w:val="00CA1B5F"/>
    <w:rsid w:val="00CA1BBF"/>
    <w:rsid w:val="00CA25CD"/>
    <w:rsid w:val="00CA3528"/>
    <w:rsid w:val="00CA4181"/>
    <w:rsid w:val="00CA48E9"/>
    <w:rsid w:val="00CA6954"/>
    <w:rsid w:val="00CA7DA3"/>
    <w:rsid w:val="00CA7DEC"/>
    <w:rsid w:val="00CB0D2E"/>
    <w:rsid w:val="00CB1297"/>
    <w:rsid w:val="00CB27B6"/>
    <w:rsid w:val="00CB4618"/>
    <w:rsid w:val="00CB48C5"/>
    <w:rsid w:val="00CB497C"/>
    <w:rsid w:val="00CB6DE8"/>
    <w:rsid w:val="00CB7BCB"/>
    <w:rsid w:val="00CC0C7E"/>
    <w:rsid w:val="00CC23D2"/>
    <w:rsid w:val="00CC424A"/>
    <w:rsid w:val="00CC4272"/>
    <w:rsid w:val="00CC42CC"/>
    <w:rsid w:val="00CC5B09"/>
    <w:rsid w:val="00CC6DC3"/>
    <w:rsid w:val="00CC7892"/>
    <w:rsid w:val="00CD11C7"/>
    <w:rsid w:val="00CD2CC4"/>
    <w:rsid w:val="00CD3C7F"/>
    <w:rsid w:val="00CD4FC1"/>
    <w:rsid w:val="00CD5994"/>
    <w:rsid w:val="00CD6245"/>
    <w:rsid w:val="00CD7DEA"/>
    <w:rsid w:val="00CE0CC5"/>
    <w:rsid w:val="00CE122B"/>
    <w:rsid w:val="00CE282B"/>
    <w:rsid w:val="00CE2F02"/>
    <w:rsid w:val="00CE3DE3"/>
    <w:rsid w:val="00CE3E75"/>
    <w:rsid w:val="00CE5C73"/>
    <w:rsid w:val="00CE7A11"/>
    <w:rsid w:val="00CF0495"/>
    <w:rsid w:val="00CF0A77"/>
    <w:rsid w:val="00CF130D"/>
    <w:rsid w:val="00CF1760"/>
    <w:rsid w:val="00CF1D56"/>
    <w:rsid w:val="00CF2AC6"/>
    <w:rsid w:val="00CF3343"/>
    <w:rsid w:val="00CF367E"/>
    <w:rsid w:val="00CF3713"/>
    <w:rsid w:val="00CF3BA6"/>
    <w:rsid w:val="00CF3E99"/>
    <w:rsid w:val="00CF3F26"/>
    <w:rsid w:val="00CF5DE1"/>
    <w:rsid w:val="00CF610A"/>
    <w:rsid w:val="00CF778B"/>
    <w:rsid w:val="00D01C1D"/>
    <w:rsid w:val="00D01E13"/>
    <w:rsid w:val="00D02B2F"/>
    <w:rsid w:val="00D02CB2"/>
    <w:rsid w:val="00D03C01"/>
    <w:rsid w:val="00D03E97"/>
    <w:rsid w:val="00D04350"/>
    <w:rsid w:val="00D0539A"/>
    <w:rsid w:val="00D10A15"/>
    <w:rsid w:val="00D1188D"/>
    <w:rsid w:val="00D11F1F"/>
    <w:rsid w:val="00D1232D"/>
    <w:rsid w:val="00D1273D"/>
    <w:rsid w:val="00D1474E"/>
    <w:rsid w:val="00D15B70"/>
    <w:rsid w:val="00D17FEA"/>
    <w:rsid w:val="00D20929"/>
    <w:rsid w:val="00D22082"/>
    <w:rsid w:val="00D22814"/>
    <w:rsid w:val="00D229C4"/>
    <w:rsid w:val="00D23BCC"/>
    <w:rsid w:val="00D24727"/>
    <w:rsid w:val="00D2644B"/>
    <w:rsid w:val="00D26466"/>
    <w:rsid w:val="00D26A07"/>
    <w:rsid w:val="00D27C56"/>
    <w:rsid w:val="00D32CB2"/>
    <w:rsid w:val="00D338B8"/>
    <w:rsid w:val="00D36EE0"/>
    <w:rsid w:val="00D410CF"/>
    <w:rsid w:val="00D417FD"/>
    <w:rsid w:val="00D4375A"/>
    <w:rsid w:val="00D4398B"/>
    <w:rsid w:val="00D43C1C"/>
    <w:rsid w:val="00D43D48"/>
    <w:rsid w:val="00D43EC4"/>
    <w:rsid w:val="00D45063"/>
    <w:rsid w:val="00D45104"/>
    <w:rsid w:val="00D4551A"/>
    <w:rsid w:val="00D45790"/>
    <w:rsid w:val="00D461D4"/>
    <w:rsid w:val="00D46F62"/>
    <w:rsid w:val="00D478AB"/>
    <w:rsid w:val="00D47FEA"/>
    <w:rsid w:val="00D515BD"/>
    <w:rsid w:val="00D52DF5"/>
    <w:rsid w:val="00D53342"/>
    <w:rsid w:val="00D540D2"/>
    <w:rsid w:val="00D55523"/>
    <w:rsid w:val="00D5595B"/>
    <w:rsid w:val="00D56665"/>
    <w:rsid w:val="00D56943"/>
    <w:rsid w:val="00D6059B"/>
    <w:rsid w:val="00D613DE"/>
    <w:rsid w:val="00D62411"/>
    <w:rsid w:val="00D642BC"/>
    <w:rsid w:val="00D64D35"/>
    <w:rsid w:val="00D65AE8"/>
    <w:rsid w:val="00D65BA4"/>
    <w:rsid w:val="00D7273B"/>
    <w:rsid w:val="00D73820"/>
    <w:rsid w:val="00D7451C"/>
    <w:rsid w:val="00D76FB5"/>
    <w:rsid w:val="00D7702C"/>
    <w:rsid w:val="00D77F22"/>
    <w:rsid w:val="00D8042C"/>
    <w:rsid w:val="00D8462C"/>
    <w:rsid w:val="00D84CEF"/>
    <w:rsid w:val="00D85AA4"/>
    <w:rsid w:val="00D917EC"/>
    <w:rsid w:val="00D91D4B"/>
    <w:rsid w:val="00D92FA4"/>
    <w:rsid w:val="00D945C5"/>
    <w:rsid w:val="00D96104"/>
    <w:rsid w:val="00D96909"/>
    <w:rsid w:val="00D97E62"/>
    <w:rsid w:val="00DA0D0B"/>
    <w:rsid w:val="00DA0EEC"/>
    <w:rsid w:val="00DA3060"/>
    <w:rsid w:val="00DA5557"/>
    <w:rsid w:val="00DA5ACB"/>
    <w:rsid w:val="00DA6532"/>
    <w:rsid w:val="00DA6C88"/>
    <w:rsid w:val="00DA750C"/>
    <w:rsid w:val="00DA7DEB"/>
    <w:rsid w:val="00DB0201"/>
    <w:rsid w:val="00DB02D9"/>
    <w:rsid w:val="00DB13EC"/>
    <w:rsid w:val="00DB624A"/>
    <w:rsid w:val="00DB7D9C"/>
    <w:rsid w:val="00DC007F"/>
    <w:rsid w:val="00DC188C"/>
    <w:rsid w:val="00DC3C56"/>
    <w:rsid w:val="00DC3F38"/>
    <w:rsid w:val="00DC4634"/>
    <w:rsid w:val="00DC5537"/>
    <w:rsid w:val="00DC625D"/>
    <w:rsid w:val="00DC6B01"/>
    <w:rsid w:val="00DC6FE1"/>
    <w:rsid w:val="00DC765F"/>
    <w:rsid w:val="00DD1B22"/>
    <w:rsid w:val="00DD4731"/>
    <w:rsid w:val="00DD76A4"/>
    <w:rsid w:val="00DE00A2"/>
    <w:rsid w:val="00DE0F0D"/>
    <w:rsid w:val="00DE16B0"/>
    <w:rsid w:val="00DE1CAD"/>
    <w:rsid w:val="00DE2DD7"/>
    <w:rsid w:val="00DE3B79"/>
    <w:rsid w:val="00DE571D"/>
    <w:rsid w:val="00DF0D27"/>
    <w:rsid w:val="00DF0F93"/>
    <w:rsid w:val="00DF19A2"/>
    <w:rsid w:val="00DF1F04"/>
    <w:rsid w:val="00DF4274"/>
    <w:rsid w:val="00DF4532"/>
    <w:rsid w:val="00DF5D3D"/>
    <w:rsid w:val="00DF5EC3"/>
    <w:rsid w:val="00DF7A65"/>
    <w:rsid w:val="00E00B04"/>
    <w:rsid w:val="00E00D6B"/>
    <w:rsid w:val="00E02DE4"/>
    <w:rsid w:val="00E05113"/>
    <w:rsid w:val="00E05296"/>
    <w:rsid w:val="00E05B29"/>
    <w:rsid w:val="00E05BE9"/>
    <w:rsid w:val="00E062B1"/>
    <w:rsid w:val="00E12240"/>
    <w:rsid w:val="00E136AD"/>
    <w:rsid w:val="00E13C41"/>
    <w:rsid w:val="00E145CE"/>
    <w:rsid w:val="00E14B52"/>
    <w:rsid w:val="00E1621A"/>
    <w:rsid w:val="00E1752C"/>
    <w:rsid w:val="00E20156"/>
    <w:rsid w:val="00E20FF2"/>
    <w:rsid w:val="00E2159B"/>
    <w:rsid w:val="00E21A2F"/>
    <w:rsid w:val="00E24F41"/>
    <w:rsid w:val="00E258AB"/>
    <w:rsid w:val="00E25D74"/>
    <w:rsid w:val="00E2625F"/>
    <w:rsid w:val="00E26983"/>
    <w:rsid w:val="00E270DE"/>
    <w:rsid w:val="00E30C79"/>
    <w:rsid w:val="00E30C84"/>
    <w:rsid w:val="00E31A52"/>
    <w:rsid w:val="00E3220E"/>
    <w:rsid w:val="00E33C65"/>
    <w:rsid w:val="00E34A9E"/>
    <w:rsid w:val="00E356D8"/>
    <w:rsid w:val="00E35E02"/>
    <w:rsid w:val="00E367CF"/>
    <w:rsid w:val="00E36DA1"/>
    <w:rsid w:val="00E3724F"/>
    <w:rsid w:val="00E37563"/>
    <w:rsid w:val="00E41A58"/>
    <w:rsid w:val="00E423BE"/>
    <w:rsid w:val="00E44206"/>
    <w:rsid w:val="00E46210"/>
    <w:rsid w:val="00E47303"/>
    <w:rsid w:val="00E4764E"/>
    <w:rsid w:val="00E477E2"/>
    <w:rsid w:val="00E50D30"/>
    <w:rsid w:val="00E5121F"/>
    <w:rsid w:val="00E532C6"/>
    <w:rsid w:val="00E53B58"/>
    <w:rsid w:val="00E5404F"/>
    <w:rsid w:val="00E5427F"/>
    <w:rsid w:val="00E562E4"/>
    <w:rsid w:val="00E566BD"/>
    <w:rsid w:val="00E6067F"/>
    <w:rsid w:val="00E60EC4"/>
    <w:rsid w:val="00E60FEB"/>
    <w:rsid w:val="00E61AAD"/>
    <w:rsid w:val="00E62217"/>
    <w:rsid w:val="00E62A1E"/>
    <w:rsid w:val="00E62A5F"/>
    <w:rsid w:val="00E62F9C"/>
    <w:rsid w:val="00E63A51"/>
    <w:rsid w:val="00E65508"/>
    <w:rsid w:val="00E6659A"/>
    <w:rsid w:val="00E70A7F"/>
    <w:rsid w:val="00E70F74"/>
    <w:rsid w:val="00E71B8B"/>
    <w:rsid w:val="00E726F4"/>
    <w:rsid w:val="00E74981"/>
    <w:rsid w:val="00E7602A"/>
    <w:rsid w:val="00E76532"/>
    <w:rsid w:val="00E8329D"/>
    <w:rsid w:val="00E8560F"/>
    <w:rsid w:val="00E85A5B"/>
    <w:rsid w:val="00E85CC8"/>
    <w:rsid w:val="00E87313"/>
    <w:rsid w:val="00E87AB5"/>
    <w:rsid w:val="00E87D11"/>
    <w:rsid w:val="00E90AD6"/>
    <w:rsid w:val="00E9167B"/>
    <w:rsid w:val="00E91BE2"/>
    <w:rsid w:val="00E92824"/>
    <w:rsid w:val="00E9295F"/>
    <w:rsid w:val="00E931EB"/>
    <w:rsid w:val="00E9398B"/>
    <w:rsid w:val="00E9657F"/>
    <w:rsid w:val="00E96786"/>
    <w:rsid w:val="00E96C9E"/>
    <w:rsid w:val="00E96CB1"/>
    <w:rsid w:val="00E97B2D"/>
    <w:rsid w:val="00EA1603"/>
    <w:rsid w:val="00EA1831"/>
    <w:rsid w:val="00EA1FD1"/>
    <w:rsid w:val="00EA3F02"/>
    <w:rsid w:val="00EA44AA"/>
    <w:rsid w:val="00EA6C26"/>
    <w:rsid w:val="00EA7E7E"/>
    <w:rsid w:val="00EB2B72"/>
    <w:rsid w:val="00EB3DE1"/>
    <w:rsid w:val="00EB46BF"/>
    <w:rsid w:val="00EB4FFF"/>
    <w:rsid w:val="00EB51BB"/>
    <w:rsid w:val="00EC032C"/>
    <w:rsid w:val="00EC14B2"/>
    <w:rsid w:val="00EC2726"/>
    <w:rsid w:val="00EC30BC"/>
    <w:rsid w:val="00EC3A1E"/>
    <w:rsid w:val="00EC5A63"/>
    <w:rsid w:val="00EC67E2"/>
    <w:rsid w:val="00EC79A5"/>
    <w:rsid w:val="00ED0154"/>
    <w:rsid w:val="00ED0DDF"/>
    <w:rsid w:val="00ED23DE"/>
    <w:rsid w:val="00ED5349"/>
    <w:rsid w:val="00ED6A74"/>
    <w:rsid w:val="00ED6C32"/>
    <w:rsid w:val="00ED7AD1"/>
    <w:rsid w:val="00EE06F3"/>
    <w:rsid w:val="00EE0CE8"/>
    <w:rsid w:val="00EE0D64"/>
    <w:rsid w:val="00EE31CF"/>
    <w:rsid w:val="00EE4852"/>
    <w:rsid w:val="00EE4899"/>
    <w:rsid w:val="00EE530C"/>
    <w:rsid w:val="00EE55BC"/>
    <w:rsid w:val="00EE69A7"/>
    <w:rsid w:val="00EF2007"/>
    <w:rsid w:val="00EF20E4"/>
    <w:rsid w:val="00EF2BC5"/>
    <w:rsid w:val="00EF357F"/>
    <w:rsid w:val="00EF3D2C"/>
    <w:rsid w:val="00EF54E8"/>
    <w:rsid w:val="00EF65BE"/>
    <w:rsid w:val="00EF69A8"/>
    <w:rsid w:val="00F00009"/>
    <w:rsid w:val="00F0147E"/>
    <w:rsid w:val="00F01551"/>
    <w:rsid w:val="00F07171"/>
    <w:rsid w:val="00F0721E"/>
    <w:rsid w:val="00F075F8"/>
    <w:rsid w:val="00F0766A"/>
    <w:rsid w:val="00F07CC6"/>
    <w:rsid w:val="00F110A0"/>
    <w:rsid w:val="00F11948"/>
    <w:rsid w:val="00F126A1"/>
    <w:rsid w:val="00F12CC6"/>
    <w:rsid w:val="00F140C6"/>
    <w:rsid w:val="00F168CB"/>
    <w:rsid w:val="00F201CC"/>
    <w:rsid w:val="00F22CF7"/>
    <w:rsid w:val="00F22D76"/>
    <w:rsid w:val="00F23CDC"/>
    <w:rsid w:val="00F24A51"/>
    <w:rsid w:val="00F25763"/>
    <w:rsid w:val="00F261DF"/>
    <w:rsid w:val="00F26BF5"/>
    <w:rsid w:val="00F274C5"/>
    <w:rsid w:val="00F30C1D"/>
    <w:rsid w:val="00F32E64"/>
    <w:rsid w:val="00F34A9A"/>
    <w:rsid w:val="00F37012"/>
    <w:rsid w:val="00F41723"/>
    <w:rsid w:val="00F41A06"/>
    <w:rsid w:val="00F42AC2"/>
    <w:rsid w:val="00F42AE7"/>
    <w:rsid w:val="00F445AA"/>
    <w:rsid w:val="00F456E8"/>
    <w:rsid w:val="00F4602E"/>
    <w:rsid w:val="00F4642E"/>
    <w:rsid w:val="00F47D92"/>
    <w:rsid w:val="00F51821"/>
    <w:rsid w:val="00F51E75"/>
    <w:rsid w:val="00F522BF"/>
    <w:rsid w:val="00F54C86"/>
    <w:rsid w:val="00F56145"/>
    <w:rsid w:val="00F6013E"/>
    <w:rsid w:val="00F604FD"/>
    <w:rsid w:val="00F6052B"/>
    <w:rsid w:val="00F6094A"/>
    <w:rsid w:val="00F635F7"/>
    <w:rsid w:val="00F6448D"/>
    <w:rsid w:val="00F649B8"/>
    <w:rsid w:val="00F64FCB"/>
    <w:rsid w:val="00F657DF"/>
    <w:rsid w:val="00F6585F"/>
    <w:rsid w:val="00F6631D"/>
    <w:rsid w:val="00F6652F"/>
    <w:rsid w:val="00F66892"/>
    <w:rsid w:val="00F71462"/>
    <w:rsid w:val="00F71F0C"/>
    <w:rsid w:val="00F72C4A"/>
    <w:rsid w:val="00F73539"/>
    <w:rsid w:val="00F7417B"/>
    <w:rsid w:val="00F74763"/>
    <w:rsid w:val="00F757B0"/>
    <w:rsid w:val="00F76BDC"/>
    <w:rsid w:val="00F80268"/>
    <w:rsid w:val="00F8171A"/>
    <w:rsid w:val="00F81883"/>
    <w:rsid w:val="00F82033"/>
    <w:rsid w:val="00F8354F"/>
    <w:rsid w:val="00F84B1F"/>
    <w:rsid w:val="00F85A24"/>
    <w:rsid w:val="00F85A47"/>
    <w:rsid w:val="00F863BD"/>
    <w:rsid w:val="00F8699C"/>
    <w:rsid w:val="00F87296"/>
    <w:rsid w:val="00F915F0"/>
    <w:rsid w:val="00F91CCA"/>
    <w:rsid w:val="00F9396C"/>
    <w:rsid w:val="00F957C1"/>
    <w:rsid w:val="00FA1ED6"/>
    <w:rsid w:val="00FA3083"/>
    <w:rsid w:val="00FA365F"/>
    <w:rsid w:val="00FA3D59"/>
    <w:rsid w:val="00FA434B"/>
    <w:rsid w:val="00FA58B1"/>
    <w:rsid w:val="00FA5B12"/>
    <w:rsid w:val="00FA660B"/>
    <w:rsid w:val="00FA72CB"/>
    <w:rsid w:val="00FA7A33"/>
    <w:rsid w:val="00FB0340"/>
    <w:rsid w:val="00FB0F9F"/>
    <w:rsid w:val="00FB18D6"/>
    <w:rsid w:val="00FB192D"/>
    <w:rsid w:val="00FB1D61"/>
    <w:rsid w:val="00FB30BC"/>
    <w:rsid w:val="00FB3E52"/>
    <w:rsid w:val="00FB57A0"/>
    <w:rsid w:val="00FB5E34"/>
    <w:rsid w:val="00FB6FA9"/>
    <w:rsid w:val="00FB798D"/>
    <w:rsid w:val="00FB7ADB"/>
    <w:rsid w:val="00FC09E1"/>
    <w:rsid w:val="00FC1297"/>
    <w:rsid w:val="00FC1A27"/>
    <w:rsid w:val="00FC2FD7"/>
    <w:rsid w:val="00FC5D96"/>
    <w:rsid w:val="00FC72D6"/>
    <w:rsid w:val="00FC755F"/>
    <w:rsid w:val="00FD0A3F"/>
    <w:rsid w:val="00FD2378"/>
    <w:rsid w:val="00FD31C1"/>
    <w:rsid w:val="00FD4F79"/>
    <w:rsid w:val="00FD63CE"/>
    <w:rsid w:val="00FE1907"/>
    <w:rsid w:val="00FE2717"/>
    <w:rsid w:val="00FE2919"/>
    <w:rsid w:val="00FE32CA"/>
    <w:rsid w:val="00FE67C9"/>
    <w:rsid w:val="00FE69FC"/>
    <w:rsid w:val="00FE7374"/>
    <w:rsid w:val="00FF1C3D"/>
    <w:rsid w:val="00FF2A92"/>
    <w:rsid w:val="00FF37B7"/>
    <w:rsid w:val="00FF4BBE"/>
    <w:rsid w:val="00FF5833"/>
    <w:rsid w:val="00FF68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5B85DB6"/>
  <w15:docId w15:val="{78C23B7A-9894-431D-A188-C072048A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E55"/>
    <w:pPr>
      <w:spacing w:after="180"/>
    </w:pPr>
    <w:rPr>
      <w:rFonts w:asciiTheme="minorHAnsi" w:hAnsiTheme="minorHAnsi"/>
      <w:sz w:val="22"/>
    </w:rPr>
  </w:style>
  <w:style w:type="paragraph" w:styleId="Heading1">
    <w:name w:val="heading 1"/>
    <w:basedOn w:val="Normal"/>
    <w:next w:val="Normal"/>
    <w:link w:val="Heading1Char"/>
    <w:uiPriority w:val="9"/>
    <w:qFormat/>
    <w:rsid w:val="00424F1F"/>
    <w:pPr>
      <w:keepNext/>
      <w:keepLines/>
      <w:pageBreakBefore/>
      <w:numPr>
        <w:numId w:val="12"/>
      </w:numPr>
      <w:tabs>
        <w:tab w:val="left" w:pos="680"/>
      </w:tabs>
      <w:spacing w:after="120" w:line="340" w:lineRule="atLeast"/>
      <w:outlineLvl w:val="0"/>
    </w:pPr>
    <w:rPr>
      <w:rFonts w:eastAsiaTheme="majorEastAsia" w:cstheme="majorBidi"/>
      <w:b/>
      <w:bCs/>
      <w:color w:val="008C9B" w:themeColor="text2"/>
      <w:sz w:val="44"/>
      <w:szCs w:val="28"/>
    </w:rPr>
  </w:style>
  <w:style w:type="paragraph" w:styleId="Heading2">
    <w:name w:val="heading 2"/>
    <w:basedOn w:val="Normal"/>
    <w:next w:val="Normal"/>
    <w:link w:val="Heading2Char"/>
    <w:uiPriority w:val="9"/>
    <w:qFormat/>
    <w:rsid w:val="00F6094A"/>
    <w:pPr>
      <w:keepNext/>
      <w:keepLines/>
      <w:numPr>
        <w:ilvl w:val="1"/>
        <w:numId w:val="12"/>
      </w:numPr>
      <w:tabs>
        <w:tab w:val="left" w:pos="680"/>
      </w:tabs>
      <w:spacing w:after="120" w:line="340" w:lineRule="atLeast"/>
      <w:outlineLvl w:val="1"/>
    </w:pPr>
    <w:rPr>
      <w:rFonts w:eastAsiaTheme="majorEastAsia" w:cstheme="majorBidi"/>
      <w:b/>
      <w:bCs/>
      <w:color w:val="7F7F7F" w:themeColor="text1" w:themeTint="80"/>
      <w:sz w:val="28"/>
      <w:szCs w:val="26"/>
    </w:rPr>
  </w:style>
  <w:style w:type="paragraph" w:styleId="Heading3">
    <w:name w:val="heading 3"/>
    <w:basedOn w:val="Normal"/>
    <w:next w:val="Normal"/>
    <w:link w:val="Heading3Char"/>
    <w:uiPriority w:val="9"/>
    <w:qFormat/>
    <w:rsid w:val="00171DB7"/>
    <w:pPr>
      <w:keepNext/>
      <w:keepLines/>
      <w:spacing w:line="340" w:lineRule="atLeast"/>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171DB7"/>
    <w:pPr>
      <w:keepNext/>
      <w:keepLines/>
      <w:spacing w:line="320" w:lineRule="atLeast"/>
      <w:outlineLvl w:val="3"/>
    </w:pPr>
    <w:rPr>
      <w:rFonts w:asciiTheme="majorHAnsi" w:eastAsiaTheme="majorEastAsia" w:hAnsiTheme="majorHAnsi" w:cstheme="majorBidi"/>
      <w:bCs/>
      <w:iCs/>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F1F"/>
    <w:rPr>
      <w:rFonts w:asciiTheme="minorHAnsi" w:eastAsiaTheme="majorEastAsia" w:hAnsiTheme="minorHAnsi" w:cstheme="majorBidi"/>
      <w:b/>
      <w:bCs/>
      <w:color w:val="008C9B" w:themeColor="text2"/>
      <w:sz w:val="44"/>
      <w:szCs w:val="28"/>
    </w:rPr>
  </w:style>
  <w:style w:type="character" w:customStyle="1" w:styleId="Heading2Char">
    <w:name w:val="Heading 2 Char"/>
    <w:basedOn w:val="DefaultParagraphFont"/>
    <w:link w:val="Heading2"/>
    <w:uiPriority w:val="9"/>
    <w:rsid w:val="00F6094A"/>
    <w:rPr>
      <w:rFonts w:asciiTheme="minorHAnsi" w:eastAsiaTheme="majorEastAsia" w:hAnsiTheme="minorHAnsi" w:cstheme="majorBidi"/>
      <w:b/>
      <w:bCs/>
      <w:color w:val="7F7F7F" w:themeColor="text1" w:themeTint="80"/>
      <w:sz w:val="28"/>
      <w:szCs w:val="26"/>
    </w:rPr>
  </w:style>
  <w:style w:type="paragraph" w:styleId="Header">
    <w:name w:val="header"/>
    <w:basedOn w:val="Normal"/>
    <w:link w:val="HeaderChar"/>
    <w:uiPriority w:val="99"/>
    <w:unhideWhenUsed/>
    <w:rsid w:val="00CE3E75"/>
    <w:pPr>
      <w:tabs>
        <w:tab w:val="right" w:pos="10093"/>
      </w:tabs>
      <w:spacing w:line="290" w:lineRule="atLeast"/>
    </w:pPr>
    <w:rPr>
      <w:color w:val="7F7F7F" w:themeColor="text1" w:themeTint="80"/>
      <w:sz w:val="24"/>
    </w:rPr>
  </w:style>
  <w:style w:type="character" w:customStyle="1" w:styleId="HeaderChar">
    <w:name w:val="Header Char"/>
    <w:basedOn w:val="DefaultParagraphFont"/>
    <w:link w:val="Header"/>
    <w:uiPriority w:val="99"/>
    <w:rsid w:val="00CE3E75"/>
    <w:rPr>
      <w:rFonts w:asciiTheme="minorHAnsi" w:hAnsiTheme="minorHAnsi"/>
      <w:color w:val="7F7F7F" w:themeColor="text1" w:themeTint="80"/>
      <w:sz w:val="24"/>
    </w:rPr>
  </w:style>
  <w:style w:type="paragraph" w:styleId="Footer">
    <w:name w:val="footer"/>
    <w:basedOn w:val="Normal"/>
    <w:link w:val="FooterChar"/>
    <w:uiPriority w:val="99"/>
    <w:unhideWhenUsed/>
    <w:rsid w:val="0008458B"/>
    <w:pPr>
      <w:tabs>
        <w:tab w:val="center" w:pos="4536"/>
        <w:tab w:val="right" w:pos="9072"/>
      </w:tabs>
    </w:pPr>
    <w:rPr>
      <w:color w:val="FFFFFF" w:themeColor="background1"/>
      <w:sz w:val="14"/>
    </w:rPr>
  </w:style>
  <w:style w:type="character" w:customStyle="1" w:styleId="FooterChar">
    <w:name w:val="Footer Char"/>
    <w:basedOn w:val="DefaultParagraphFont"/>
    <w:link w:val="Footer"/>
    <w:uiPriority w:val="99"/>
    <w:rsid w:val="0008458B"/>
    <w:rPr>
      <w:rFonts w:asciiTheme="minorHAnsi" w:hAnsiTheme="minorHAnsi"/>
      <w:color w:val="FFFFFF" w:themeColor="background1"/>
      <w:sz w:val="14"/>
    </w:rPr>
  </w:style>
  <w:style w:type="paragraph" w:styleId="ListNumber">
    <w:name w:val="List Number"/>
    <w:basedOn w:val="Normal"/>
    <w:qFormat/>
    <w:rsid w:val="00424F1F"/>
    <w:pPr>
      <w:numPr>
        <w:numId w:val="7"/>
      </w:numPr>
      <w:tabs>
        <w:tab w:val="left" w:pos="357"/>
      </w:tabs>
      <w:spacing w:line="240" w:lineRule="atLeast"/>
      <w:ind w:left="357" w:hanging="357"/>
    </w:pPr>
    <w:rPr>
      <w:rFonts w:eastAsia="Times New Roman"/>
      <w:color w:val="000000" w:themeColor="text1"/>
      <w:szCs w:val="24"/>
      <w:lang w:eastAsia="en-GB"/>
    </w:rPr>
  </w:style>
  <w:style w:type="paragraph" w:styleId="ListNumber2">
    <w:name w:val="List Number 2"/>
    <w:basedOn w:val="ListNumber"/>
    <w:uiPriority w:val="99"/>
    <w:qFormat/>
    <w:rsid w:val="00622975"/>
    <w:pPr>
      <w:numPr>
        <w:numId w:val="19"/>
      </w:numPr>
      <w:tabs>
        <w:tab w:val="clear" w:pos="357"/>
        <w:tab w:val="left" w:pos="714"/>
      </w:tabs>
      <w:ind w:left="714" w:hanging="357"/>
    </w:pPr>
  </w:style>
  <w:style w:type="paragraph" w:styleId="BalloonText">
    <w:name w:val="Balloon Text"/>
    <w:basedOn w:val="Normal"/>
    <w:link w:val="BalloonTextChar"/>
    <w:uiPriority w:val="99"/>
    <w:semiHidden/>
    <w:rsid w:val="007E4A50"/>
    <w:rPr>
      <w:rFonts w:ascii="Tahoma" w:hAnsi="Tahoma" w:cs="Tahoma"/>
      <w:sz w:val="16"/>
      <w:szCs w:val="16"/>
    </w:rPr>
  </w:style>
  <w:style w:type="character" w:customStyle="1" w:styleId="BalloonTextChar">
    <w:name w:val="Balloon Text Char"/>
    <w:basedOn w:val="DefaultParagraphFont"/>
    <w:link w:val="BalloonText"/>
    <w:uiPriority w:val="99"/>
    <w:semiHidden/>
    <w:rsid w:val="007E4A50"/>
    <w:rPr>
      <w:rFonts w:ascii="Tahoma" w:hAnsi="Tahoma" w:cs="Tahoma"/>
      <w:color w:val="EEECE1" w:themeColor="background2"/>
      <w:sz w:val="16"/>
      <w:szCs w:val="16"/>
    </w:rPr>
  </w:style>
  <w:style w:type="table" w:styleId="TableGrid">
    <w:name w:val="Table Grid"/>
    <w:basedOn w:val="TableNormal"/>
    <w:uiPriority w:val="59"/>
    <w:rsid w:val="007E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4A50"/>
    <w:rPr>
      <w:color w:val="808080"/>
    </w:rPr>
  </w:style>
  <w:style w:type="paragraph" w:styleId="ListParagraph">
    <w:name w:val="List Paragraph"/>
    <w:basedOn w:val="Normal"/>
    <w:uiPriority w:val="34"/>
    <w:semiHidden/>
    <w:qFormat/>
    <w:rsid w:val="007E4A50"/>
    <w:pPr>
      <w:ind w:left="720"/>
      <w:contextualSpacing/>
    </w:pPr>
  </w:style>
  <w:style w:type="paragraph" w:styleId="ListBullet">
    <w:name w:val="List Bullet"/>
    <w:basedOn w:val="Normal"/>
    <w:uiPriority w:val="99"/>
    <w:qFormat/>
    <w:rsid w:val="00424F1F"/>
    <w:pPr>
      <w:tabs>
        <w:tab w:val="left" w:pos="357"/>
      </w:tabs>
    </w:pPr>
  </w:style>
  <w:style w:type="paragraph" w:customStyle="1" w:styleId="Documenttitle">
    <w:name w:val="Document title"/>
    <w:next w:val="Documentsubtitle"/>
    <w:qFormat/>
    <w:rsid w:val="00F757B0"/>
    <w:pPr>
      <w:spacing w:after="60" w:line="720" w:lineRule="atLeast"/>
    </w:pPr>
    <w:rPr>
      <w:rFonts w:asciiTheme="minorHAnsi" w:hAnsiTheme="minorHAnsi"/>
      <w:b/>
      <w:color w:val="008C9B" w:themeColor="text2"/>
      <w:sz w:val="60"/>
    </w:rPr>
  </w:style>
  <w:style w:type="paragraph" w:customStyle="1" w:styleId="Documentsubtitle">
    <w:name w:val="Document subtitle"/>
    <w:next w:val="Documentoutline"/>
    <w:qFormat/>
    <w:rsid w:val="00F757B0"/>
    <w:pPr>
      <w:spacing w:after="120" w:line="480" w:lineRule="atLeast"/>
    </w:pPr>
    <w:rPr>
      <w:rFonts w:asciiTheme="minorHAnsi" w:hAnsiTheme="minorHAnsi"/>
      <w:sz w:val="40"/>
    </w:rPr>
  </w:style>
  <w:style w:type="paragraph" w:customStyle="1" w:styleId="Documentoutline">
    <w:name w:val="Document outline"/>
    <w:next w:val="Normal"/>
    <w:qFormat/>
    <w:rsid w:val="000C6F1C"/>
    <w:pPr>
      <w:spacing w:line="340" w:lineRule="atLeast"/>
    </w:pPr>
    <w:rPr>
      <w:rFonts w:asciiTheme="minorHAnsi" w:hAnsiTheme="minorHAnsi"/>
      <w:sz w:val="28"/>
    </w:rPr>
  </w:style>
  <w:style w:type="paragraph" w:customStyle="1" w:styleId="Disclaimer">
    <w:name w:val="Disclaimer"/>
    <w:basedOn w:val="Normal"/>
    <w:qFormat/>
    <w:rsid w:val="007A2119"/>
    <w:pPr>
      <w:spacing w:after="80" w:line="240" w:lineRule="atLeast"/>
    </w:pPr>
    <w:rPr>
      <w:sz w:val="18"/>
    </w:rPr>
  </w:style>
  <w:style w:type="paragraph" w:customStyle="1" w:styleId="Sectiontitle">
    <w:name w:val="Section title"/>
    <w:basedOn w:val="Normal"/>
    <w:next w:val="Normal"/>
    <w:qFormat/>
    <w:rsid w:val="00AC32B6"/>
    <w:pPr>
      <w:pageBreakBefore/>
      <w:spacing w:after="360" w:line="530" w:lineRule="atLeast"/>
    </w:pPr>
    <w:rPr>
      <w:b/>
      <w:color w:val="008C9B" w:themeColor="text2"/>
      <w:sz w:val="44"/>
    </w:rPr>
  </w:style>
  <w:style w:type="paragraph" w:customStyle="1" w:styleId="Subsectiontitle">
    <w:name w:val="Subsection title"/>
    <w:basedOn w:val="Normal"/>
    <w:next w:val="Normal"/>
    <w:qFormat/>
    <w:rsid w:val="00B44CD4"/>
    <w:pPr>
      <w:spacing w:after="120" w:line="340" w:lineRule="atLeast"/>
    </w:pPr>
    <w:rPr>
      <w:color w:val="7F7F7F" w:themeColor="text1" w:themeTint="80"/>
      <w:sz w:val="28"/>
    </w:rPr>
  </w:style>
  <w:style w:type="numbering" w:customStyle="1" w:styleId="Cebrlist">
    <w:name w:val="Cebr list"/>
    <w:uiPriority w:val="99"/>
    <w:rsid w:val="00F6094A"/>
    <w:pPr>
      <w:numPr>
        <w:numId w:val="10"/>
      </w:numPr>
    </w:pPr>
  </w:style>
  <w:style w:type="character" w:customStyle="1" w:styleId="Heading3Char">
    <w:name w:val="Heading 3 Char"/>
    <w:basedOn w:val="DefaultParagraphFont"/>
    <w:link w:val="Heading3"/>
    <w:uiPriority w:val="9"/>
    <w:rsid w:val="00171DB7"/>
    <w:rPr>
      <w:rFonts w:asciiTheme="majorHAnsi" w:eastAsiaTheme="majorEastAsia" w:hAnsiTheme="majorHAnsi" w:cstheme="majorBidi"/>
      <w:b/>
      <w:bCs/>
      <w:color w:val="000000" w:themeColor="text1"/>
      <w:sz w:val="24"/>
    </w:rPr>
  </w:style>
  <w:style w:type="paragraph" w:styleId="TOC1">
    <w:name w:val="toc 1"/>
    <w:basedOn w:val="Normal"/>
    <w:next w:val="Normal"/>
    <w:autoRedefine/>
    <w:uiPriority w:val="39"/>
    <w:rsid w:val="006D2C9C"/>
    <w:pPr>
      <w:tabs>
        <w:tab w:val="right" w:pos="9402"/>
      </w:tabs>
      <w:spacing w:before="160" w:line="320" w:lineRule="atLeast"/>
    </w:pPr>
    <w:rPr>
      <w:b/>
      <w:color w:val="000000" w:themeColor="text1"/>
      <w:sz w:val="24"/>
    </w:rPr>
  </w:style>
  <w:style w:type="paragraph" w:styleId="TOC2">
    <w:name w:val="toc 2"/>
    <w:basedOn w:val="Normal"/>
    <w:next w:val="Normal"/>
    <w:autoRedefine/>
    <w:uiPriority w:val="39"/>
    <w:rsid w:val="00207BC4"/>
    <w:pPr>
      <w:tabs>
        <w:tab w:val="right" w:pos="9402"/>
      </w:tabs>
      <w:spacing w:before="40" w:line="320" w:lineRule="atLeast"/>
    </w:pPr>
    <w:rPr>
      <w:sz w:val="24"/>
    </w:rPr>
  </w:style>
  <w:style w:type="paragraph" w:styleId="TOC3">
    <w:name w:val="toc 3"/>
    <w:basedOn w:val="Normal"/>
    <w:next w:val="Normal"/>
    <w:autoRedefine/>
    <w:uiPriority w:val="39"/>
    <w:rsid w:val="006D2C9C"/>
    <w:pPr>
      <w:tabs>
        <w:tab w:val="left" w:pos="567"/>
        <w:tab w:val="right" w:pos="9402"/>
      </w:tabs>
      <w:spacing w:before="160" w:line="320" w:lineRule="atLeast"/>
      <w:ind w:left="567" w:hanging="567"/>
    </w:pPr>
    <w:rPr>
      <w:b/>
      <w:sz w:val="24"/>
    </w:rPr>
  </w:style>
  <w:style w:type="paragraph" w:styleId="TOC4">
    <w:name w:val="toc 4"/>
    <w:basedOn w:val="Normal"/>
    <w:next w:val="Normal"/>
    <w:autoRedefine/>
    <w:uiPriority w:val="39"/>
    <w:rsid w:val="006D2C9C"/>
    <w:pPr>
      <w:tabs>
        <w:tab w:val="left" w:pos="1134"/>
        <w:tab w:val="right" w:pos="9402"/>
      </w:tabs>
      <w:spacing w:before="40" w:line="320" w:lineRule="atLeast"/>
      <w:ind w:left="1134" w:hanging="567"/>
    </w:pPr>
    <w:rPr>
      <w:color w:val="000000" w:themeColor="text1"/>
      <w:sz w:val="24"/>
    </w:rPr>
  </w:style>
  <w:style w:type="character" w:styleId="Hyperlink">
    <w:name w:val="Hyperlink"/>
    <w:basedOn w:val="DefaultParagraphFont"/>
    <w:uiPriority w:val="99"/>
    <w:unhideWhenUsed/>
    <w:rsid w:val="00F6094A"/>
    <w:rPr>
      <w:color w:val="0000FF" w:themeColor="hyperlink"/>
      <w:u w:val="single"/>
    </w:rPr>
  </w:style>
  <w:style w:type="paragraph" w:styleId="FootnoteText">
    <w:name w:val="footnote text"/>
    <w:basedOn w:val="Normal"/>
    <w:link w:val="FootnoteTextChar"/>
    <w:uiPriority w:val="99"/>
    <w:unhideWhenUsed/>
    <w:rsid w:val="009B3EFC"/>
    <w:pPr>
      <w:spacing w:line="190" w:lineRule="atLeast"/>
    </w:pPr>
    <w:rPr>
      <w:position w:val="14"/>
      <w:sz w:val="16"/>
      <w:vertAlign w:val="superscript"/>
    </w:rPr>
  </w:style>
  <w:style w:type="character" w:customStyle="1" w:styleId="FootnoteTextChar">
    <w:name w:val="Footnote Text Char"/>
    <w:basedOn w:val="DefaultParagraphFont"/>
    <w:link w:val="FootnoteText"/>
    <w:uiPriority w:val="99"/>
    <w:rsid w:val="009B3EFC"/>
    <w:rPr>
      <w:rFonts w:asciiTheme="minorHAnsi" w:hAnsiTheme="minorHAnsi"/>
      <w:position w:val="14"/>
      <w:sz w:val="16"/>
      <w:vertAlign w:val="superscript"/>
    </w:rPr>
  </w:style>
  <w:style w:type="character" w:styleId="FootnoteReference">
    <w:name w:val="footnote reference"/>
    <w:aliases w:val="IER footnote"/>
    <w:basedOn w:val="DefaultParagraphFont"/>
    <w:uiPriority w:val="99"/>
    <w:unhideWhenUsed/>
    <w:rsid w:val="006C7E55"/>
    <w:rPr>
      <w:color w:val="auto"/>
      <w:position w:val="12"/>
      <w:sz w:val="16"/>
      <w:vertAlign w:val="superscript"/>
    </w:rPr>
  </w:style>
  <w:style w:type="character" w:customStyle="1" w:styleId="Heading4Char">
    <w:name w:val="Heading 4 Char"/>
    <w:basedOn w:val="DefaultParagraphFont"/>
    <w:link w:val="Heading4"/>
    <w:uiPriority w:val="9"/>
    <w:rsid w:val="00171DB7"/>
    <w:rPr>
      <w:rFonts w:asciiTheme="majorHAnsi" w:eastAsiaTheme="majorEastAsia" w:hAnsiTheme="majorHAnsi" w:cstheme="majorBidi"/>
      <w:bCs/>
      <w:iCs/>
      <w:color w:val="7F7F7F" w:themeColor="text1" w:themeTint="80"/>
      <w:sz w:val="24"/>
    </w:rPr>
  </w:style>
  <w:style w:type="paragraph" w:styleId="ListBullet2">
    <w:name w:val="List Bullet 2"/>
    <w:basedOn w:val="Normal"/>
    <w:uiPriority w:val="99"/>
    <w:qFormat/>
    <w:rsid w:val="00424F1F"/>
    <w:pPr>
      <w:numPr>
        <w:numId w:val="9"/>
      </w:numPr>
      <w:tabs>
        <w:tab w:val="left" w:pos="714"/>
      </w:tabs>
      <w:ind w:left="714" w:hanging="357"/>
    </w:pPr>
  </w:style>
  <w:style w:type="paragraph" w:customStyle="1" w:styleId="Contentstitle">
    <w:name w:val="Contents title"/>
    <w:basedOn w:val="Sectiontitle"/>
    <w:next w:val="Normal"/>
    <w:qFormat/>
    <w:rsid w:val="00D43EC4"/>
  </w:style>
  <w:style w:type="paragraph" w:styleId="ListBullet3">
    <w:name w:val="List Bullet 3"/>
    <w:basedOn w:val="Normal"/>
    <w:uiPriority w:val="99"/>
    <w:semiHidden/>
    <w:unhideWhenUsed/>
    <w:rsid w:val="00D64D35"/>
    <w:pPr>
      <w:numPr>
        <w:numId w:val="13"/>
      </w:numPr>
      <w:ind w:left="924" w:hanging="357"/>
      <w:contextualSpacing/>
    </w:pPr>
  </w:style>
  <w:style w:type="paragraph" w:styleId="Caption">
    <w:name w:val="caption"/>
    <w:basedOn w:val="Normal"/>
    <w:next w:val="Normal"/>
    <w:uiPriority w:val="35"/>
    <w:unhideWhenUsed/>
    <w:qFormat/>
    <w:rsid w:val="00F56145"/>
    <w:pPr>
      <w:spacing w:after="200"/>
    </w:pPr>
    <w:rPr>
      <w:i/>
      <w:iCs/>
      <w:color w:val="008C9B" w:themeColor="text2"/>
      <w:sz w:val="18"/>
      <w:szCs w:val="18"/>
    </w:rPr>
  </w:style>
  <w:style w:type="character" w:styleId="CommentReference">
    <w:name w:val="annotation reference"/>
    <w:basedOn w:val="DefaultParagraphFont"/>
    <w:uiPriority w:val="99"/>
    <w:semiHidden/>
    <w:unhideWhenUsed/>
    <w:rsid w:val="00765741"/>
    <w:rPr>
      <w:sz w:val="16"/>
      <w:szCs w:val="16"/>
    </w:rPr>
  </w:style>
  <w:style w:type="paragraph" w:styleId="CommentText">
    <w:name w:val="annotation text"/>
    <w:basedOn w:val="Normal"/>
    <w:link w:val="CommentTextChar"/>
    <w:uiPriority w:val="99"/>
    <w:semiHidden/>
    <w:unhideWhenUsed/>
    <w:rsid w:val="00765741"/>
    <w:rPr>
      <w:sz w:val="20"/>
    </w:rPr>
  </w:style>
  <w:style w:type="character" w:customStyle="1" w:styleId="CommentTextChar">
    <w:name w:val="Comment Text Char"/>
    <w:basedOn w:val="DefaultParagraphFont"/>
    <w:link w:val="CommentText"/>
    <w:uiPriority w:val="99"/>
    <w:semiHidden/>
    <w:rsid w:val="0076574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65741"/>
    <w:rPr>
      <w:b/>
      <w:bCs/>
    </w:rPr>
  </w:style>
  <w:style w:type="character" w:customStyle="1" w:styleId="CommentSubjectChar">
    <w:name w:val="Comment Subject Char"/>
    <w:basedOn w:val="CommentTextChar"/>
    <w:link w:val="CommentSubject"/>
    <w:uiPriority w:val="99"/>
    <w:semiHidden/>
    <w:rsid w:val="00765741"/>
    <w:rPr>
      <w:rFonts w:asciiTheme="minorHAnsi" w:hAnsiTheme="minorHAnsi"/>
      <w:b/>
      <w:bCs/>
    </w:rPr>
  </w:style>
  <w:style w:type="character" w:styleId="SubtleEmphasis">
    <w:name w:val="Subtle Emphasis"/>
    <w:basedOn w:val="DefaultParagraphFont"/>
    <w:uiPriority w:val="19"/>
    <w:qFormat/>
    <w:rsid w:val="00E9167B"/>
    <w:rPr>
      <w:i/>
      <w:iCs/>
      <w:color w:val="404040" w:themeColor="text1" w:themeTint="BF"/>
    </w:rPr>
  </w:style>
  <w:style w:type="character" w:customStyle="1" w:styleId="mw-headline">
    <w:name w:val="mw-headline"/>
    <w:basedOn w:val="DefaultParagraphFont"/>
    <w:rsid w:val="00DB624A"/>
  </w:style>
  <w:style w:type="character" w:customStyle="1" w:styleId="mw-editsection">
    <w:name w:val="mw-editsection"/>
    <w:basedOn w:val="DefaultParagraphFont"/>
    <w:rsid w:val="00DB624A"/>
  </w:style>
  <w:style w:type="character" w:customStyle="1" w:styleId="mw-editsection-bracket">
    <w:name w:val="mw-editsection-bracket"/>
    <w:basedOn w:val="DefaultParagraphFont"/>
    <w:rsid w:val="00DB624A"/>
  </w:style>
  <w:style w:type="paragraph" w:styleId="NormalWeb">
    <w:name w:val="Normal (Web)"/>
    <w:basedOn w:val="Normal"/>
    <w:uiPriority w:val="99"/>
    <w:semiHidden/>
    <w:unhideWhenUsed/>
    <w:rsid w:val="00DB624A"/>
    <w:pPr>
      <w:spacing w:before="100" w:beforeAutospacing="1" w:after="100" w:afterAutospacing="1"/>
    </w:pPr>
    <w:rPr>
      <w:rFonts w:ascii="Times New Roman" w:eastAsia="Times New Roman" w:hAnsi="Times New Roman"/>
      <w:sz w:val="24"/>
      <w:szCs w:val="24"/>
      <w:lang w:eastAsia="en-GB"/>
    </w:rPr>
  </w:style>
  <w:style w:type="paragraph" w:styleId="Revision">
    <w:name w:val="Revision"/>
    <w:hidden/>
    <w:uiPriority w:val="99"/>
    <w:semiHidden/>
    <w:rsid w:val="005876E0"/>
    <w:rPr>
      <w:rFonts w:asciiTheme="minorHAnsi" w:hAnsiTheme="minorHAnsi"/>
      <w:sz w:val="22"/>
    </w:rPr>
  </w:style>
  <w:style w:type="character" w:styleId="HTMLCite">
    <w:name w:val="HTML Cite"/>
    <w:basedOn w:val="DefaultParagraphFont"/>
    <w:uiPriority w:val="99"/>
    <w:semiHidden/>
    <w:unhideWhenUsed/>
    <w:rsid w:val="00D47FEA"/>
    <w:rPr>
      <w:i/>
      <w:iCs/>
    </w:rPr>
  </w:style>
  <w:style w:type="character" w:customStyle="1" w:styleId="Hyperlink1">
    <w:name w:val="Hyperlink1"/>
    <w:basedOn w:val="DefaultParagraphFont"/>
    <w:uiPriority w:val="99"/>
    <w:unhideWhenUsed/>
    <w:rsid w:val="009B2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3801">
      <w:bodyDiv w:val="1"/>
      <w:marLeft w:val="0"/>
      <w:marRight w:val="0"/>
      <w:marTop w:val="0"/>
      <w:marBottom w:val="0"/>
      <w:divBdr>
        <w:top w:val="none" w:sz="0" w:space="0" w:color="auto"/>
        <w:left w:val="none" w:sz="0" w:space="0" w:color="auto"/>
        <w:bottom w:val="none" w:sz="0" w:space="0" w:color="auto"/>
        <w:right w:val="none" w:sz="0" w:space="0" w:color="auto"/>
      </w:divBdr>
    </w:div>
    <w:div w:id="100029785">
      <w:bodyDiv w:val="1"/>
      <w:marLeft w:val="0"/>
      <w:marRight w:val="0"/>
      <w:marTop w:val="0"/>
      <w:marBottom w:val="0"/>
      <w:divBdr>
        <w:top w:val="none" w:sz="0" w:space="0" w:color="auto"/>
        <w:left w:val="none" w:sz="0" w:space="0" w:color="auto"/>
        <w:bottom w:val="none" w:sz="0" w:space="0" w:color="auto"/>
        <w:right w:val="none" w:sz="0" w:space="0" w:color="auto"/>
      </w:divBdr>
    </w:div>
    <w:div w:id="175654492">
      <w:bodyDiv w:val="1"/>
      <w:marLeft w:val="0"/>
      <w:marRight w:val="0"/>
      <w:marTop w:val="0"/>
      <w:marBottom w:val="0"/>
      <w:divBdr>
        <w:top w:val="none" w:sz="0" w:space="0" w:color="auto"/>
        <w:left w:val="none" w:sz="0" w:space="0" w:color="auto"/>
        <w:bottom w:val="none" w:sz="0" w:space="0" w:color="auto"/>
        <w:right w:val="none" w:sz="0" w:space="0" w:color="auto"/>
      </w:divBdr>
    </w:div>
    <w:div w:id="235945289">
      <w:bodyDiv w:val="1"/>
      <w:marLeft w:val="0"/>
      <w:marRight w:val="0"/>
      <w:marTop w:val="0"/>
      <w:marBottom w:val="0"/>
      <w:divBdr>
        <w:top w:val="none" w:sz="0" w:space="0" w:color="auto"/>
        <w:left w:val="none" w:sz="0" w:space="0" w:color="auto"/>
        <w:bottom w:val="none" w:sz="0" w:space="0" w:color="auto"/>
        <w:right w:val="none" w:sz="0" w:space="0" w:color="auto"/>
      </w:divBdr>
    </w:div>
    <w:div w:id="250238852">
      <w:bodyDiv w:val="1"/>
      <w:marLeft w:val="0"/>
      <w:marRight w:val="0"/>
      <w:marTop w:val="0"/>
      <w:marBottom w:val="0"/>
      <w:divBdr>
        <w:top w:val="none" w:sz="0" w:space="0" w:color="auto"/>
        <w:left w:val="none" w:sz="0" w:space="0" w:color="auto"/>
        <w:bottom w:val="none" w:sz="0" w:space="0" w:color="auto"/>
        <w:right w:val="none" w:sz="0" w:space="0" w:color="auto"/>
      </w:divBdr>
    </w:div>
    <w:div w:id="273563230">
      <w:bodyDiv w:val="1"/>
      <w:marLeft w:val="0"/>
      <w:marRight w:val="0"/>
      <w:marTop w:val="0"/>
      <w:marBottom w:val="0"/>
      <w:divBdr>
        <w:top w:val="none" w:sz="0" w:space="0" w:color="auto"/>
        <w:left w:val="none" w:sz="0" w:space="0" w:color="auto"/>
        <w:bottom w:val="none" w:sz="0" w:space="0" w:color="auto"/>
        <w:right w:val="none" w:sz="0" w:space="0" w:color="auto"/>
      </w:divBdr>
    </w:div>
    <w:div w:id="293339458">
      <w:bodyDiv w:val="1"/>
      <w:marLeft w:val="0"/>
      <w:marRight w:val="0"/>
      <w:marTop w:val="0"/>
      <w:marBottom w:val="0"/>
      <w:divBdr>
        <w:top w:val="none" w:sz="0" w:space="0" w:color="auto"/>
        <w:left w:val="none" w:sz="0" w:space="0" w:color="auto"/>
        <w:bottom w:val="none" w:sz="0" w:space="0" w:color="auto"/>
        <w:right w:val="none" w:sz="0" w:space="0" w:color="auto"/>
      </w:divBdr>
    </w:div>
    <w:div w:id="295186403">
      <w:bodyDiv w:val="1"/>
      <w:marLeft w:val="0"/>
      <w:marRight w:val="0"/>
      <w:marTop w:val="0"/>
      <w:marBottom w:val="0"/>
      <w:divBdr>
        <w:top w:val="none" w:sz="0" w:space="0" w:color="auto"/>
        <w:left w:val="none" w:sz="0" w:space="0" w:color="auto"/>
        <w:bottom w:val="none" w:sz="0" w:space="0" w:color="auto"/>
        <w:right w:val="none" w:sz="0" w:space="0" w:color="auto"/>
      </w:divBdr>
    </w:div>
    <w:div w:id="320044171">
      <w:bodyDiv w:val="1"/>
      <w:marLeft w:val="0"/>
      <w:marRight w:val="0"/>
      <w:marTop w:val="0"/>
      <w:marBottom w:val="0"/>
      <w:divBdr>
        <w:top w:val="none" w:sz="0" w:space="0" w:color="auto"/>
        <w:left w:val="none" w:sz="0" w:space="0" w:color="auto"/>
        <w:bottom w:val="none" w:sz="0" w:space="0" w:color="auto"/>
        <w:right w:val="none" w:sz="0" w:space="0" w:color="auto"/>
      </w:divBdr>
    </w:div>
    <w:div w:id="368262689">
      <w:bodyDiv w:val="1"/>
      <w:marLeft w:val="0"/>
      <w:marRight w:val="0"/>
      <w:marTop w:val="0"/>
      <w:marBottom w:val="0"/>
      <w:divBdr>
        <w:top w:val="none" w:sz="0" w:space="0" w:color="auto"/>
        <w:left w:val="none" w:sz="0" w:space="0" w:color="auto"/>
        <w:bottom w:val="none" w:sz="0" w:space="0" w:color="auto"/>
        <w:right w:val="none" w:sz="0" w:space="0" w:color="auto"/>
      </w:divBdr>
    </w:div>
    <w:div w:id="398360420">
      <w:bodyDiv w:val="1"/>
      <w:marLeft w:val="0"/>
      <w:marRight w:val="0"/>
      <w:marTop w:val="0"/>
      <w:marBottom w:val="0"/>
      <w:divBdr>
        <w:top w:val="none" w:sz="0" w:space="0" w:color="auto"/>
        <w:left w:val="none" w:sz="0" w:space="0" w:color="auto"/>
        <w:bottom w:val="none" w:sz="0" w:space="0" w:color="auto"/>
        <w:right w:val="none" w:sz="0" w:space="0" w:color="auto"/>
      </w:divBdr>
    </w:div>
    <w:div w:id="425737208">
      <w:bodyDiv w:val="1"/>
      <w:marLeft w:val="0"/>
      <w:marRight w:val="0"/>
      <w:marTop w:val="0"/>
      <w:marBottom w:val="0"/>
      <w:divBdr>
        <w:top w:val="none" w:sz="0" w:space="0" w:color="auto"/>
        <w:left w:val="none" w:sz="0" w:space="0" w:color="auto"/>
        <w:bottom w:val="none" w:sz="0" w:space="0" w:color="auto"/>
        <w:right w:val="none" w:sz="0" w:space="0" w:color="auto"/>
      </w:divBdr>
    </w:div>
    <w:div w:id="549342976">
      <w:bodyDiv w:val="1"/>
      <w:marLeft w:val="0"/>
      <w:marRight w:val="0"/>
      <w:marTop w:val="0"/>
      <w:marBottom w:val="0"/>
      <w:divBdr>
        <w:top w:val="none" w:sz="0" w:space="0" w:color="auto"/>
        <w:left w:val="none" w:sz="0" w:space="0" w:color="auto"/>
        <w:bottom w:val="none" w:sz="0" w:space="0" w:color="auto"/>
        <w:right w:val="none" w:sz="0" w:space="0" w:color="auto"/>
      </w:divBdr>
    </w:div>
    <w:div w:id="557937561">
      <w:bodyDiv w:val="1"/>
      <w:marLeft w:val="0"/>
      <w:marRight w:val="0"/>
      <w:marTop w:val="0"/>
      <w:marBottom w:val="0"/>
      <w:divBdr>
        <w:top w:val="none" w:sz="0" w:space="0" w:color="auto"/>
        <w:left w:val="none" w:sz="0" w:space="0" w:color="auto"/>
        <w:bottom w:val="none" w:sz="0" w:space="0" w:color="auto"/>
        <w:right w:val="none" w:sz="0" w:space="0" w:color="auto"/>
      </w:divBdr>
    </w:div>
    <w:div w:id="603653673">
      <w:bodyDiv w:val="1"/>
      <w:marLeft w:val="0"/>
      <w:marRight w:val="0"/>
      <w:marTop w:val="0"/>
      <w:marBottom w:val="0"/>
      <w:divBdr>
        <w:top w:val="none" w:sz="0" w:space="0" w:color="auto"/>
        <w:left w:val="none" w:sz="0" w:space="0" w:color="auto"/>
        <w:bottom w:val="none" w:sz="0" w:space="0" w:color="auto"/>
        <w:right w:val="none" w:sz="0" w:space="0" w:color="auto"/>
      </w:divBdr>
    </w:div>
    <w:div w:id="649485538">
      <w:bodyDiv w:val="1"/>
      <w:marLeft w:val="0"/>
      <w:marRight w:val="0"/>
      <w:marTop w:val="0"/>
      <w:marBottom w:val="0"/>
      <w:divBdr>
        <w:top w:val="none" w:sz="0" w:space="0" w:color="auto"/>
        <w:left w:val="none" w:sz="0" w:space="0" w:color="auto"/>
        <w:bottom w:val="none" w:sz="0" w:space="0" w:color="auto"/>
        <w:right w:val="none" w:sz="0" w:space="0" w:color="auto"/>
      </w:divBdr>
    </w:div>
    <w:div w:id="659886857">
      <w:bodyDiv w:val="1"/>
      <w:marLeft w:val="0"/>
      <w:marRight w:val="0"/>
      <w:marTop w:val="0"/>
      <w:marBottom w:val="0"/>
      <w:divBdr>
        <w:top w:val="none" w:sz="0" w:space="0" w:color="auto"/>
        <w:left w:val="none" w:sz="0" w:space="0" w:color="auto"/>
        <w:bottom w:val="none" w:sz="0" w:space="0" w:color="auto"/>
        <w:right w:val="none" w:sz="0" w:space="0" w:color="auto"/>
      </w:divBdr>
    </w:div>
    <w:div w:id="679116172">
      <w:bodyDiv w:val="1"/>
      <w:marLeft w:val="0"/>
      <w:marRight w:val="0"/>
      <w:marTop w:val="0"/>
      <w:marBottom w:val="0"/>
      <w:divBdr>
        <w:top w:val="none" w:sz="0" w:space="0" w:color="auto"/>
        <w:left w:val="none" w:sz="0" w:space="0" w:color="auto"/>
        <w:bottom w:val="none" w:sz="0" w:space="0" w:color="auto"/>
        <w:right w:val="none" w:sz="0" w:space="0" w:color="auto"/>
      </w:divBdr>
    </w:div>
    <w:div w:id="735399336">
      <w:bodyDiv w:val="1"/>
      <w:marLeft w:val="0"/>
      <w:marRight w:val="0"/>
      <w:marTop w:val="0"/>
      <w:marBottom w:val="0"/>
      <w:divBdr>
        <w:top w:val="none" w:sz="0" w:space="0" w:color="auto"/>
        <w:left w:val="none" w:sz="0" w:space="0" w:color="auto"/>
        <w:bottom w:val="none" w:sz="0" w:space="0" w:color="auto"/>
        <w:right w:val="none" w:sz="0" w:space="0" w:color="auto"/>
      </w:divBdr>
    </w:div>
    <w:div w:id="753361891">
      <w:bodyDiv w:val="1"/>
      <w:marLeft w:val="0"/>
      <w:marRight w:val="0"/>
      <w:marTop w:val="0"/>
      <w:marBottom w:val="0"/>
      <w:divBdr>
        <w:top w:val="none" w:sz="0" w:space="0" w:color="auto"/>
        <w:left w:val="none" w:sz="0" w:space="0" w:color="auto"/>
        <w:bottom w:val="none" w:sz="0" w:space="0" w:color="auto"/>
        <w:right w:val="none" w:sz="0" w:space="0" w:color="auto"/>
      </w:divBdr>
    </w:div>
    <w:div w:id="762608867">
      <w:bodyDiv w:val="1"/>
      <w:marLeft w:val="0"/>
      <w:marRight w:val="0"/>
      <w:marTop w:val="0"/>
      <w:marBottom w:val="0"/>
      <w:divBdr>
        <w:top w:val="none" w:sz="0" w:space="0" w:color="auto"/>
        <w:left w:val="none" w:sz="0" w:space="0" w:color="auto"/>
        <w:bottom w:val="none" w:sz="0" w:space="0" w:color="auto"/>
        <w:right w:val="none" w:sz="0" w:space="0" w:color="auto"/>
      </w:divBdr>
    </w:div>
    <w:div w:id="769743499">
      <w:bodyDiv w:val="1"/>
      <w:marLeft w:val="0"/>
      <w:marRight w:val="0"/>
      <w:marTop w:val="0"/>
      <w:marBottom w:val="0"/>
      <w:divBdr>
        <w:top w:val="none" w:sz="0" w:space="0" w:color="auto"/>
        <w:left w:val="none" w:sz="0" w:space="0" w:color="auto"/>
        <w:bottom w:val="none" w:sz="0" w:space="0" w:color="auto"/>
        <w:right w:val="none" w:sz="0" w:space="0" w:color="auto"/>
      </w:divBdr>
    </w:div>
    <w:div w:id="826868917">
      <w:bodyDiv w:val="1"/>
      <w:marLeft w:val="0"/>
      <w:marRight w:val="0"/>
      <w:marTop w:val="0"/>
      <w:marBottom w:val="0"/>
      <w:divBdr>
        <w:top w:val="none" w:sz="0" w:space="0" w:color="auto"/>
        <w:left w:val="none" w:sz="0" w:space="0" w:color="auto"/>
        <w:bottom w:val="none" w:sz="0" w:space="0" w:color="auto"/>
        <w:right w:val="none" w:sz="0" w:space="0" w:color="auto"/>
      </w:divBdr>
    </w:div>
    <w:div w:id="850410700">
      <w:bodyDiv w:val="1"/>
      <w:marLeft w:val="0"/>
      <w:marRight w:val="0"/>
      <w:marTop w:val="0"/>
      <w:marBottom w:val="0"/>
      <w:divBdr>
        <w:top w:val="none" w:sz="0" w:space="0" w:color="auto"/>
        <w:left w:val="none" w:sz="0" w:space="0" w:color="auto"/>
        <w:bottom w:val="none" w:sz="0" w:space="0" w:color="auto"/>
        <w:right w:val="none" w:sz="0" w:space="0" w:color="auto"/>
      </w:divBdr>
    </w:div>
    <w:div w:id="873809336">
      <w:bodyDiv w:val="1"/>
      <w:marLeft w:val="0"/>
      <w:marRight w:val="0"/>
      <w:marTop w:val="0"/>
      <w:marBottom w:val="0"/>
      <w:divBdr>
        <w:top w:val="none" w:sz="0" w:space="0" w:color="auto"/>
        <w:left w:val="none" w:sz="0" w:space="0" w:color="auto"/>
        <w:bottom w:val="none" w:sz="0" w:space="0" w:color="auto"/>
        <w:right w:val="none" w:sz="0" w:space="0" w:color="auto"/>
      </w:divBdr>
    </w:div>
    <w:div w:id="939293584">
      <w:bodyDiv w:val="1"/>
      <w:marLeft w:val="0"/>
      <w:marRight w:val="0"/>
      <w:marTop w:val="0"/>
      <w:marBottom w:val="0"/>
      <w:divBdr>
        <w:top w:val="none" w:sz="0" w:space="0" w:color="auto"/>
        <w:left w:val="none" w:sz="0" w:space="0" w:color="auto"/>
        <w:bottom w:val="none" w:sz="0" w:space="0" w:color="auto"/>
        <w:right w:val="none" w:sz="0" w:space="0" w:color="auto"/>
      </w:divBdr>
    </w:div>
    <w:div w:id="989166194">
      <w:bodyDiv w:val="1"/>
      <w:marLeft w:val="0"/>
      <w:marRight w:val="0"/>
      <w:marTop w:val="0"/>
      <w:marBottom w:val="0"/>
      <w:divBdr>
        <w:top w:val="none" w:sz="0" w:space="0" w:color="auto"/>
        <w:left w:val="none" w:sz="0" w:space="0" w:color="auto"/>
        <w:bottom w:val="none" w:sz="0" w:space="0" w:color="auto"/>
        <w:right w:val="none" w:sz="0" w:space="0" w:color="auto"/>
      </w:divBdr>
    </w:div>
    <w:div w:id="992176600">
      <w:bodyDiv w:val="1"/>
      <w:marLeft w:val="0"/>
      <w:marRight w:val="0"/>
      <w:marTop w:val="0"/>
      <w:marBottom w:val="0"/>
      <w:divBdr>
        <w:top w:val="none" w:sz="0" w:space="0" w:color="auto"/>
        <w:left w:val="none" w:sz="0" w:space="0" w:color="auto"/>
        <w:bottom w:val="none" w:sz="0" w:space="0" w:color="auto"/>
        <w:right w:val="none" w:sz="0" w:space="0" w:color="auto"/>
      </w:divBdr>
    </w:div>
    <w:div w:id="996495289">
      <w:bodyDiv w:val="1"/>
      <w:marLeft w:val="0"/>
      <w:marRight w:val="0"/>
      <w:marTop w:val="0"/>
      <w:marBottom w:val="0"/>
      <w:divBdr>
        <w:top w:val="none" w:sz="0" w:space="0" w:color="auto"/>
        <w:left w:val="none" w:sz="0" w:space="0" w:color="auto"/>
        <w:bottom w:val="none" w:sz="0" w:space="0" w:color="auto"/>
        <w:right w:val="none" w:sz="0" w:space="0" w:color="auto"/>
      </w:divBdr>
    </w:div>
    <w:div w:id="1004430230">
      <w:bodyDiv w:val="1"/>
      <w:marLeft w:val="0"/>
      <w:marRight w:val="0"/>
      <w:marTop w:val="0"/>
      <w:marBottom w:val="0"/>
      <w:divBdr>
        <w:top w:val="none" w:sz="0" w:space="0" w:color="auto"/>
        <w:left w:val="none" w:sz="0" w:space="0" w:color="auto"/>
        <w:bottom w:val="none" w:sz="0" w:space="0" w:color="auto"/>
        <w:right w:val="none" w:sz="0" w:space="0" w:color="auto"/>
      </w:divBdr>
    </w:div>
    <w:div w:id="1006907132">
      <w:bodyDiv w:val="1"/>
      <w:marLeft w:val="0"/>
      <w:marRight w:val="0"/>
      <w:marTop w:val="0"/>
      <w:marBottom w:val="0"/>
      <w:divBdr>
        <w:top w:val="none" w:sz="0" w:space="0" w:color="auto"/>
        <w:left w:val="none" w:sz="0" w:space="0" w:color="auto"/>
        <w:bottom w:val="none" w:sz="0" w:space="0" w:color="auto"/>
        <w:right w:val="none" w:sz="0" w:space="0" w:color="auto"/>
      </w:divBdr>
    </w:div>
    <w:div w:id="1050109591">
      <w:bodyDiv w:val="1"/>
      <w:marLeft w:val="0"/>
      <w:marRight w:val="0"/>
      <w:marTop w:val="0"/>
      <w:marBottom w:val="0"/>
      <w:divBdr>
        <w:top w:val="none" w:sz="0" w:space="0" w:color="auto"/>
        <w:left w:val="none" w:sz="0" w:space="0" w:color="auto"/>
        <w:bottom w:val="none" w:sz="0" w:space="0" w:color="auto"/>
        <w:right w:val="none" w:sz="0" w:space="0" w:color="auto"/>
      </w:divBdr>
    </w:div>
    <w:div w:id="1056390862">
      <w:bodyDiv w:val="1"/>
      <w:marLeft w:val="0"/>
      <w:marRight w:val="0"/>
      <w:marTop w:val="0"/>
      <w:marBottom w:val="0"/>
      <w:divBdr>
        <w:top w:val="none" w:sz="0" w:space="0" w:color="auto"/>
        <w:left w:val="none" w:sz="0" w:space="0" w:color="auto"/>
        <w:bottom w:val="none" w:sz="0" w:space="0" w:color="auto"/>
        <w:right w:val="none" w:sz="0" w:space="0" w:color="auto"/>
      </w:divBdr>
    </w:div>
    <w:div w:id="1108352678">
      <w:bodyDiv w:val="1"/>
      <w:marLeft w:val="0"/>
      <w:marRight w:val="0"/>
      <w:marTop w:val="0"/>
      <w:marBottom w:val="0"/>
      <w:divBdr>
        <w:top w:val="none" w:sz="0" w:space="0" w:color="auto"/>
        <w:left w:val="none" w:sz="0" w:space="0" w:color="auto"/>
        <w:bottom w:val="none" w:sz="0" w:space="0" w:color="auto"/>
        <w:right w:val="none" w:sz="0" w:space="0" w:color="auto"/>
      </w:divBdr>
    </w:div>
    <w:div w:id="1131825699">
      <w:bodyDiv w:val="1"/>
      <w:marLeft w:val="0"/>
      <w:marRight w:val="0"/>
      <w:marTop w:val="0"/>
      <w:marBottom w:val="0"/>
      <w:divBdr>
        <w:top w:val="none" w:sz="0" w:space="0" w:color="auto"/>
        <w:left w:val="none" w:sz="0" w:space="0" w:color="auto"/>
        <w:bottom w:val="none" w:sz="0" w:space="0" w:color="auto"/>
        <w:right w:val="none" w:sz="0" w:space="0" w:color="auto"/>
      </w:divBdr>
    </w:div>
    <w:div w:id="1147629410">
      <w:bodyDiv w:val="1"/>
      <w:marLeft w:val="0"/>
      <w:marRight w:val="0"/>
      <w:marTop w:val="0"/>
      <w:marBottom w:val="0"/>
      <w:divBdr>
        <w:top w:val="none" w:sz="0" w:space="0" w:color="auto"/>
        <w:left w:val="none" w:sz="0" w:space="0" w:color="auto"/>
        <w:bottom w:val="none" w:sz="0" w:space="0" w:color="auto"/>
        <w:right w:val="none" w:sz="0" w:space="0" w:color="auto"/>
      </w:divBdr>
    </w:div>
    <w:div w:id="1177379096">
      <w:bodyDiv w:val="1"/>
      <w:marLeft w:val="0"/>
      <w:marRight w:val="0"/>
      <w:marTop w:val="0"/>
      <w:marBottom w:val="0"/>
      <w:divBdr>
        <w:top w:val="none" w:sz="0" w:space="0" w:color="auto"/>
        <w:left w:val="none" w:sz="0" w:space="0" w:color="auto"/>
        <w:bottom w:val="none" w:sz="0" w:space="0" w:color="auto"/>
        <w:right w:val="none" w:sz="0" w:space="0" w:color="auto"/>
      </w:divBdr>
    </w:div>
    <w:div w:id="1246572841">
      <w:bodyDiv w:val="1"/>
      <w:marLeft w:val="0"/>
      <w:marRight w:val="0"/>
      <w:marTop w:val="0"/>
      <w:marBottom w:val="0"/>
      <w:divBdr>
        <w:top w:val="none" w:sz="0" w:space="0" w:color="auto"/>
        <w:left w:val="none" w:sz="0" w:space="0" w:color="auto"/>
        <w:bottom w:val="none" w:sz="0" w:space="0" w:color="auto"/>
        <w:right w:val="none" w:sz="0" w:space="0" w:color="auto"/>
      </w:divBdr>
    </w:div>
    <w:div w:id="1270940424">
      <w:bodyDiv w:val="1"/>
      <w:marLeft w:val="0"/>
      <w:marRight w:val="0"/>
      <w:marTop w:val="0"/>
      <w:marBottom w:val="0"/>
      <w:divBdr>
        <w:top w:val="none" w:sz="0" w:space="0" w:color="auto"/>
        <w:left w:val="none" w:sz="0" w:space="0" w:color="auto"/>
        <w:bottom w:val="none" w:sz="0" w:space="0" w:color="auto"/>
        <w:right w:val="none" w:sz="0" w:space="0" w:color="auto"/>
      </w:divBdr>
    </w:div>
    <w:div w:id="1341002618">
      <w:bodyDiv w:val="1"/>
      <w:marLeft w:val="0"/>
      <w:marRight w:val="0"/>
      <w:marTop w:val="0"/>
      <w:marBottom w:val="0"/>
      <w:divBdr>
        <w:top w:val="none" w:sz="0" w:space="0" w:color="auto"/>
        <w:left w:val="none" w:sz="0" w:space="0" w:color="auto"/>
        <w:bottom w:val="none" w:sz="0" w:space="0" w:color="auto"/>
        <w:right w:val="none" w:sz="0" w:space="0" w:color="auto"/>
      </w:divBdr>
    </w:div>
    <w:div w:id="1360276415">
      <w:bodyDiv w:val="1"/>
      <w:marLeft w:val="0"/>
      <w:marRight w:val="0"/>
      <w:marTop w:val="0"/>
      <w:marBottom w:val="0"/>
      <w:divBdr>
        <w:top w:val="none" w:sz="0" w:space="0" w:color="auto"/>
        <w:left w:val="none" w:sz="0" w:space="0" w:color="auto"/>
        <w:bottom w:val="none" w:sz="0" w:space="0" w:color="auto"/>
        <w:right w:val="none" w:sz="0" w:space="0" w:color="auto"/>
      </w:divBdr>
    </w:div>
    <w:div w:id="1385449834">
      <w:bodyDiv w:val="1"/>
      <w:marLeft w:val="0"/>
      <w:marRight w:val="0"/>
      <w:marTop w:val="0"/>
      <w:marBottom w:val="0"/>
      <w:divBdr>
        <w:top w:val="none" w:sz="0" w:space="0" w:color="auto"/>
        <w:left w:val="none" w:sz="0" w:space="0" w:color="auto"/>
        <w:bottom w:val="none" w:sz="0" w:space="0" w:color="auto"/>
        <w:right w:val="none" w:sz="0" w:space="0" w:color="auto"/>
      </w:divBdr>
    </w:div>
    <w:div w:id="1397439635">
      <w:bodyDiv w:val="1"/>
      <w:marLeft w:val="0"/>
      <w:marRight w:val="0"/>
      <w:marTop w:val="0"/>
      <w:marBottom w:val="0"/>
      <w:divBdr>
        <w:top w:val="none" w:sz="0" w:space="0" w:color="auto"/>
        <w:left w:val="none" w:sz="0" w:space="0" w:color="auto"/>
        <w:bottom w:val="none" w:sz="0" w:space="0" w:color="auto"/>
        <w:right w:val="none" w:sz="0" w:space="0" w:color="auto"/>
      </w:divBdr>
    </w:div>
    <w:div w:id="1423835670">
      <w:bodyDiv w:val="1"/>
      <w:marLeft w:val="0"/>
      <w:marRight w:val="0"/>
      <w:marTop w:val="0"/>
      <w:marBottom w:val="0"/>
      <w:divBdr>
        <w:top w:val="none" w:sz="0" w:space="0" w:color="auto"/>
        <w:left w:val="none" w:sz="0" w:space="0" w:color="auto"/>
        <w:bottom w:val="none" w:sz="0" w:space="0" w:color="auto"/>
        <w:right w:val="none" w:sz="0" w:space="0" w:color="auto"/>
      </w:divBdr>
    </w:div>
    <w:div w:id="1432315119">
      <w:bodyDiv w:val="1"/>
      <w:marLeft w:val="0"/>
      <w:marRight w:val="0"/>
      <w:marTop w:val="0"/>
      <w:marBottom w:val="0"/>
      <w:divBdr>
        <w:top w:val="none" w:sz="0" w:space="0" w:color="auto"/>
        <w:left w:val="none" w:sz="0" w:space="0" w:color="auto"/>
        <w:bottom w:val="none" w:sz="0" w:space="0" w:color="auto"/>
        <w:right w:val="none" w:sz="0" w:space="0" w:color="auto"/>
      </w:divBdr>
    </w:div>
    <w:div w:id="1453210271">
      <w:bodyDiv w:val="1"/>
      <w:marLeft w:val="0"/>
      <w:marRight w:val="0"/>
      <w:marTop w:val="0"/>
      <w:marBottom w:val="0"/>
      <w:divBdr>
        <w:top w:val="none" w:sz="0" w:space="0" w:color="auto"/>
        <w:left w:val="none" w:sz="0" w:space="0" w:color="auto"/>
        <w:bottom w:val="none" w:sz="0" w:space="0" w:color="auto"/>
        <w:right w:val="none" w:sz="0" w:space="0" w:color="auto"/>
      </w:divBdr>
    </w:div>
    <w:div w:id="1513571317">
      <w:bodyDiv w:val="1"/>
      <w:marLeft w:val="0"/>
      <w:marRight w:val="0"/>
      <w:marTop w:val="0"/>
      <w:marBottom w:val="0"/>
      <w:divBdr>
        <w:top w:val="none" w:sz="0" w:space="0" w:color="auto"/>
        <w:left w:val="none" w:sz="0" w:space="0" w:color="auto"/>
        <w:bottom w:val="none" w:sz="0" w:space="0" w:color="auto"/>
        <w:right w:val="none" w:sz="0" w:space="0" w:color="auto"/>
      </w:divBdr>
    </w:div>
    <w:div w:id="1527211368">
      <w:bodyDiv w:val="1"/>
      <w:marLeft w:val="0"/>
      <w:marRight w:val="0"/>
      <w:marTop w:val="0"/>
      <w:marBottom w:val="0"/>
      <w:divBdr>
        <w:top w:val="none" w:sz="0" w:space="0" w:color="auto"/>
        <w:left w:val="none" w:sz="0" w:space="0" w:color="auto"/>
        <w:bottom w:val="none" w:sz="0" w:space="0" w:color="auto"/>
        <w:right w:val="none" w:sz="0" w:space="0" w:color="auto"/>
      </w:divBdr>
    </w:div>
    <w:div w:id="1535194304">
      <w:bodyDiv w:val="1"/>
      <w:marLeft w:val="0"/>
      <w:marRight w:val="0"/>
      <w:marTop w:val="0"/>
      <w:marBottom w:val="0"/>
      <w:divBdr>
        <w:top w:val="none" w:sz="0" w:space="0" w:color="auto"/>
        <w:left w:val="none" w:sz="0" w:space="0" w:color="auto"/>
        <w:bottom w:val="none" w:sz="0" w:space="0" w:color="auto"/>
        <w:right w:val="none" w:sz="0" w:space="0" w:color="auto"/>
      </w:divBdr>
    </w:div>
    <w:div w:id="1548370121">
      <w:bodyDiv w:val="1"/>
      <w:marLeft w:val="0"/>
      <w:marRight w:val="0"/>
      <w:marTop w:val="0"/>
      <w:marBottom w:val="0"/>
      <w:divBdr>
        <w:top w:val="none" w:sz="0" w:space="0" w:color="auto"/>
        <w:left w:val="none" w:sz="0" w:space="0" w:color="auto"/>
        <w:bottom w:val="none" w:sz="0" w:space="0" w:color="auto"/>
        <w:right w:val="none" w:sz="0" w:space="0" w:color="auto"/>
      </w:divBdr>
    </w:div>
    <w:div w:id="1656567018">
      <w:bodyDiv w:val="1"/>
      <w:marLeft w:val="0"/>
      <w:marRight w:val="0"/>
      <w:marTop w:val="0"/>
      <w:marBottom w:val="0"/>
      <w:divBdr>
        <w:top w:val="none" w:sz="0" w:space="0" w:color="auto"/>
        <w:left w:val="none" w:sz="0" w:space="0" w:color="auto"/>
        <w:bottom w:val="none" w:sz="0" w:space="0" w:color="auto"/>
        <w:right w:val="none" w:sz="0" w:space="0" w:color="auto"/>
      </w:divBdr>
    </w:div>
    <w:div w:id="1756894717">
      <w:bodyDiv w:val="1"/>
      <w:marLeft w:val="0"/>
      <w:marRight w:val="0"/>
      <w:marTop w:val="0"/>
      <w:marBottom w:val="0"/>
      <w:divBdr>
        <w:top w:val="none" w:sz="0" w:space="0" w:color="auto"/>
        <w:left w:val="none" w:sz="0" w:space="0" w:color="auto"/>
        <w:bottom w:val="none" w:sz="0" w:space="0" w:color="auto"/>
        <w:right w:val="none" w:sz="0" w:space="0" w:color="auto"/>
      </w:divBdr>
    </w:div>
    <w:div w:id="1784768216">
      <w:bodyDiv w:val="1"/>
      <w:marLeft w:val="0"/>
      <w:marRight w:val="0"/>
      <w:marTop w:val="0"/>
      <w:marBottom w:val="0"/>
      <w:divBdr>
        <w:top w:val="none" w:sz="0" w:space="0" w:color="auto"/>
        <w:left w:val="none" w:sz="0" w:space="0" w:color="auto"/>
        <w:bottom w:val="none" w:sz="0" w:space="0" w:color="auto"/>
        <w:right w:val="none" w:sz="0" w:space="0" w:color="auto"/>
      </w:divBdr>
    </w:div>
    <w:div w:id="1812205985">
      <w:bodyDiv w:val="1"/>
      <w:marLeft w:val="0"/>
      <w:marRight w:val="0"/>
      <w:marTop w:val="0"/>
      <w:marBottom w:val="0"/>
      <w:divBdr>
        <w:top w:val="none" w:sz="0" w:space="0" w:color="auto"/>
        <w:left w:val="none" w:sz="0" w:space="0" w:color="auto"/>
        <w:bottom w:val="none" w:sz="0" w:space="0" w:color="auto"/>
        <w:right w:val="none" w:sz="0" w:space="0" w:color="auto"/>
      </w:divBdr>
    </w:div>
    <w:div w:id="1878227443">
      <w:bodyDiv w:val="1"/>
      <w:marLeft w:val="0"/>
      <w:marRight w:val="0"/>
      <w:marTop w:val="0"/>
      <w:marBottom w:val="0"/>
      <w:divBdr>
        <w:top w:val="none" w:sz="0" w:space="0" w:color="auto"/>
        <w:left w:val="none" w:sz="0" w:space="0" w:color="auto"/>
        <w:bottom w:val="none" w:sz="0" w:space="0" w:color="auto"/>
        <w:right w:val="none" w:sz="0" w:space="0" w:color="auto"/>
      </w:divBdr>
    </w:div>
    <w:div w:id="1895653055">
      <w:bodyDiv w:val="1"/>
      <w:marLeft w:val="0"/>
      <w:marRight w:val="0"/>
      <w:marTop w:val="0"/>
      <w:marBottom w:val="0"/>
      <w:divBdr>
        <w:top w:val="none" w:sz="0" w:space="0" w:color="auto"/>
        <w:left w:val="none" w:sz="0" w:space="0" w:color="auto"/>
        <w:bottom w:val="none" w:sz="0" w:space="0" w:color="auto"/>
        <w:right w:val="none" w:sz="0" w:space="0" w:color="auto"/>
      </w:divBdr>
    </w:div>
    <w:div w:id="1916552015">
      <w:bodyDiv w:val="1"/>
      <w:marLeft w:val="0"/>
      <w:marRight w:val="0"/>
      <w:marTop w:val="0"/>
      <w:marBottom w:val="0"/>
      <w:divBdr>
        <w:top w:val="none" w:sz="0" w:space="0" w:color="auto"/>
        <w:left w:val="none" w:sz="0" w:space="0" w:color="auto"/>
        <w:bottom w:val="none" w:sz="0" w:space="0" w:color="auto"/>
        <w:right w:val="none" w:sz="0" w:space="0" w:color="auto"/>
      </w:divBdr>
    </w:div>
    <w:div w:id="1921018238">
      <w:bodyDiv w:val="1"/>
      <w:marLeft w:val="0"/>
      <w:marRight w:val="0"/>
      <w:marTop w:val="0"/>
      <w:marBottom w:val="0"/>
      <w:divBdr>
        <w:top w:val="none" w:sz="0" w:space="0" w:color="auto"/>
        <w:left w:val="none" w:sz="0" w:space="0" w:color="auto"/>
        <w:bottom w:val="none" w:sz="0" w:space="0" w:color="auto"/>
        <w:right w:val="none" w:sz="0" w:space="0" w:color="auto"/>
      </w:divBdr>
    </w:div>
    <w:div w:id="1933390823">
      <w:bodyDiv w:val="1"/>
      <w:marLeft w:val="0"/>
      <w:marRight w:val="0"/>
      <w:marTop w:val="0"/>
      <w:marBottom w:val="0"/>
      <w:divBdr>
        <w:top w:val="none" w:sz="0" w:space="0" w:color="auto"/>
        <w:left w:val="none" w:sz="0" w:space="0" w:color="auto"/>
        <w:bottom w:val="none" w:sz="0" w:space="0" w:color="auto"/>
        <w:right w:val="none" w:sz="0" w:space="0" w:color="auto"/>
      </w:divBdr>
    </w:div>
    <w:div w:id="1992516299">
      <w:bodyDiv w:val="1"/>
      <w:marLeft w:val="0"/>
      <w:marRight w:val="0"/>
      <w:marTop w:val="0"/>
      <w:marBottom w:val="0"/>
      <w:divBdr>
        <w:top w:val="none" w:sz="0" w:space="0" w:color="auto"/>
        <w:left w:val="none" w:sz="0" w:space="0" w:color="auto"/>
        <w:bottom w:val="none" w:sz="0" w:space="0" w:color="auto"/>
        <w:right w:val="none" w:sz="0" w:space="0" w:color="auto"/>
      </w:divBdr>
    </w:div>
    <w:div w:id="2003460547">
      <w:bodyDiv w:val="1"/>
      <w:marLeft w:val="0"/>
      <w:marRight w:val="0"/>
      <w:marTop w:val="0"/>
      <w:marBottom w:val="0"/>
      <w:divBdr>
        <w:top w:val="none" w:sz="0" w:space="0" w:color="auto"/>
        <w:left w:val="none" w:sz="0" w:space="0" w:color="auto"/>
        <w:bottom w:val="none" w:sz="0" w:space="0" w:color="auto"/>
        <w:right w:val="none" w:sz="0" w:space="0" w:color="auto"/>
      </w:divBdr>
    </w:div>
    <w:div w:id="2023043948">
      <w:bodyDiv w:val="1"/>
      <w:marLeft w:val="0"/>
      <w:marRight w:val="0"/>
      <w:marTop w:val="0"/>
      <w:marBottom w:val="0"/>
      <w:divBdr>
        <w:top w:val="none" w:sz="0" w:space="0" w:color="auto"/>
        <w:left w:val="none" w:sz="0" w:space="0" w:color="auto"/>
        <w:bottom w:val="none" w:sz="0" w:space="0" w:color="auto"/>
        <w:right w:val="none" w:sz="0" w:space="0" w:color="auto"/>
      </w:divBdr>
    </w:div>
    <w:div w:id="2027169060">
      <w:bodyDiv w:val="1"/>
      <w:marLeft w:val="0"/>
      <w:marRight w:val="0"/>
      <w:marTop w:val="0"/>
      <w:marBottom w:val="0"/>
      <w:divBdr>
        <w:top w:val="none" w:sz="0" w:space="0" w:color="auto"/>
        <w:left w:val="none" w:sz="0" w:space="0" w:color="auto"/>
        <w:bottom w:val="none" w:sz="0" w:space="0" w:color="auto"/>
        <w:right w:val="none" w:sz="0" w:space="0" w:color="auto"/>
      </w:divBdr>
    </w:div>
    <w:div w:id="2036882082">
      <w:bodyDiv w:val="1"/>
      <w:marLeft w:val="0"/>
      <w:marRight w:val="0"/>
      <w:marTop w:val="0"/>
      <w:marBottom w:val="0"/>
      <w:divBdr>
        <w:top w:val="none" w:sz="0" w:space="0" w:color="auto"/>
        <w:left w:val="none" w:sz="0" w:space="0" w:color="auto"/>
        <w:bottom w:val="none" w:sz="0" w:space="0" w:color="auto"/>
        <w:right w:val="none" w:sz="0" w:space="0" w:color="auto"/>
      </w:divBdr>
    </w:div>
    <w:div w:id="2055959048">
      <w:bodyDiv w:val="1"/>
      <w:marLeft w:val="0"/>
      <w:marRight w:val="0"/>
      <w:marTop w:val="0"/>
      <w:marBottom w:val="0"/>
      <w:divBdr>
        <w:top w:val="none" w:sz="0" w:space="0" w:color="auto"/>
        <w:left w:val="none" w:sz="0" w:space="0" w:color="auto"/>
        <w:bottom w:val="none" w:sz="0" w:space="0" w:color="auto"/>
        <w:right w:val="none" w:sz="0" w:space="0" w:color="auto"/>
      </w:divBdr>
    </w:div>
    <w:div w:id="2095466048">
      <w:bodyDiv w:val="1"/>
      <w:marLeft w:val="0"/>
      <w:marRight w:val="0"/>
      <w:marTop w:val="0"/>
      <w:marBottom w:val="0"/>
      <w:divBdr>
        <w:top w:val="none" w:sz="0" w:space="0" w:color="auto"/>
        <w:left w:val="none" w:sz="0" w:space="0" w:color="auto"/>
        <w:bottom w:val="none" w:sz="0" w:space="0" w:color="auto"/>
        <w:right w:val="none" w:sz="0" w:space="0" w:color="auto"/>
      </w:divBdr>
    </w:div>
    <w:div w:id="2101682880">
      <w:bodyDiv w:val="1"/>
      <w:marLeft w:val="0"/>
      <w:marRight w:val="0"/>
      <w:marTop w:val="0"/>
      <w:marBottom w:val="0"/>
      <w:divBdr>
        <w:top w:val="none" w:sz="0" w:space="0" w:color="auto"/>
        <w:left w:val="none" w:sz="0" w:space="0" w:color="auto"/>
        <w:bottom w:val="none" w:sz="0" w:space="0" w:color="auto"/>
        <w:right w:val="none" w:sz="0" w:space="0" w:color="auto"/>
      </w:divBdr>
      <w:divsChild>
        <w:div w:id="561449364">
          <w:marLeft w:val="0"/>
          <w:marRight w:val="0"/>
          <w:marTop w:val="0"/>
          <w:marBottom w:val="120"/>
          <w:divBdr>
            <w:top w:val="none" w:sz="0" w:space="0" w:color="auto"/>
            <w:left w:val="none" w:sz="0" w:space="0" w:color="auto"/>
            <w:bottom w:val="none" w:sz="0" w:space="0" w:color="auto"/>
            <w:right w:val="none" w:sz="0" w:space="0" w:color="auto"/>
          </w:divBdr>
        </w:div>
        <w:div w:id="1802379406">
          <w:marLeft w:val="0"/>
          <w:marRight w:val="336"/>
          <w:marTop w:val="120"/>
          <w:marBottom w:val="312"/>
          <w:divBdr>
            <w:top w:val="none" w:sz="0" w:space="0" w:color="auto"/>
            <w:left w:val="none" w:sz="0" w:space="0" w:color="auto"/>
            <w:bottom w:val="none" w:sz="0" w:space="0" w:color="auto"/>
            <w:right w:val="none" w:sz="0" w:space="0" w:color="auto"/>
          </w:divBdr>
          <w:divsChild>
            <w:div w:id="288392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cruise-international.com/175-years-of-po/" TargetMode="External"/><Relationship Id="rId13" Type="http://schemas.openxmlformats.org/officeDocument/2006/relationships/hyperlink" Target="https://www.pocruises.com/new-to-cruising" TargetMode="External"/><Relationship Id="rId3" Type="http://schemas.openxmlformats.org/officeDocument/2006/relationships/hyperlink" Target="https://www.ons.gov.uk/economy/inflationandpriceindices/timeseries/k3f8/mm22?referrer=search&amp;searchTerm=k3f8" TargetMode="External"/><Relationship Id="rId7" Type="http://schemas.openxmlformats.org/officeDocument/2006/relationships/hyperlink" Target="https://www.pocruises.com/new-to-cruising" TargetMode="External"/><Relationship Id="rId12" Type="http://schemas.openxmlformats.org/officeDocument/2006/relationships/hyperlink" Target="http://www.annualreports.co.uk/HostedData/AnnualReports/PDF/NYSE_CCL_2018.PDF" TargetMode="External"/><Relationship Id="rId17" Type="http://schemas.openxmlformats.org/officeDocument/2006/relationships/hyperlink" Target="https://www.gov.uk/government/news/defence-budget-increases-for-the-first-time-in-six-years" TargetMode="External"/><Relationship Id="rId2" Type="http://schemas.openxmlformats.org/officeDocument/2006/relationships/hyperlink" Target="https://www.uktradeinfo.com/Statistics/BuildYourOwnTables/Pages/Home.aspx" TargetMode="External"/><Relationship Id="rId16" Type="http://schemas.openxmlformats.org/officeDocument/2006/relationships/hyperlink" Target="https://www.oecd-ilibrary.org/economics/the-ocean-economy-in-2030/growth-prospects-challenges-and-uncertainties-for-selected-ocean-industries_9789264251724-10-en" TargetMode="External"/><Relationship Id="rId1" Type="http://schemas.openxmlformats.org/officeDocument/2006/relationships/hyperlink" Target="https://solentlep.org.uk/the-solent/map" TargetMode="External"/><Relationship Id="rId6" Type="http://schemas.openxmlformats.org/officeDocument/2006/relationships/hyperlink" Target="http://www.carnivalcorp.com/phoenix.zhtml?c=200767&amp;p=irol-prlanding" TargetMode="External"/><Relationship Id="rId11" Type="http://schemas.openxmlformats.org/officeDocument/2006/relationships/hyperlink" Target="https://www.maritime-executive.com/article/cruise-industry-poised-for-growth" TargetMode="External"/><Relationship Id="rId5" Type="http://schemas.openxmlformats.org/officeDocument/2006/relationships/hyperlink" Target="https://www.exxonmobil.co.uk/en-gb/company/uk-operations/refining-and-marketing/fawley-refinery" TargetMode="External"/><Relationship Id="rId15" Type="http://schemas.openxmlformats.org/officeDocument/2006/relationships/hyperlink" Target="https://eto.dnvgl.com/2018/maritime" TargetMode="External"/><Relationship Id="rId10" Type="http://schemas.openxmlformats.org/officeDocument/2006/relationships/hyperlink" Target="https://www.cunard.com/en-gb/cruise-ships/new-ship" TargetMode="External"/><Relationship Id="rId4" Type="http://schemas.openxmlformats.org/officeDocument/2006/relationships/hyperlink" Target="https://www.pocruises.com/cruise-destinations" TargetMode="External"/><Relationship Id="rId9" Type="http://schemas.openxmlformats.org/officeDocument/2006/relationships/hyperlink" Target="https://www.pocruises.com/environment" TargetMode="External"/><Relationship Id="rId14" Type="http://schemas.openxmlformats.org/officeDocument/2006/relationships/hyperlink" Target="https://unctad.org/en/pages/PublicationWebflyer.aspx?publicationid=22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Reports\Cebr_Word%20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br-fs01\company\Clients\Maritime%20UK\4821%20-%20MUK%20refresh\Solent%20LEP\Solent%20introduction%20comparisons\Summar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ebr-fs01\company\Clients\Maritime%20UK\4821%20-%20MUK%20refresh\Solent%20LEP\Downstream\Trade\Key%20analysis\Solent_final.XLS"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ebr-fs01\company\Clients\Maritime%20UK\4821%20-%20MUK%20refresh\Solent%20LEP\Downstream\Inbound%20Tourism\cruise%20shipping.ods"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oleObject" Target="file:///\\cebr-fs01\company\Clients\Maritime%20UK\4821%20-%20MUK%20refresh\Solent%20LEP\Data\Compiled\Solent%20-%20Master%20Data%20(refresh)%20v2.xlsx" TargetMode="External"/><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3" Type="http://schemas.openxmlformats.org/officeDocument/2006/relationships/oleObject" Target="file:///\\cebr-fs01\company\Clients\Maritime%20UK\4821%20-%20MUK%20refresh\Solent%20LEP\Data\Compiled\Solent%20-%20Master%20Data%20(refresh)%20v2.xlsx" TargetMode="External"/><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3" Type="http://schemas.openxmlformats.org/officeDocument/2006/relationships/oleObject" Target="file:///\\cebr-fs01\company\Clients\Maritime%20UK\4821%20-%20MUK%20refresh\Solent%20LEP\Data\Compiled\Solent%20-%20Master%20Data%20(refresh)%20v2.xlsx" TargetMode="External"/><Relationship Id="rId2" Type="http://schemas.microsoft.com/office/2011/relationships/chartColorStyle" Target="colors6.xml"/><Relationship Id="rId1" Type="http://schemas.microsoft.com/office/2011/relationships/chartStyle" Target="style6.xml"/></Relationships>
</file>

<file path=word/charts/_rels/chart15.xml.rels><?xml version="1.0" encoding="UTF-8" standalone="yes"?>
<Relationships xmlns="http://schemas.openxmlformats.org/package/2006/relationships"><Relationship Id="rId3" Type="http://schemas.openxmlformats.org/officeDocument/2006/relationships/oleObject" Target="file:///\\cebr-fs01\company\Clients\Maritime%20UK\4821%20-%20MUK%20refresh\Solent%20LEP\Data\Compiled\Solent%20-%20Master%20Data%20(refresh)%20v2.xlsx" TargetMode="External"/><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3" Type="http://schemas.openxmlformats.org/officeDocument/2006/relationships/oleObject" Target="file:///\\cebr-fs01\company\Clients\Maritime%20UK\4821%20-%20MUK%20refresh\Solent%20LEP\Data\Compiled\Solent%20-%20Master%20Data%20(refresh)%20v2.xlsx" TargetMode="External"/><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3" Type="http://schemas.openxmlformats.org/officeDocument/2006/relationships/oleObject" Target="file:///\\cebr-fs01\company\Clients\Maritime%20UK\4821%20-%20MUK%20refresh\Solent%20LEP\Data\Compiled\Solent%20-%20Master%20Data%20(refresh)%20v2.xlsx" TargetMode="External"/><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3" Type="http://schemas.openxmlformats.org/officeDocument/2006/relationships/oleObject" Target="file:///\\cebr-fs01\company\Clients\Maritime%20UK\4821%20-%20MUK%20refresh\Solent%20LEP\Data\Compiled\Solent%20-%20Master%20Data%20(refresh)%20v2.xlsx" TargetMode="External"/><Relationship Id="rId2" Type="http://schemas.microsoft.com/office/2011/relationships/chartColorStyle" Target="colors10.xml"/><Relationship Id="rId1" Type="http://schemas.microsoft.com/office/2011/relationships/chartStyle" Target="style10.xm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1.xml"/><Relationship Id="rId1" Type="http://schemas.microsoft.com/office/2011/relationships/chartStyle" Target="style11.xml"/><Relationship Id="rId5" Type="http://schemas.openxmlformats.org/officeDocument/2006/relationships/chartUserShapes" Target="../drawings/drawing1.xml"/><Relationship Id="rId4" Type="http://schemas.openxmlformats.org/officeDocument/2006/relationships/oleObject" Target="file:///\\cebr-fs01\company\Clients\Maritime%20UK\4821%20-%20MUK%20refresh\Forecasts\Analysis\Solent%20Forecast\Solent%20Forecast.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ebr-fs01\company\Clients\Maritime%20UK\4821%20-%20MUK%20refresh\Solent%20LEP\Downstream\Trade\Key%20analysis\Solent%20Trade.od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ebr-fs01\company\Clients\Maritime%20UK\4821%20-%20MUK%20refresh\Solent%20LEP\Downstream\Trade\Key%20analysis\Solent_final.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br-fs01\company\Clients\Maritime%20UK\4821%20-%20MUK%20refresh\Solent%20LEP\Downstream\Trade\Key%20analysis\Solent_fina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br-fs01\company\Clients\Maritime%20UK\4821%20-%20MUK%20refresh\Solent%20LEP\Downstream\Trade\Key%20analysis\Solent_final.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br-fs01\company\Clients\Maritime%20UK\4821%20-%20MUK%20refresh\Solent%20LEP\Downstream\Trade\Key%20analysis\Solent_fina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br-fs01\company\Clients\Maritime%20UK\4821%20-%20MUK%20refresh\Solent%20LEP\Downstream\Trade\Key%20analysis\Solent_final.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ebr-fs01\company\Clients\Maritime%20UK\4821%20-%20MUK%20refresh\Solent%20LEP\Downstream\Trade\Key%20analysis\Solent_final.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br-fs01\company\Clients\Maritime%20UK\4821%20-%20MUK%20refresh\Solent%20LEP\Downstream\Trade\Key%20analysis\Solent_fin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'GVA Summary Charts'!$H$2</c:f>
              <c:strCache>
                <c:ptCount val="1"/>
                <c:pt idx="0">
                  <c:v>Solent</c:v>
                </c:pt>
              </c:strCache>
            </c:strRef>
          </c:tx>
          <c:spPr>
            <a:solidFill>
              <a:schemeClr val="accent1"/>
            </a:solidFill>
            <a:ln>
              <a:noFill/>
            </a:ln>
            <a:effectLst/>
          </c:spPr>
          <c:invertIfNegative val="0"/>
          <c:cat>
            <c:numRef>
              <c:f>'GVA Summary Charts'!$G$3:$G$23</c:f>
              <c:numCache>
                <c:formatCode>General</c:formatCode>
                <c:ptCount val="21"/>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'GVA Summary Charts'!$H$3:$H$23</c:f>
              <c:numCache>
                <c:formatCode>0%</c:formatCode>
                <c:ptCount val="21"/>
                <c:pt idx="1">
                  <c:v>1</c:v>
                </c:pt>
                <c:pt idx="2">
                  <c:v>1.013939735285835</c:v>
                </c:pt>
                <c:pt idx="3">
                  <c:v>1.0618135736412277</c:v>
                </c:pt>
                <c:pt idx="4">
                  <c:v>1.1364404393128695</c:v>
                </c:pt>
                <c:pt idx="5">
                  <c:v>1.211982540129541</c:v>
                </c:pt>
                <c:pt idx="6">
                  <c:v>1.2384539566319346</c:v>
                </c:pt>
                <c:pt idx="7">
                  <c:v>1.2865390030977188</c:v>
                </c:pt>
                <c:pt idx="8">
                  <c:v>1.3392706279921149</c:v>
                </c:pt>
                <c:pt idx="9">
                  <c:v>1.3902421852999156</c:v>
                </c:pt>
                <c:pt idx="10">
                  <c:v>1.4741622078287806</c:v>
                </c:pt>
                <c:pt idx="11">
                  <c:v>1.4856378484933821</c:v>
                </c:pt>
                <c:pt idx="12">
                  <c:v>1.4507181075753308</c:v>
                </c:pt>
                <c:pt idx="13">
                  <c:v>1.4926077161362996</c:v>
                </c:pt>
                <c:pt idx="14">
                  <c:v>1.5011968459588849</c:v>
                </c:pt>
                <c:pt idx="15">
                  <c:v>1.560968741199662</c:v>
                </c:pt>
                <c:pt idx="16">
                  <c:v>1.6066600957476767</c:v>
                </c:pt>
                <c:pt idx="17">
                  <c:v>1.6557307800619543</c:v>
                </c:pt>
                <c:pt idx="18">
                  <c:v>1.676992396508026</c:v>
                </c:pt>
                <c:pt idx="19">
                  <c:v>1.7088138841077987</c:v>
                </c:pt>
                <c:pt idx="20">
                  <c:v>1.6992674378278669</c:v>
                </c:pt>
              </c:numCache>
            </c:numRef>
          </c:val>
          <c:extLst>
            <c:ext xmlns:c16="http://schemas.microsoft.com/office/drawing/2014/chart" uri="{C3380CC4-5D6E-409C-BE32-E72D297353CC}">
              <c16:uniqueId val="{00000000-ED77-4C03-93E9-8284142C3004}"/>
            </c:ext>
          </c:extLst>
        </c:ser>
        <c:ser>
          <c:idx val="1"/>
          <c:order val="1"/>
          <c:tx>
            <c:strRef>
              <c:f>'GVA Summary Charts'!$I$2</c:f>
              <c:strCache>
                <c:ptCount val="1"/>
                <c:pt idx="0">
                  <c:v>South East</c:v>
                </c:pt>
              </c:strCache>
            </c:strRef>
          </c:tx>
          <c:spPr>
            <a:solidFill>
              <a:schemeClr val="accent2"/>
            </a:solidFill>
            <a:ln>
              <a:noFill/>
            </a:ln>
            <a:effectLst/>
          </c:spPr>
          <c:invertIfNegative val="0"/>
          <c:cat>
            <c:numRef>
              <c:f>'GVA Summary Charts'!$G$3:$G$23</c:f>
              <c:numCache>
                <c:formatCode>General</c:formatCode>
                <c:ptCount val="21"/>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'GVA Summary Charts'!$I$3:$I$23</c:f>
              <c:numCache>
                <c:formatCode>0%</c:formatCode>
                <c:ptCount val="21"/>
                <c:pt idx="1">
                  <c:v>1</c:v>
                </c:pt>
                <c:pt idx="2">
                  <c:v>1.0450964654121704</c:v>
                </c:pt>
                <c:pt idx="3">
                  <c:v>1.0958782960254467</c:v>
                </c:pt>
                <c:pt idx="4">
                  <c:v>1.134063140997057</c:v>
                </c:pt>
                <c:pt idx="5">
                  <c:v>1.1969440233062814</c:v>
                </c:pt>
                <c:pt idx="6">
                  <c:v>1.2556779333511698</c:v>
                </c:pt>
                <c:pt idx="7">
                  <c:v>1.2950890335622343</c:v>
                </c:pt>
                <c:pt idx="8">
                  <c:v>1.3596197865572699</c:v>
                </c:pt>
                <c:pt idx="9">
                  <c:v>1.4261645708849846</c:v>
                </c:pt>
                <c:pt idx="10">
                  <c:v>1.4940842474508755</c:v>
                </c:pt>
                <c:pt idx="11">
                  <c:v>1.567414310770237</c:v>
                </c:pt>
                <c:pt idx="12">
                  <c:v>1.5314590207794525</c:v>
                </c:pt>
                <c:pt idx="13">
                  <c:v>1.5716727607836143</c:v>
                </c:pt>
                <c:pt idx="14">
                  <c:v>1.6096049228573976</c:v>
                </c:pt>
                <c:pt idx="15">
                  <c:v>1.6682942418026696</c:v>
                </c:pt>
                <c:pt idx="16">
                  <c:v>1.7362213502184964</c:v>
                </c:pt>
                <c:pt idx="17">
                  <c:v>1.8102871666815303</c:v>
                </c:pt>
                <c:pt idx="18">
                  <c:v>1.8824132703112459</c:v>
                </c:pt>
                <c:pt idx="19">
                  <c:v>1.9282529207170249</c:v>
                </c:pt>
                <c:pt idx="20">
                  <c:v>1.9851511638277</c:v>
                </c:pt>
              </c:numCache>
            </c:numRef>
          </c:val>
          <c:extLst>
            <c:ext xmlns:c16="http://schemas.microsoft.com/office/drawing/2014/chart" uri="{C3380CC4-5D6E-409C-BE32-E72D297353CC}">
              <c16:uniqueId val="{00000001-ED77-4C03-93E9-8284142C3004}"/>
            </c:ext>
          </c:extLst>
        </c:ser>
        <c:ser>
          <c:idx val="2"/>
          <c:order val="2"/>
          <c:tx>
            <c:strRef>
              <c:f>'GVA Summary Charts'!$J$2</c:f>
              <c:strCache>
                <c:ptCount val="1"/>
                <c:pt idx="0">
                  <c:v>United Kingdom</c:v>
                </c:pt>
              </c:strCache>
            </c:strRef>
          </c:tx>
          <c:spPr>
            <a:solidFill>
              <a:schemeClr val="accent3"/>
            </a:solidFill>
            <a:ln>
              <a:noFill/>
            </a:ln>
            <a:effectLst/>
          </c:spPr>
          <c:invertIfNegative val="0"/>
          <c:cat>
            <c:numRef>
              <c:f>'GVA Summary Charts'!$G$3:$G$23</c:f>
              <c:numCache>
                <c:formatCode>General</c:formatCode>
                <c:ptCount val="21"/>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'GVA Summary Charts'!$J$3:$J$23</c:f>
              <c:numCache>
                <c:formatCode>0%</c:formatCode>
                <c:ptCount val="21"/>
                <c:pt idx="1">
                  <c:v>1</c:v>
                </c:pt>
                <c:pt idx="2">
                  <c:v>1.0354855794694016</c:v>
                </c:pt>
                <c:pt idx="3">
                  <c:v>1.0937857965863704</c:v>
                </c:pt>
                <c:pt idx="4">
                  <c:v>1.1368004864136734</c:v>
                </c:pt>
                <c:pt idx="5">
                  <c:v>1.1921378799127054</c:v>
                </c:pt>
                <c:pt idx="6">
                  <c:v>1.2624551125503463</c:v>
                </c:pt>
                <c:pt idx="7">
                  <c:v>1.3221326059522969</c:v>
                </c:pt>
                <c:pt idx="8">
                  <c:v>1.4009195278741684</c:v>
                </c:pt>
                <c:pt idx="9">
                  <c:v>1.4792249629647047</c:v>
                </c:pt>
                <c:pt idx="10">
                  <c:v>1.5545149468069026</c:v>
                </c:pt>
                <c:pt idx="11">
                  <c:v>1.6008216628763576</c:v>
                </c:pt>
                <c:pt idx="12">
                  <c:v>1.5676169873033041</c:v>
                </c:pt>
                <c:pt idx="13">
                  <c:v>1.6007992681400163</c:v>
                </c:pt>
                <c:pt idx="14">
                  <c:v>1.6441353224338151</c:v>
                </c:pt>
                <c:pt idx="15">
                  <c:v>1.6963005015301205</c:v>
                </c:pt>
                <c:pt idx="16">
                  <c:v>1.7615957145432537</c:v>
                </c:pt>
                <c:pt idx="17">
                  <c:v>1.8430364127215539</c:v>
                </c:pt>
                <c:pt idx="18">
                  <c:v>1.8946383641988787</c:v>
                </c:pt>
                <c:pt idx="19">
                  <c:v>1.9663082389115263</c:v>
                </c:pt>
                <c:pt idx="20">
                  <c:v>2.0376455517895073</c:v>
                </c:pt>
              </c:numCache>
            </c:numRef>
          </c:val>
          <c:extLst>
            <c:ext xmlns:c16="http://schemas.microsoft.com/office/drawing/2014/chart" uri="{C3380CC4-5D6E-409C-BE32-E72D297353CC}">
              <c16:uniqueId val="{00000002-ED77-4C03-93E9-8284142C3004}"/>
            </c:ext>
          </c:extLst>
        </c:ser>
        <c:dLbls>
          <c:showLegendKey val="0"/>
          <c:showVal val="0"/>
          <c:showCatName val="0"/>
          <c:showSerName val="0"/>
          <c:showPercent val="0"/>
          <c:showBubbleSize val="0"/>
        </c:dLbls>
        <c:gapWidth val="219"/>
        <c:overlap val="-27"/>
        <c:axId val="120783808"/>
        <c:axId val="120782632"/>
      </c:barChart>
      <c:catAx>
        <c:axId val="12078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82632"/>
        <c:crosses val="autoZero"/>
        <c:auto val="1"/>
        <c:lblAlgn val="ctr"/>
        <c:lblOffset val="100"/>
        <c:noMultiLvlLbl val="0"/>
      </c:catAx>
      <c:valAx>
        <c:axId val="120782632"/>
        <c:scaling>
          <c:orientation val="minMax"/>
          <c:max val="2.25"/>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8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50842022094972E-2"/>
          <c:y val="9.8501436830392294E-2"/>
          <c:w val="0.91407248473934533"/>
          <c:h val="0.78312040669553706"/>
        </c:manualLayout>
      </c:layout>
      <c:barChart>
        <c:barDir val="col"/>
        <c:grouping val="clustered"/>
        <c:varyColors val="0"/>
        <c:ser>
          <c:idx val="0"/>
          <c:order val="0"/>
          <c:tx>
            <c:strRef>
              <c:f>'Solent Summary by year'!$J$49</c:f>
              <c:strCache>
                <c:ptCount val="1"/>
                <c:pt idx="0">
                  <c:v>Exports</c:v>
                </c:pt>
              </c:strCache>
            </c:strRef>
          </c:tx>
          <c:spPr>
            <a:solidFill>
              <a:schemeClr val="tx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1"/>
                </a:solidFill>
                <a:prstDash val="sysDot"/>
              </a:ln>
              <a:effectLst/>
            </c:spPr>
            <c:trendlineType val="linear"/>
            <c:dispRSqr val="0"/>
            <c:dispEq val="0"/>
          </c:trendline>
          <c:cat>
            <c:numRef>
              <c:f>'Solent Summary by year'!$I$50:$I$57</c:f>
              <c:numCache>
                <c:formatCode>General</c:formatCode>
                <c:ptCount val="8"/>
                <c:pt idx="0">
                  <c:v>2010</c:v>
                </c:pt>
                <c:pt idx="1">
                  <c:v>2011</c:v>
                </c:pt>
                <c:pt idx="2">
                  <c:v>2012</c:v>
                </c:pt>
                <c:pt idx="3">
                  <c:v>2013</c:v>
                </c:pt>
                <c:pt idx="4">
                  <c:v>2014</c:v>
                </c:pt>
                <c:pt idx="5">
                  <c:v>2015</c:v>
                </c:pt>
                <c:pt idx="6">
                  <c:v>2016</c:v>
                </c:pt>
                <c:pt idx="7">
                  <c:v>2017</c:v>
                </c:pt>
              </c:numCache>
            </c:numRef>
          </c:cat>
          <c:val>
            <c:numRef>
              <c:f>'Solent Summary by year'!$J$50:$J$57</c:f>
              <c:numCache>
                <c:formatCode>0%</c:formatCode>
                <c:ptCount val="8"/>
                <c:pt idx="0">
                  <c:v>7.9429952136226029E-2</c:v>
                </c:pt>
                <c:pt idx="1">
                  <c:v>7.8752341700062026E-2</c:v>
                </c:pt>
                <c:pt idx="2">
                  <c:v>9.2664974179338014E-2</c:v>
                </c:pt>
                <c:pt idx="3">
                  <c:v>9.4985990769329107E-2</c:v>
                </c:pt>
                <c:pt idx="4">
                  <c:v>0.11442044547260183</c:v>
                </c:pt>
                <c:pt idx="5">
                  <c:v>0.10739509971145006</c:v>
                </c:pt>
                <c:pt idx="6">
                  <c:v>0.11923457758461964</c:v>
                </c:pt>
                <c:pt idx="7">
                  <c:v>0.11225816880767962</c:v>
                </c:pt>
              </c:numCache>
            </c:numRef>
          </c:val>
          <c:extLst>
            <c:ext xmlns:c16="http://schemas.microsoft.com/office/drawing/2014/chart" uri="{C3380CC4-5D6E-409C-BE32-E72D297353CC}">
              <c16:uniqueId val="{00000001-A657-4AAC-B782-30634472A621}"/>
            </c:ext>
          </c:extLst>
        </c:ser>
        <c:ser>
          <c:idx val="1"/>
          <c:order val="1"/>
          <c:tx>
            <c:strRef>
              <c:f>'Solent Summary by year'!$K$49</c:f>
              <c:strCache>
                <c:ptCount val="1"/>
                <c:pt idx="0">
                  <c:v>Imports</c:v>
                </c:pt>
              </c:strCache>
            </c:strRef>
          </c:tx>
          <c:spPr>
            <a:solidFill>
              <a:schemeClr val="accent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solidFill>
                <a:prstDash val="sysDot"/>
              </a:ln>
              <a:effectLst/>
            </c:spPr>
            <c:trendlineType val="linear"/>
            <c:dispRSqr val="0"/>
            <c:dispEq val="0"/>
          </c:trendline>
          <c:cat>
            <c:numRef>
              <c:f>'Solent Summary by year'!$I$50:$I$57</c:f>
              <c:numCache>
                <c:formatCode>General</c:formatCode>
                <c:ptCount val="8"/>
                <c:pt idx="0">
                  <c:v>2010</c:v>
                </c:pt>
                <c:pt idx="1">
                  <c:v>2011</c:v>
                </c:pt>
                <c:pt idx="2">
                  <c:v>2012</c:v>
                </c:pt>
                <c:pt idx="3">
                  <c:v>2013</c:v>
                </c:pt>
                <c:pt idx="4">
                  <c:v>2014</c:v>
                </c:pt>
                <c:pt idx="5">
                  <c:v>2015</c:v>
                </c:pt>
                <c:pt idx="6">
                  <c:v>2016</c:v>
                </c:pt>
                <c:pt idx="7">
                  <c:v>2017</c:v>
                </c:pt>
              </c:numCache>
            </c:numRef>
          </c:cat>
          <c:val>
            <c:numRef>
              <c:f>'Solent Summary by year'!$K$50:$K$57</c:f>
              <c:numCache>
                <c:formatCode>0%</c:formatCode>
                <c:ptCount val="8"/>
                <c:pt idx="0">
                  <c:v>0.11566954938574511</c:v>
                </c:pt>
                <c:pt idx="1">
                  <c:v>0.11251914827131747</c:v>
                </c:pt>
                <c:pt idx="2">
                  <c:v>0.10986530625928409</c:v>
                </c:pt>
                <c:pt idx="3">
                  <c:v>0.12156352486766872</c:v>
                </c:pt>
                <c:pt idx="4">
                  <c:v>0.11802139997429117</c:v>
                </c:pt>
                <c:pt idx="5">
                  <c:v>0.11779620415991453</c:v>
                </c:pt>
                <c:pt idx="6">
                  <c:v>0.10018974838879711</c:v>
                </c:pt>
                <c:pt idx="7">
                  <c:v>0.1087745180994243</c:v>
                </c:pt>
              </c:numCache>
            </c:numRef>
          </c:val>
          <c:extLst>
            <c:ext xmlns:c16="http://schemas.microsoft.com/office/drawing/2014/chart" uri="{C3380CC4-5D6E-409C-BE32-E72D297353CC}">
              <c16:uniqueId val="{00000003-A657-4AAC-B782-30634472A621}"/>
            </c:ext>
          </c:extLst>
        </c:ser>
        <c:dLbls>
          <c:showLegendKey val="0"/>
          <c:showVal val="0"/>
          <c:showCatName val="0"/>
          <c:showSerName val="0"/>
          <c:showPercent val="0"/>
          <c:showBubbleSize val="0"/>
        </c:dLbls>
        <c:gapWidth val="219"/>
        <c:overlap val="-27"/>
        <c:axId val="122060832"/>
        <c:axId val="122059656"/>
      </c:barChart>
      <c:catAx>
        <c:axId val="12206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808080"/>
                </a:solidFill>
                <a:latin typeface="Calibri"/>
                <a:ea typeface="Calibri"/>
                <a:cs typeface="Calibri"/>
              </a:defRPr>
            </a:pPr>
            <a:endParaRPr lang="en-US"/>
          </a:p>
        </c:txPr>
        <c:crossAx val="122059656"/>
        <c:crosses val="autoZero"/>
        <c:auto val="1"/>
        <c:lblAlgn val="ctr"/>
        <c:lblOffset val="100"/>
        <c:noMultiLvlLbl val="0"/>
      </c:catAx>
      <c:valAx>
        <c:axId val="122059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0" vert="horz"/>
          <a:lstStyle/>
          <a:p>
            <a:pPr>
              <a:defRPr sz="900" b="0" i="0" u="none" strike="noStrike" baseline="0">
                <a:solidFill>
                  <a:srgbClr val="808080"/>
                </a:solidFill>
                <a:latin typeface="Calibri"/>
                <a:ea typeface="Calibri"/>
                <a:cs typeface="Calibri"/>
              </a:defRPr>
            </a:pPr>
            <a:endParaRPr lang="en-US"/>
          </a:p>
        </c:txPr>
        <c:crossAx val="122060832"/>
        <c:crosses val="autoZero"/>
        <c:crossBetween val="between"/>
      </c:valAx>
      <c:spPr>
        <a:noFill/>
        <a:ln w="25400">
          <a:noFill/>
        </a:ln>
      </c:spPr>
    </c:plotArea>
    <c:legend>
      <c:legendPos val="t"/>
      <c:overlay val="0"/>
      <c:spPr>
        <a:noFill/>
        <a:ln w="25400">
          <a:noFill/>
        </a:ln>
      </c:spPr>
      <c:txPr>
        <a:bodyPr/>
        <a:lstStyle/>
        <a:p>
          <a:pPr>
            <a:defRPr sz="755" b="0" i="0" u="none" strike="noStrike" baseline="0">
              <a:solidFill>
                <a:srgbClr val="80808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Spas0101!$A$63:$AY$63</c:f>
              <c:strCache>
                <c:ptCount val="51"/>
                <c:pt idx="0">
                  <c:v>Solent share of all int'l passengers (LHS)</c:v>
                </c:pt>
              </c:strCache>
            </c:strRef>
          </c:tx>
          <c:spPr>
            <a:solidFill>
              <a:schemeClr val="accent1"/>
            </a:solidFill>
            <a:ln>
              <a:noFill/>
            </a:ln>
            <a:effectLst/>
          </c:spPr>
          <c:invertIfNegative val="0"/>
          <c:cat>
            <c:numRef>
              <c:f>Spas0101!$AZ$62:$BQ$62</c:f>
              <c:numCache>
                <c:formatCode>0</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Spas0101!$AZ$63:$BQ$63</c:f>
              <c:numCache>
                <c:formatCode>0%</c:formatCode>
                <c:ptCount val="18"/>
                <c:pt idx="0">
                  <c:v>0.11921759173556473</c:v>
                </c:pt>
                <c:pt idx="1">
                  <c:v>0.128842418031619</c:v>
                </c:pt>
                <c:pt idx="2">
                  <c:v>0.12756097050655563</c:v>
                </c:pt>
                <c:pt idx="3">
                  <c:v>0.13039483323618856</c:v>
                </c:pt>
                <c:pt idx="4">
                  <c:v>0.13356816433699956</c:v>
                </c:pt>
                <c:pt idx="5">
                  <c:v>0.13245182201300695</c:v>
                </c:pt>
                <c:pt idx="6">
                  <c:v>0.11492377229383217</c:v>
                </c:pt>
                <c:pt idx="7">
                  <c:v>0.11267389080516524</c:v>
                </c:pt>
                <c:pt idx="8">
                  <c:v>0.1225131873096231</c:v>
                </c:pt>
                <c:pt idx="9">
                  <c:v>0.13274111392971463</c:v>
                </c:pt>
                <c:pt idx="10">
                  <c:v>0.14354567416141606</c:v>
                </c:pt>
                <c:pt idx="11">
                  <c:v>0.15040517472117396</c:v>
                </c:pt>
                <c:pt idx="12">
                  <c:v>0.15670843054111888</c:v>
                </c:pt>
                <c:pt idx="13">
                  <c:v>0.14859301242560713</c:v>
                </c:pt>
                <c:pt idx="14">
                  <c:v>0.14312962450879477</c:v>
                </c:pt>
                <c:pt idx="15">
                  <c:v>0.15149090503258017</c:v>
                </c:pt>
                <c:pt idx="16">
                  <c:v>0.16119162986414656</c:v>
                </c:pt>
                <c:pt idx="17">
                  <c:v>0.16271851433196136</c:v>
                </c:pt>
              </c:numCache>
            </c:numRef>
          </c:val>
          <c:extLst>
            <c:ext xmlns:c16="http://schemas.microsoft.com/office/drawing/2014/chart" uri="{C3380CC4-5D6E-409C-BE32-E72D297353CC}">
              <c16:uniqueId val="{00000000-E96D-4E98-8C95-4F3EEA071A35}"/>
            </c:ext>
          </c:extLst>
        </c:ser>
        <c:dLbls>
          <c:showLegendKey val="0"/>
          <c:showVal val="0"/>
          <c:showCatName val="0"/>
          <c:showSerName val="0"/>
          <c:showPercent val="0"/>
          <c:showBubbleSize val="0"/>
        </c:dLbls>
        <c:gapWidth val="219"/>
        <c:overlap val="-27"/>
        <c:axId val="122059264"/>
        <c:axId val="122060048"/>
      </c:barChart>
      <c:lineChart>
        <c:grouping val="standard"/>
        <c:varyColors val="0"/>
        <c:ser>
          <c:idx val="1"/>
          <c:order val="1"/>
          <c:tx>
            <c:strRef>
              <c:f>Spas0101!$A$64:$AY$64</c:f>
              <c:strCache>
                <c:ptCount val="51"/>
                <c:pt idx="0">
                  <c:v>Southampton share of int'l cruise passengers (RHS)</c:v>
                </c:pt>
              </c:strCache>
            </c:strRef>
          </c:tx>
          <c:spPr>
            <a:ln w="28575" cap="rnd">
              <a:solidFill>
                <a:srgbClr val="FF0000"/>
              </a:solidFill>
              <a:round/>
            </a:ln>
            <a:effectLst/>
          </c:spPr>
          <c:marker>
            <c:symbol val="none"/>
          </c:marker>
          <c:cat>
            <c:numRef>
              <c:f>Spas0101!$AZ$62:$BQ$62</c:f>
              <c:numCache>
                <c:formatCode>0</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Spas0101!$AZ$64:$BQ$64</c:f>
              <c:numCache>
                <c:formatCode>0%</c:formatCode>
                <c:ptCount val="18"/>
                <c:pt idx="0">
                  <c:v>0.6132638584700274</c:v>
                </c:pt>
                <c:pt idx="1">
                  <c:v>0.63055220615696528</c:v>
                </c:pt>
                <c:pt idx="2">
                  <c:v>0.61531895267549797</c:v>
                </c:pt>
                <c:pt idx="3">
                  <c:v>0.62845056346279771</c:v>
                </c:pt>
                <c:pt idx="4">
                  <c:v>0.6227323358836111</c:v>
                </c:pt>
                <c:pt idx="5">
                  <c:v>0.68407605173131647</c:v>
                </c:pt>
                <c:pt idx="6">
                  <c:v>0.65288852027398603</c:v>
                </c:pt>
                <c:pt idx="7">
                  <c:v>0.67240652561245096</c:v>
                </c:pt>
                <c:pt idx="8">
                  <c:v>0.66349841136878984</c:v>
                </c:pt>
                <c:pt idx="9">
                  <c:v>0.68899659829471771</c:v>
                </c:pt>
                <c:pt idx="10">
                  <c:v>0.75003458525491595</c:v>
                </c:pt>
                <c:pt idx="11">
                  <c:v>0.82493000992591969</c:v>
                </c:pt>
                <c:pt idx="12">
                  <c:v>0.85925585247426672</c:v>
                </c:pt>
                <c:pt idx="13">
                  <c:v>0.77622083881406878</c:v>
                </c:pt>
                <c:pt idx="14">
                  <c:v>0.79044954986455684</c:v>
                </c:pt>
                <c:pt idx="15">
                  <c:v>0.83318105270701215</c:v>
                </c:pt>
                <c:pt idx="16">
                  <c:v>0.87142961982446754</c:v>
                </c:pt>
                <c:pt idx="17">
                  <c:v>0.8587562700401532</c:v>
                </c:pt>
              </c:numCache>
            </c:numRef>
          </c:val>
          <c:smooth val="0"/>
          <c:extLst>
            <c:ext xmlns:c16="http://schemas.microsoft.com/office/drawing/2014/chart" uri="{C3380CC4-5D6E-409C-BE32-E72D297353CC}">
              <c16:uniqueId val="{00000001-E96D-4E98-8C95-4F3EEA071A35}"/>
            </c:ext>
          </c:extLst>
        </c:ser>
        <c:dLbls>
          <c:showLegendKey val="0"/>
          <c:showVal val="0"/>
          <c:showCatName val="0"/>
          <c:showSerName val="0"/>
          <c:showPercent val="0"/>
          <c:showBubbleSize val="0"/>
        </c:dLbls>
        <c:marker val="1"/>
        <c:smooth val="0"/>
        <c:axId val="122061616"/>
        <c:axId val="122062400"/>
      </c:lineChart>
      <c:catAx>
        <c:axId val="12205926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60048"/>
        <c:crosses val="autoZero"/>
        <c:auto val="1"/>
        <c:lblAlgn val="ctr"/>
        <c:lblOffset val="100"/>
        <c:noMultiLvlLbl val="0"/>
      </c:catAx>
      <c:valAx>
        <c:axId val="122060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59264"/>
        <c:crosses val="autoZero"/>
        <c:crossBetween val="between"/>
      </c:valAx>
      <c:valAx>
        <c:axId val="12206240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61616"/>
        <c:crosses val="max"/>
        <c:crossBetween val="between"/>
      </c:valAx>
      <c:catAx>
        <c:axId val="122061616"/>
        <c:scaling>
          <c:orientation val="minMax"/>
        </c:scaling>
        <c:delete val="1"/>
        <c:axPos val="b"/>
        <c:numFmt formatCode="0" sourceLinked="1"/>
        <c:majorTickMark val="out"/>
        <c:minorTickMark val="none"/>
        <c:tickLblPos val="nextTo"/>
        <c:crossAx val="122062400"/>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55355989595372"/>
          <c:y val="5.0925925925925923E-2"/>
          <c:w val="0.71454785044102487"/>
          <c:h val="0.73577136191309422"/>
        </c:manualLayout>
      </c:layout>
      <c:barChart>
        <c:barDir val="col"/>
        <c:grouping val="stacked"/>
        <c:varyColors val="0"/>
        <c:ser>
          <c:idx val="0"/>
          <c:order val="0"/>
          <c:tx>
            <c:strRef>
              <c:f>Charts_EI!$T$22</c:f>
              <c:strCache>
                <c:ptCount val="1"/>
                <c:pt idx="0">
                  <c:v>Shipping</c:v>
                </c:pt>
              </c:strCache>
            </c:strRef>
          </c:tx>
          <c:spPr>
            <a:solidFill>
              <a:schemeClr val="accent1"/>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Charts_EI!$U$22:$AB$22</c:f>
              <c:numCache>
                <c:formatCode>#,##0_ ;\-#,##0\ </c:formatCode>
                <c:ptCount val="8"/>
                <c:pt idx="0">
                  <c:v>1439.0999060029189</c:v>
                </c:pt>
                <c:pt idx="1">
                  <c:v>1510.5849976401062</c:v>
                </c:pt>
                <c:pt idx="2">
                  <c:v>1752.839122261609</c:v>
                </c:pt>
                <c:pt idx="3">
                  <c:v>1953.9489377977329</c:v>
                </c:pt>
                <c:pt idx="4">
                  <c:v>1801.2379750669143</c:v>
                </c:pt>
                <c:pt idx="5">
                  <c:v>1635.3826567133431</c:v>
                </c:pt>
                <c:pt idx="6">
                  <c:v>2687.9604857410732</c:v>
                </c:pt>
                <c:pt idx="7">
                  <c:v>3126.7759793388609</c:v>
                </c:pt>
              </c:numCache>
            </c:numRef>
          </c:val>
          <c:extLst>
            <c:ext xmlns:c16="http://schemas.microsoft.com/office/drawing/2014/chart" uri="{C3380CC4-5D6E-409C-BE32-E72D297353CC}">
              <c16:uniqueId val="{00000000-0135-4F94-A7C4-948C9F6B9B01}"/>
            </c:ext>
          </c:extLst>
        </c:ser>
        <c:ser>
          <c:idx val="1"/>
          <c:order val="1"/>
          <c:tx>
            <c:strRef>
              <c:f>Charts_EI!$T$23</c:f>
              <c:strCache>
                <c:ptCount val="1"/>
                <c:pt idx="0">
                  <c:v>Ports</c:v>
                </c:pt>
              </c:strCache>
            </c:strRef>
          </c:tx>
          <c:spPr>
            <a:solidFill>
              <a:schemeClr val="accent2"/>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Charts_EI!$U$23:$AB$23</c:f>
              <c:numCache>
                <c:formatCode>#,##0_ ;\-#,##0\ </c:formatCode>
                <c:ptCount val="8"/>
                <c:pt idx="0">
                  <c:v>145.72353003770192</c:v>
                </c:pt>
                <c:pt idx="1">
                  <c:v>270.3344526559199</c:v>
                </c:pt>
                <c:pt idx="2">
                  <c:v>245.750635278652</c:v>
                </c:pt>
                <c:pt idx="3">
                  <c:v>233.00225885164741</c:v>
                </c:pt>
                <c:pt idx="4">
                  <c:v>242.82950606551901</c:v>
                </c:pt>
                <c:pt idx="5">
                  <c:v>647.83764675156283</c:v>
                </c:pt>
                <c:pt idx="6">
                  <c:v>738.57379631914523</c:v>
                </c:pt>
                <c:pt idx="7">
                  <c:v>672.51866749091221</c:v>
                </c:pt>
              </c:numCache>
            </c:numRef>
          </c:val>
          <c:extLst>
            <c:ext xmlns:c16="http://schemas.microsoft.com/office/drawing/2014/chart" uri="{C3380CC4-5D6E-409C-BE32-E72D297353CC}">
              <c16:uniqueId val="{00000001-0135-4F94-A7C4-948C9F6B9B01}"/>
            </c:ext>
          </c:extLst>
        </c:ser>
        <c:ser>
          <c:idx val="6"/>
          <c:order val="2"/>
          <c:tx>
            <c:strRef>
              <c:f>Charts_EI!$T$24</c:f>
              <c:strCache>
                <c:ptCount val="1"/>
                <c:pt idx="0">
                  <c:v>Leisure Marine</c:v>
                </c:pt>
              </c:strCache>
            </c:strRef>
          </c:tx>
          <c:spPr>
            <a:solidFill>
              <a:schemeClr val="accent4"/>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Charts_EI!$U$24:$AB$24</c:f>
              <c:numCache>
                <c:formatCode>#,##0_ ;\-#,##0\ </c:formatCode>
                <c:ptCount val="8"/>
                <c:pt idx="0">
                  <c:v>467.81987915118788</c:v>
                </c:pt>
                <c:pt idx="1">
                  <c:v>460.40184590714972</c:v>
                </c:pt>
                <c:pt idx="2">
                  <c:v>468.46492552023471</c:v>
                </c:pt>
                <c:pt idx="3">
                  <c:v>472.98025010356224</c:v>
                </c:pt>
                <c:pt idx="4">
                  <c:v>478.30188264819827</c:v>
                </c:pt>
                <c:pt idx="5">
                  <c:v>485.8811774844981</c:v>
                </c:pt>
                <c:pt idx="6">
                  <c:v>502.49112148745309</c:v>
                </c:pt>
                <c:pt idx="7">
                  <c:v>510.87672428506141</c:v>
                </c:pt>
              </c:numCache>
            </c:numRef>
          </c:val>
          <c:extLst>
            <c:ext xmlns:c16="http://schemas.microsoft.com/office/drawing/2014/chart" uri="{C3380CC4-5D6E-409C-BE32-E72D297353CC}">
              <c16:uniqueId val="{00000002-0135-4F94-A7C4-948C9F6B9B01}"/>
            </c:ext>
          </c:extLst>
        </c:ser>
        <c:ser>
          <c:idx val="2"/>
          <c:order val="3"/>
          <c:tx>
            <c:strRef>
              <c:f>Charts_EI!$T$25</c:f>
              <c:strCache>
                <c:ptCount val="1"/>
                <c:pt idx="0">
                  <c:v>Marine Engineering</c:v>
                </c:pt>
              </c:strCache>
            </c:strRef>
          </c:tx>
          <c:spPr>
            <a:solidFill>
              <a:schemeClr val="accent5">
                <a:lumMod val="40000"/>
                <a:lumOff val="60000"/>
              </a:schemeClr>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Charts_EI!$U$25:$AB$25</c:f>
              <c:numCache>
                <c:formatCode>#,##0_ ;\-#,##0\ </c:formatCode>
                <c:ptCount val="8"/>
                <c:pt idx="0">
                  <c:v>251.01793117541814</c:v>
                </c:pt>
                <c:pt idx="1">
                  <c:v>229.31500167345132</c:v>
                </c:pt>
                <c:pt idx="2">
                  <c:v>284.23674715049475</c:v>
                </c:pt>
                <c:pt idx="3">
                  <c:v>254.38180963532085</c:v>
                </c:pt>
                <c:pt idx="4">
                  <c:v>185.66343680477638</c:v>
                </c:pt>
                <c:pt idx="5">
                  <c:v>228.89255425976961</c:v>
                </c:pt>
                <c:pt idx="6">
                  <c:v>132.80205114020904</c:v>
                </c:pt>
                <c:pt idx="7">
                  <c:v>121.99002253075066</c:v>
                </c:pt>
              </c:numCache>
            </c:numRef>
          </c:val>
          <c:extLst>
            <c:ext xmlns:c16="http://schemas.microsoft.com/office/drawing/2014/chart" uri="{C3380CC4-5D6E-409C-BE32-E72D297353CC}">
              <c16:uniqueId val="{00000003-0135-4F94-A7C4-948C9F6B9B01}"/>
            </c:ext>
          </c:extLst>
        </c:ser>
        <c:ser>
          <c:idx val="3"/>
          <c:order val="4"/>
          <c:tx>
            <c:strRef>
              <c:f>Charts_EI!$T$26</c:f>
              <c:strCache>
                <c:ptCount val="1"/>
                <c:pt idx="0">
                  <c:v>MBS</c:v>
                </c:pt>
              </c:strCache>
            </c:strRef>
          </c:tx>
          <c:spPr>
            <a:solidFill>
              <a:schemeClr val="accent3"/>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Charts_EI!$U$26:$AB$26</c:f>
              <c:numCache>
                <c:formatCode>#,##0_ ;\-#,##0\ </c:formatCode>
                <c:ptCount val="8"/>
                <c:pt idx="0">
                  <c:v>48.104641214869027</c:v>
                </c:pt>
                <c:pt idx="1">
                  <c:v>76.553294063707185</c:v>
                </c:pt>
                <c:pt idx="2">
                  <c:v>73.225542914837604</c:v>
                </c:pt>
                <c:pt idx="3">
                  <c:v>68.760009355473372</c:v>
                </c:pt>
                <c:pt idx="4">
                  <c:v>70.4187668946835</c:v>
                </c:pt>
                <c:pt idx="5">
                  <c:v>176.50732710157172</c:v>
                </c:pt>
                <c:pt idx="6">
                  <c:v>191.38028144151463</c:v>
                </c:pt>
                <c:pt idx="7">
                  <c:v>162.93665479811031</c:v>
                </c:pt>
              </c:numCache>
            </c:numRef>
          </c:val>
          <c:extLst>
            <c:ext xmlns:c16="http://schemas.microsoft.com/office/drawing/2014/chart" uri="{C3380CC4-5D6E-409C-BE32-E72D297353CC}">
              <c16:uniqueId val="{00000004-0135-4F94-A7C4-948C9F6B9B01}"/>
            </c:ext>
          </c:extLst>
        </c:ser>
        <c:ser>
          <c:idx val="4"/>
          <c:order val="5"/>
          <c:tx>
            <c:strRef>
              <c:f>Charts_EI!$T$27</c:f>
              <c:strCache>
                <c:ptCount val="1"/>
                <c:pt idx="0">
                  <c:v>PNB</c:v>
                </c:pt>
              </c:strCache>
            </c:strRef>
          </c:tx>
          <c:spPr>
            <a:solidFill>
              <a:srgbClr val="7030A0"/>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Charts_EI!$U$27:$AB$27</c:f>
              <c:numCache>
                <c:formatCode>#,##0_ ;\-#,##0\ </c:formatCode>
                <c:ptCount val="8"/>
                <c:pt idx="0">
                  <c:v>926.47478991596654</c:v>
                </c:pt>
                <c:pt idx="1">
                  <c:v>958.7</c:v>
                </c:pt>
                <c:pt idx="2">
                  <c:v>921.70940194785055</c:v>
                </c:pt>
                <c:pt idx="3">
                  <c:v>869.42192605485468</c:v>
                </c:pt>
                <c:pt idx="4">
                  <c:v>825.18543849914647</c:v>
                </c:pt>
                <c:pt idx="5">
                  <c:v>768.87246843750688</c:v>
                </c:pt>
                <c:pt idx="6">
                  <c:v>770.48000901310388</c:v>
                </c:pt>
                <c:pt idx="7">
                  <c:v>753.4859934591251</c:v>
                </c:pt>
              </c:numCache>
            </c:numRef>
          </c:val>
          <c:extLst>
            <c:ext xmlns:c16="http://schemas.microsoft.com/office/drawing/2014/chart" uri="{C3380CC4-5D6E-409C-BE32-E72D297353CC}">
              <c16:uniqueId val="{00000005-0135-4F94-A7C4-948C9F6B9B01}"/>
            </c:ext>
          </c:extLst>
        </c:ser>
        <c:dLbls>
          <c:showLegendKey val="0"/>
          <c:showVal val="0"/>
          <c:showCatName val="0"/>
          <c:showSerName val="0"/>
          <c:showPercent val="0"/>
          <c:showBubbleSize val="0"/>
        </c:dLbls>
        <c:gapWidth val="150"/>
        <c:overlap val="100"/>
        <c:axId val="122057304"/>
        <c:axId val="120787728"/>
      </c:barChart>
      <c:lineChart>
        <c:grouping val="standard"/>
        <c:varyColors val="0"/>
        <c:ser>
          <c:idx val="5"/>
          <c:order val="6"/>
          <c:tx>
            <c:strRef>
              <c:f>Charts_EI!$T$28</c:f>
              <c:strCache>
                <c:ptCount val="1"/>
                <c:pt idx="0">
                  <c:v>Industries as % Sector (RHS)</c:v>
                </c:pt>
              </c:strCache>
            </c:strRef>
          </c:tx>
          <c:spPr>
            <a:ln w="28575" cap="rnd">
              <a:solidFill>
                <a:srgbClr val="C00000"/>
              </a:solidFill>
              <a:round/>
            </a:ln>
            <a:effectLst/>
          </c:spPr>
          <c:marker>
            <c:symbol val="none"/>
          </c:marker>
          <c:cat>
            <c:numRef>
              <c:f>Charts_EI!$U$21:$AB$21</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Charts_EI!$U$28:$AB$28</c:f>
              <c:numCache>
                <c:formatCode>0.0%</c:formatCode>
                <c:ptCount val="8"/>
                <c:pt idx="0">
                  <c:v>6.2216019314469448E-2</c:v>
                </c:pt>
                <c:pt idx="1">
                  <c:v>6.4251470015642145E-2</c:v>
                </c:pt>
                <c:pt idx="2">
                  <c:v>6.9148868553098375E-2</c:v>
                </c:pt>
                <c:pt idx="3">
                  <c:v>6.9255057683842797E-2</c:v>
                </c:pt>
                <c:pt idx="4">
                  <c:v>6.2268245654410324E-2</c:v>
                </c:pt>
                <c:pt idx="5">
                  <c:v>6.9813101445866832E-2</c:v>
                </c:pt>
                <c:pt idx="6">
                  <c:v>9.2343477456601403E-2</c:v>
                </c:pt>
                <c:pt idx="7">
                  <c:v>9.7000433043996692E-2</c:v>
                </c:pt>
              </c:numCache>
            </c:numRef>
          </c:val>
          <c:smooth val="0"/>
          <c:extLst>
            <c:ext xmlns:c16="http://schemas.microsoft.com/office/drawing/2014/chart" uri="{C3380CC4-5D6E-409C-BE32-E72D297353CC}">
              <c16:uniqueId val="{00000006-0135-4F94-A7C4-948C9F6B9B01}"/>
            </c:ext>
          </c:extLst>
        </c:ser>
        <c:dLbls>
          <c:showLegendKey val="0"/>
          <c:showVal val="0"/>
          <c:showCatName val="0"/>
          <c:showSerName val="0"/>
          <c:showPercent val="0"/>
          <c:showBubbleSize val="0"/>
        </c:dLbls>
        <c:marker val="1"/>
        <c:smooth val="0"/>
        <c:axId val="106797968"/>
        <c:axId val="106797576"/>
      </c:lineChart>
      <c:catAx>
        <c:axId val="122057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87728"/>
        <c:crosses val="autoZero"/>
        <c:auto val="1"/>
        <c:lblAlgn val="ctr"/>
        <c:lblOffset val="100"/>
        <c:noMultiLvlLbl val="0"/>
      </c:catAx>
      <c:valAx>
        <c:axId val="120787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57304"/>
        <c:crosses val="autoZero"/>
        <c:crossBetween val="between"/>
      </c:valAx>
      <c:valAx>
        <c:axId val="106797576"/>
        <c:scaling>
          <c:orientation val="minMax"/>
          <c:max val="0.1"/>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Solent industries as % of UK sector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97968"/>
        <c:crosses val="max"/>
        <c:crossBetween val="between"/>
      </c:valAx>
      <c:catAx>
        <c:axId val="106797968"/>
        <c:scaling>
          <c:orientation val="minMax"/>
        </c:scaling>
        <c:delete val="1"/>
        <c:axPos val="b"/>
        <c:numFmt formatCode="General" sourceLinked="1"/>
        <c:majorTickMark val="out"/>
        <c:minorTickMark val="none"/>
        <c:tickLblPos val="nextTo"/>
        <c:crossAx val="106797576"/>
        <c:crosses val="autoZero"/>
        <c:auto val="1"/>
        <c:lblAlgn val="ctr"/>
        <c:lblOffset val="100"/>
        <c:noMultiLvlLbl val="0"/>
      </c:catAx>
      <c:spPr>
        <a:noFill/>
        <a:ln>
          <a:noFill/>
        </a:ln>
        <a:effectLst/>
      </c:spPr>
    </c:plotArea>
    <c:legend>
      <c:legendPos val="b"/>
      <c:layout>
        <c:manualLayout>
          <c:xMode val="edge"/>
          <c:yMode val="edge"/>
          <c:x val="0"/>
          <c:y val="0.86734824152825019"/>
          <c:w val="1"/>
          <c:h val="0.132651704765178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55355989595372"/>
          <c:y val="5.0925925925925923E-2"/>
          <c:w val="0.71454785044102487"/>
          <c:h val="0.73577136191309422"/>
        </c:manualLayout>
      </c:layout>
      <c:barChart>
        <c:barDir val="col"/>
        <c:grouping val="stacked"/>
        <c:varyColors val="0"/>
        <c:ser>
          <c:idx val="0"/>
          <c:order val="0"/>
          <c:tx>
            <c:strRef>
              <c:f>Charts_EI!$B$4</c:f>
              <c:strCache>
                <c:ptCount val="1"/>
                <c:pt idx="0">
                  <c:v>Shipping</c:v>
                </c:pt>
              </c:strCache>
            </c:strRef>
          </c:tx>
          <c:spPr>
            <a:solidFill>
              <a:schemeClr val="accent1"/>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Charts_EI!$C$4:$J$4</c:f>
              <c:numCache>
                <c:formatCode>#,##0_ ;\-#,##0\ </c:formatCode>
                <c:ptCount val="8"/>
                <c:pt idx="0">
                  <c:v>435.80959682902312</c:v>
                </c:pt>
                <c:pt idx="1">
                  <c:v>475.61739949971889</c:v>
                </c:pt>
                <c:pt idx="2">
                  <c:v>587.46782001730935</c:v>
                </c:pt>
                <c:pt idx="3">
                  <c:v>476.45588356660625</c:v>
                </c:pt>
                <c:pt idx="4">
                  <c:v>543.96686902896965</c:v>
                </c:pt>
                <c:pt idx="5">
                  <c:v>496.19167633834621</c:v>
                </c:pt>
                <c:pt idx="6">
                  <c:v>859.24601868755587</c:v>
                </c:pt>
                <c:pt idx="7">
                  <c:v>1050.7704193519846</c:v>
                </c:pt>
              </c:numCache>
            </c:numRef>
          </c:val>
          <c:extLst>
            <c:ext xmlns:c16="http://schemas.microsoft.com/office/drawing/2014/chart" uri="{C3380CC4-5D6E-409C-BE32-E72D297353CC}">
              <c16:uniqueId val="{00000000-1191-43DD-AF94-66AFEFA4D349}"/>
            </c:ext>
          </c:extLst>
        </c:ser>
        <c:ser>
          <c:idx val="1"/>
          <c:order val="1"/>
          <c:tx>
            <c:strRef>
              <c:f>Charts_EI!$B$5</c:f>
              <c:strCache>
                <c:ptCount val="1"/>
                <c:pt idx="0">
                  <c:v>Ports</c:v>
                </c:pt>
              </c:strCache>
            </c:strRef>
          </c:tx>
          <c:spPr>
            <a:solidFill>
              <a:schemeClr val="accent2">
                <a:lumMod val="60000"/>
                <a:lumOff val="40000"/>
              </a:schemeClr>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Charts_EI!$C$5:$J$5</c:f>
              <c:numCache>
                <c:formatCode>#,##0_ ;\-#,##0\ </c:formatCode>
                <c:ptCount val="8"/>
                <c:pt idx="0">
                  <c:v>106.10501237616599</c:v>
                </c:pt>
                <c:pt idx="1">
                  <c:v>152.43688787722067</c:v>
                </c:pt>
                <c:pt idx="2">
                  <c:v>186.28763864651091</c:v>
                </c:pt>
                <c:pt idx="3">
                  <c:v>137.46793282628923</c:v>
                </c:pt>
                <c:pt idx="4">
                  <c:v>132.18623548383039</c:v>
                </c:pt>
                <c:pt idx="5">
                  <c:v>228.03978577314169</c:v>
                </c:pt>
                <c:pt idx="6">
                  <c:v>235.45300282019628</c:v>
                </c:pt>
                <c:pt idx="7">
                  <c:v>233.18233434228614</c:v>
                </c:pt>
              </c:numCache>
            </c:numRef>
          </c:val>
          <c:extLst>
            <c:ext xmlns:c16="http://schemas.microsoft.com/office/drawing/2014/chart" uri="{C3380CC4-5D6E-409C-BE32-E72D297353CC}">
              <c16:uniqueId val="{00000001-1191-43DD-AF94-66AFEFA4D349}"/>
            </c:ext>
          </c:extLst>
        </c:ser>
        <c:ser>
          <c:idx val="6"/>
          <c:order val="2"/>
          <c:tx>
            <c:strRef>
              <c:f>Charts_EI!$B$6</c:f>
              <c:strCache>
                <c:ptCount val="1"/>
                <c:pt idx="0">
                  <c:v>Leisure Marine</c:v>
                </c:pt>
              </c:strCache>
            </c:strRef>
          </c:tx>
          <c:spPr>
            <a:solidFill>
              <a:schemeClr val="accent4"/>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Charts_EI!$C$6:$J$6</c:f>
              <c:numCache>
                <c:formatCode>#,##0_ ;\-#,##0\ </c:formatCode>
                <c:ptCount val="8"/>
                <c:pt idx="0">
                  <c:v>147.39309532719255</c:v>
                </c:pt>
                <c:pt idx="1">
                  <c:v>144.49038666648195</c:v>
                </c:pt>
                <c:pt idx="2">
                  <c:v>153.68229742539881</c:v>
                </c:pt>
                <c:pt idx="3">
                  <c:v>168.84088709799846</c:v>
                </c:pt>
                <c:pt idx="4">
                  <c:v>171.90485735097073</c:v>
                </c:pt>
                <c:pt idx="5">
                  <c:v>178.35532104143866</c:v>
                </c:pt>
                <c:pt idx="6">
                  <c:v>173.8399964581111</c:v>
                </c:pt>
                <c:pt idx="7">
                  <c:v>177.22648989560679</c:v>
                </c:pt>
              </c:numCache>
            </c:numRef>
          </c:val>
          <c:extLst>
            <c:ext xmlns:c16="http://schemas.microsoft.com/office/drawing/2014/chart" uri="{C3380CC4-5D6E-409C-BE32-E72D297353CC}">
              <c16:uniqueId val="{00000002-1191-43DD-AF94-66AFEFA4D349}"/>
            </c:ext>
          </c:extLst>
        </c:ser>
        <c:ser>
          <c:idx val="2"/>
          <c:order val="3"/>
          <c:tx>
            <c:strRef>
              <c:f>Charts_EI!$B$7</c:f>
              <c:strCache>
                <c:ptCount val="1"/>
                <c:pt idx="0">
                  <c:v>Marine Engineering</c:v>
                </c:pt>
              </c:strCache>
            </c:strRef>
          </c:tx>
          <c:spPr>
            <a:solidFill>
              <a:schemeClr val="accent5">
                <a:lumMod val="60000"/>
                <a:lumOff val="40000"/>
              </a:schemeClr>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Charts_EI!$C$7:$J$7</c:f>
              <c:numCache>
                <c:formatCode>#,##0_ ;\-#,##0\ </c:formatCode>
                <c:ptCount val="8"/>
                <c:pt idx="0">
                  <c:v>59.233707505884844</c:v>
                </c:pt>
                <c:pt idx="1">
                  <c:v>82.025636579896428</c:v>
                </c:pt>
                <c:pt idx="2">
                  <c:v>102.00650739281282</c:v>
                </c:pt>
                <c:pt idx="3">
                  <c:v>91.048998909895374</c:v>
                </c:pt>
                <c:pt idx="4">
                  <c:v>70.151903308717181</c:v>
                </c:pt>
                <c:pt idx="5">
                  <c:v>85.83230015983645</c:v>
                </c:pt>
                <c:pt idx="6">
                  <c:v>44.688014216666026</c:v>
                </c:pt>
                <c:pt idx="7">
                  <c:v>35.302908128237618</c:v>
                </c:pt>
              </c:numCache>
            </c:numRef>
          </c:val>
          <c:extLst>
            <c:ext xmlns:c16="http://schemas.microsoft.com/office/drawing/2014/chart" uri="{C3380CC4-5D6E-409C-BE32-E72D297353CC}">
              <c16:uniqueId val="{00000003-1191-43DD-AF94-66AFEFA4D349}"/>
            </c:ext>
          </c:extLst>
        </c:ser>
        <c:ser>
          <c:idx val="3"/>
          <c:order val="4"/>
          <c:tx>
            <c:strRef>
              <c:f>Charts_EI!$B$8</c:f>
              <c:strCache>
                <c:ptCount val="1"/>
                <c:pt idx="0">
                  <c:v>MBS</c:v>
                </c:pt>
              </c:strCache>
            </c:strRef>
          </c:tx>
          <c:spPr>
            <a:solidFill>
              <a:schemeClr val="accent3"/>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Charts_EI!$C$8:$J$8</c:f>
              <c:numCache>
                <c:formatCode>#,##0_ ;\-#,##0\ </c:formatCode>
                <c:ptCount val="8"/>
                <c:pt idx="0">
                  <c:v>19.177607172137019</c:v>
                </c:pt>
                <c:pt idx="1">
                  <c:v>30.053506472656991</c:v>
                </c:pt>
                <c:pt idx="2">
                  <c:v>31.241053635592969</c:v>
                </c:pt>
                <c:pt idx="3">
                  <c:v>29.659764444668951</c:v>
                </c:pt>
                <c:pt idx="4">
                  <c:v>33.018957576361963</c:v>
                </c:pt>
                <c:pt idx="5">
                  <c:v>72.31157288852522</c:v>
                </c:pt>
                <c:pt idx="6">
                  <c:v>80.206580283233251</c:v>
                </c:pt>
                <c:pt idx="7">
                  <c:v>68.129034326343586</c:v>
                </c:pt>
              </c:numCache>
            </c:numRef>
          </c:val>
          <c:extLst>
            <c:ext xmlns:c16="http://schemas.microsoft.com/office/drawing/2014/chart" uri="{C3380CC4-5D6E-409C-BE32-E72D297353CC}">
              <c16:uniqueId val="{00000004-1191-43DD-AF94-66AFEFA4D349}"/>
            </c:ext>
          </c:extLst>
        </c:ser>
        <c:ser>
          <c:idx val="4"/>
          <c:order val="5"/>
          <c:tx>
            <c:strRef>
              <c:f>Charts_EI!$B$9</c:f>
              <c:strCache>
                <c:ptCount val="1"/>
                <c:pt idx="0">
                  <c:v>PNB</c:v>
                </c:pt>
              </c:strCache>
            </c:strRef>
          </c:tx>
          <c:spPr>
            <a:solidFill>
              <a:srgbClr val="7030A0"/>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Charts_EI!$C$9:$J$9</c:f>
              <c:numCache>
                <c:formatCode>#,##0_ ;\-#,##0\ </c:formatCode>
                <c:ptCount val="8"/>
                <c:pt idx="0">
                  <c:v>541.52399192612927</c:v>
                </c:pt>
                <c:pt idx="1">
                  <c:v>661.60414811445617</c:v>
                </c:pt>
                <c:pt idx="2">
                  <c:v>691.28205146088794</c:v>
                </c:pt>
                <c:pt idx="3">
                  <c:v>652.06644454114098</c:v>
                </c:pt>
                <c:pt idx="4">
                  <c:v>618.88907887435983</c:v>
                </c:pt>
                <c:pt idx="5">
                  <c:v>576.65435132813013</c:v>
                </c:pt>
                <c:pt idx="6">
                  <c:v>577.86000675982791</c:v>
                </c:pt>
                <c:pt idx="7">
                  <c:v>565.11449509434385</c:v>
                </c:pt>
              </c:numCache>
            </c:numRef>
          </c:val>
          <c:extLst>
            <c:ext xmlns:c16="http://schemas.microsoft.com/office/drawing/2014/chart" uri="{C3380CC4-5D6E-409C-BE32-E72D297353CC}">
              <c16:uniqueId val="{00000005-1191-43DD-AF94-66AFEFA4D349}"/>
            </c:ext>
          </c:extLst>
        </c:ser>
        <c:dLbls>
          <c:showLegendKey val="0"/>
          <c:showVal val="0"/>
          <c:showCatName val="0"/>
          <c:showSerName val="0"/>
          <c:showPercent val="0"/>
          <c:showBubbleSize val="0"/>
        </c:dLbls>
        <c:gapWidth val="150"/>
        <c:overlap val="100"/>
        <c:axId val="106803064"/>
        <c:axId val="106801496"/>
      </c:barChart>
      <c:lineChart>
        <c:grouping val="standard"/>
        <c:varyColors val="0"/>
        <c:ser>
          <c:idx val="5"/>
          <c:order val="6"/>
          <c:tx>
            <c:strRef>
              <c:f>Charts_EI!$B$10</c:f>
              <c:strCache>
                <c:ptCount val="1"/>
                <c:pt idx="0">
                  <c:v>Industries as % Sector (RHS)</c:v>
                </c:pt>
              </c:strCache>
            </c:strRef>
          </c:tx>
          <c:spPr>
            <a:ln w="28575" cap="rnd">
              <a:solidFill>
                <a:srgbClr val="C00000"/>
              </a:solidFill>
              <a:round/>
            </a:ln>
            <a:effectLst/>
          </c:spPr>
          <c:marker>
            <c:symbol val="none"/>
          </c:marker>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Charts_EI!$C$10:$J$10</c:f>
              <c:numCache>
                <c:formatCode>0.0%</c:formatCode>
                <c:ptCount val="8"/>
                <c:pt idx="0">
                  <c:v>5.6257733694010673E-2</c:v>
                </c:pt>
                <c:pt idx="1">
                  <c:v>6.4098783058765388E-2</c:v>
                </c:pt>
                <c:pt idx="2">
                  <c:v>6.7189560844888821E-2</c:v>
                </c:pt>
                <c:pt idx="3">
                  <c:v>6.0754704097391629E-2</c:v>
                </c:pt>
                <c:pt idx="4">
                  <c:v>6.0146550903766631E-2</c:v>
                </c:pt>
                <c:pt idx="5">
                  <c:v>6.6559255913525961E-2</c:v>
                </c:pt>
                <c:pt idx="6">
                  <c:v>8.7453435531801099E-2</c:v>
                </c:pt>
                <c:pt idx="7">
                  <c:v>9.1905386206775061E-2</c:v>
                </c:pt>
              </c:numCache>
            </c:numRef>
          </c:val>
          <c:smooth val="0"/>
          <c:extLst>
            <c:ext xmlns:c16="http://schemas.microsoft.com/office/drawing/2014/chart" uri="{C3380CC4-5D6E-409C-BE32-E72D297353CC}">
              <c16:uniqueId val="{00000006-1191-43DD-AF94-66AFEFA4D349}"/>
            </c:ext>
          </c:extLst>
        </c:ser>
        <c:dLbls>
          <c:showLegendKey val="0"/>
          <c:showVal val="0"/>
          <c:showCatName val="0"/>
          <c:showSerName val="0"/>
          <c:showPercent val="0"/>
          <c:showBubbleSize val="0"/>
        </c:dLbls>
        <c:marker val="1"/>
        <c:smooth val="0"/>
        <c:axId val="106798360"/>
        <c:axId val="106799928"/>
      </c:lineChart>
      <c:catAx>
        <c:axId val="10680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01496"/>
        <c:crosses val="autoZero"/>
        <c:auto val="1"/>
        <c:lblAlgn val="ctr"/>
        <c:lblOffset val="100"/>
        <c:noMultiLvlLbl val="0"/>
      </c:catAx>
      <c:valAx>
        <c:axId val="106801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03064"/>
        <c:crosses val="autoZero"/>
        <c:crossBetween val="between"/>
      </c:valAx>
      <c:valAx>
        <c:axId val="1067999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Solent industries as % of UK sector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98360"/>
        <c:crosses val="max"/>
        <c:crossBetween val="between"/>
      </c:valAx>
      <c:catAx>
        <c:axId val="106798360"/>
        <c:scaling>
          <c:orientation val="minMax"/>
        </c:scaling>
        <c:delete val="1"/>
        <c:axPos val="b"/>
        <c:numFmt formatCode="General" sourceLinked="1"/>
        <c:majorTickMark val="out"/>
        <c:minorTickMark val="none"/>
        <c:tickLblPos val="nextTo"/>
        <c:crossAx val="106799928"/>
        <c:crosses val="autoZero"/>
        <c:auto val="1"/>
        <c:lblAlgn val="ctr"/>
        <c:lblOffset val="100"/>
        <c:noMultiLvlLbl val="0"/>
      </c:catAx>
      <c:spPr>
        <a:noFill/>
        <a:ln>
          <a:noFill/>
        </a:ln>
        <a:effectLst/>
      </c:spPr>
    </c:plotArea>
    <c:legend>
      <c:legendPos val="b"/>
      <c:layout>
        <c:manualLayout>
          <c:xMode val="edge"/>
          <c:yMode val="edge"/>
          <c:x val="0"/>
          <c:y val="0.86734824152825019"/>
          <c:w val="1"/>
          <c:h val="0.132651704765178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55355989595372"/>
          <c:y val="5.0925925925925923E-2"/>
          <c:w val="0.71454785044102487"/>
          <c:h val="0.73577136191309422"/>
        </c:manualLayout>
      </c:layout>
      <c:barChart>
        <c:barDir val="col"/>
        <c:grouping val="stacked"/>
        <c:varyColors val="0"/>
        <c:ser>
          <c:idx val="0"/>
          <c:order val="0"/>
          <c:tx>
            <c:strRef>
              <c:f>Charts_EI!$B$22</c:f>
              <c:strCache>
                <c:ptCount val="1"/>
                <c:pt idx="0">
                  <c:v>Shipping</c:v>
                </c:pt>
              </c:strCache>
            </c:strRef>
          </c:tx>
          <c:spPr>
            <a:solidFill>
              <a:schemeClr val="accent1"/>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Charts_EI!$C$22:$J$22</c:f>
              <c:numCache>
                <c:formatCode>#,##0_ ;\-#,##0\ </c:formatCode>
                <c:ptCount val="8"/>
                <c:pt idx="0">
                  <c:v>6229.5529026023842</c:v>
                </c:pt>
                <c:pt idx="1">
                  <c:v>6354.7114493066247</c:v>
                </c:pt>
                <c:pt idx="2">
                  <c:v>6761.3131148787779</c:v>
                </c:pt>
                <c:pt idx="3">
                  <c:v>7215.0162601293532</c:v>
                </c:pt>
                <c:pt idx="4">
                  <c:v>6312.0026608062435</c:v>
                </c:pt>
                <c:pt idx="5">
                  <c:v>5617.4259796673041</c:v>
                </c:pt>
                <c:pt idx="6">
                  <c:v>8145.1297308537742</c:v>
                </c:pt>
                <c:pt idx="7">
                  <c:v>9691.9286170857231</c:v>
                </c:pt>
              </c:numCache>
            </c:numRef>
          </c:val>
          <c:extLst>
            <c:ext xmlns:c16="http://schemas.microsoft.com/office/drawing/2014/chart" uri="{C3380CC4-5D6E-409C-BE32-E72D297353CC}">
              <c16:uniqueId val="{00000000-5BE2-4569-9B39-31DD4A291E8F}"/>
            </c:ext>
          </c:extLst>
        </c:ser>
        <c:ser>
          <c:idx val="1"/>
          <c:order val="1"/>
          <c:tx>
            <c:strRef>
              <c:f>Charts_EI!$B$23</c:f>
              <c:strCache>
                <c:ptCount val="1"/>
                <c:pt idx="0">
                  <c:v>Ports</c:v>
                </c:pt>
              </c:strCache>
            </c:strRef>
          </c:tx>
          <c:spPr>
            <a:solidFill>
              <a:schemeClr val="accent2"/>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Charts_EI!$C$23:$J$23</c:f>
              <c:numCache>
                <c:formatCode>#,##0_ ;\-#,##0\ </c:formatCode>
                <c:ptCount val="8"/>
                <c:pt idx="0">
                  <c:v>1258.1974668910864</c:v>
                </c:pt>
                <c:pt idx="1">
                  <c:v>1825.0638204677139</c:v>
                </c:pt>
                <c:pt idx="2">
                  <c:v>1517.2038087236688</c:v>
                </c:pt>
                <c:pt idx="3">
                  <c:v>1462.1582338866015</c:v>
                </c:pt>
                <c:pt idx="4">
                  <c:v>1454.9496772863311</c:v>
                </c:pt>
                <c:pt idx="5">
                  <c:v>3592.0063115274179</c:v>
                </c:pt>
                <c:pt idx="6">
                  <c:v>3784.6667614590779</c:v>
                </c:pt>
                <c:pt idx="7">
                  <c:v>3130.5790842564575</c:v>
                </c:pt>
              </c:numCache>
            </c:numRef>
          </c:val>
          <c:extLst>
            <c:ext xmlns:c16="http://schemas.microsoft.com/office/drawing/2014/chart" uri="{C3380CC4-5D6E-409C-BE32-E72D297353CC}">
              <c16:uniqueId val="{00000001-5BE2-4569-9B39-31DD4A291E8F}"/>
            </c:ext>
          </c:extLst>
        </c:ser>
        <c:ser>
          <c:idx val="6"/>
          <c:order val="2"/>
          <c:tx>
            <c:strRef>
              <c:f>Charts_EI!$B$24</c:f>
              <c:strCache>
                <c:ptCount val="1"/>
                <c:pt idx="0">
                  <c:v>Leisure Marine</c:v>
                </c:pt>
              </c:strCache>
            </c:strRef>
          </c:tx>
          <c:spPr>
            <a:solidFill>
              <a:schemeClr val="accent4"/>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Charts_EI!$C$24:$J$24</c:f>
              <c:numCache>
                <c:formatCode>#,##0_ ;\-#,##0\ </c:formatCode>
                <c:ptCount val="8"/>
                <c:pt idx="0">
                  <c:v>4813.4130018754577</c:v>
                </c:pt>
                <c:pt idx="1">
                  <c:v>4765.5833819769568</c:v>
                </c:pt>
                <c:pt idx="2">
                  <c:v>4711.4482494873364</c:v>
                </c:pt>
                <c:pt idx="3">
                  <c:v>4836.7895363596126</c:v>
                </c:pt>
                <c:pt idx="4">
                  <c:v>4859.858484863712</c:v>
                </c:pt>
                <c:pt idx="5">
                  <c:v>5082.5507344232901</c:v>
                </c:pt>
                <c:pt idx="6">
                  <c:v>5086.8569381440548</c:v>
                </c:pt>
                <c:pt idx="7">
                  <c:v>5136.0706949528012</c:v>
                </c:pt>
              </c:numCache>
            </c:numRef>
          </c:val>
          <c:extLst>
            <c:ext xmlns:c16="http://schemas.microsoft.com/office/drawing/2014/chart" uri="{C3380CC4-5D6E-409C-BE32-E72D297353CC}">
              <c16:uniqueId val="{00000002-5BE2-4569-9B39-31DD4A291E8F}"/>
            </c:ext>
          </c:extLst>
        </c:ser>
        <c:ser>
          <c:idx val="2"/>
          <c:order val="3"/>
          <c:tx>
            <c:strRef>
              <c:f>Charts_EI!$B$25</c:f>
              <c:strCache>
                <c:ptCount val="1"/>
                <c:pt idx="0">
                  <c:v>Marine Engineering</c:v>
                </c:pt>
              </c:strCache>
            </c:strRef>
          </c:tx>
          <c:spPr>
            <a:solidFill>
              <a:schemeClr val="accent5">
                <a:lumMod val="60000"/>
                <a:lumOff val="40000"/>
              </a:schemeClr>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Charts_EI!$C$25:$J$25</c:f>
              <c:numCache>
                <c:formatCode>#,##0_ ;\-#,##0\ </c:formatCode>
                <c:ptCount val="8"/>
                <c:pt idx="0">
                  <c:v>1950.4267627909035</c:v>
                </c:pt>
                <c:pt idx="1">
                  <c:v>1694.9713275163667</c:v>
                </c:pt>
                <c:pt idx="2">
                  <c:v>1882.6621666065607</c:v>
                </c:pt>
                <c:pt idx="3">
                  <c:v>1464.8069852941178</c:v>
                </c:pt>
                <c:pt idx="4">
                  <c:v>1221.3977732602418</c:v>
                </c:pt>
                <c:pt idx="5">
                  <c:v>1491.9499017648827</c:v>
                </c:pt>
                <c:pt idx="6">
                  <c:v>962.61734222580196</c:v>
                </c:pt>
                <c:pt idx="7">
                  <c:v>923.04270965188243</c:v>
                </c:pt>
              </c:numCache>
            </c:numRef>
          </c:val>
          <c:extLst>
            <c:ext xmlns:c16="http://schemas.microsoft.com/office/drawing/2014/chart" uri="{C3380CC4-5D6E-409C-BE32-E72D297353CC}">
              <c16:uniqueId val="{00000003-5BE2-4569-9B39-31DD4A291E8F}"/>
            </c:ext>
          </c:extLst>
        </c:ser>
        <c:ser>
          <c:idx val="3"/>
          <c:order val="4"/>
          <c:tx>
            <c:strRef>
              <c:f>Charts_EI!$B$26</c:f>
              <c:strCache>
                <c:ptCount val="1"/>
                <c:pt idx="0">
                  <c:v>MBS</c:v>
                </c:pt>
              </c:strCache>
            </c:strRef>
          </c:tx>
          <c:spPr>
            <a:solidFill>
              <a:schemeClr val="accent3"/>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Charts_EI!$C$26:$J$26</c:f>
              <c:numCache>
                <c:formatCode>#,##0_ ;\-#,##0\ </c:formatCode>
                <c:ptCount val="8"/>
                <c:pt idx="0">
                  <c:v>166.27936957530807</c:v>
                </c:pt>
                <c:pt idx="1">
                  <c:v>253.06010607056209</c:v>
                </c:pt>
                <c:pt idx="2">
                  <c:v>245.77497103142878</c:v>
                </c:pt>
                <c:pt idx="3">
                  <c:v>221.26095430094551</c:v>
                </c:pt>
                <c:pt idx="4">
                  <c:v>241.67598635355944</c:v>
                </c:pt>
                <c:pt idx="5">
                  <c:v>622.77202270517785</c:v>
                </c:pt>
                <c:pt idx="6">
                  <c:v>682.58895193906847</c:v>
                </c:pt>
                <c:pt idx="7">
                  <c:v>579.1713288044366</c:v>
                </c:pt>
              </c:numCache>
            </c:numRef>
          </c:val>
          <c:extLst>
            <c:ext xmlns:c16="http://schemas.microsoft.com/office/drawing/2014/chart" uri="{C3380CC4-5D6E-409C-BE32-E72D297353CC}">
              <c16:uniqueId val="{00000004-5BE2-4569-9B39-31DD4A291E8F}"/>
            </c:ext>
          </c:extLst>
        </c:ser>
        <c:ser>
          <c:idx val="4"/>
          <c:order val="5"/>
          <c:tx>
            <c:strRef>
              <c:f>Charts_EI!$B$27</c:f>
              <c:strCache>
                <c:ptCount val="1"/>
                <c:pt idx="0">
                  <c:v>PNB</c:v>
                </c:pt>
              </c:strCache>
            </c:strRef>
          </c:tx>
          <c:spPr>
            <a:solidFill>
              <a:srgbClr val="7030A0"/>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Charts_EI!$C$27:$J$27</c:f>
              <c:numCache>
                <c:formatCode>#,##0_ ;\-#,##0\ </c:formatCode>
                <c:ptCount val="8"/>
                <c:pt idx="0">
                  <c:v>11500</c:v>
                </c:pt>
                <c:pt idx="1">
                  <c:v>11900</c:v>
                </c:pt>
                <c:pt idx="2">
                  <c:v>11440.848944591029</c:v>
                </c:pt>
                <c:pt idx="3">
                  <c:v>10791.823218997361</c:v>
                </c:pt>
                <c:pt idx="4">
                  <c:v>10242.731530343008</c:v>
                </c:pt>
                <c:pt idx="5">
                  <c:v>9543.7387862796822</c:v>
                </c:pt>
                <c:pt idx="6">
                  <c:v>9563.6926121372016</c:v>
                </c:pt>
                <c:pt idx="7">
                  <c:v>9352.7519788918198</c:v>
                </c:pt>
              </c:numCache>
            </c:numRef>
          </c:val>
          <c:extLst>
            <c:ext xmlns:c16="http://schemas.microsoft.com/office/drawing/2014/chart" uri="{C3380CC4-5D6E-409C-BE32-E72D297353CC}">
              <c16:uniqueId val="{00000005-5BE2-4569-9B39-31DD4A291E8F}"/>
            </c:ext>
          </c:extLst>
        </c:ser>
        <c:dLbls>
          <c:showLegendKey val="0"/>
          <c:showVal val="0"/>
          <c:showCatName val="0"/>
          <c:showSerName val="0"/>
          <c:showPercent val="0"/>
          <c:showBubbleSize val="0"/>
        </c:dLbls>
        <c:gapWidth val="150"/>
        <c:overlap val="100"/>
        <c:axId val="106798752"/>
        <c:axId val="106796008"/>
      </c:barChart>
      <c:lineChart>
        <c:grouping val="standard"/>
        <c:varyColors val="0"/>
        <c:ser>
          <c:idx val="5"/>
          <c:order val="6"/>
          <c:tx>
            <c:strRef>
              <c:f>Charts_EI!$B$28</c:f>
              <c:strCache>
                <c:ptCount val="1"/>
                <c:pt idx="0">
                  <c:v>Industries as % Sector (RHS)</c:v>
                </c:pt>
              </c:strCache>
            </c:strRef>
          </c:tx>
          <c:spPr>
            <a:ln w="28575" cap="rnd">
              <a:solidFill>
                <a:srgbClr val="C00000"/>
              </a:solidFill>
              <a:round/>
            </a:ln>
            <a:effectLst/>
          </c:spPr>
          <c:marker>
            <c:symbol val="none"/>
          </c:marker>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Charts_EI!$C$28:$J$28</c:f>
              <c:numCache>
                <c:formatCode>0.0%</c:formatCode>
                <c:ptCount val="8"/>
                <c:pt idx="0">
                  <c:v>7.3703587424246056E-2</c:v>
                </c:pt>
                <c:pt idx="1">
                  <c:v>7.3980007084755176E-2</c:v>
                </c:pt>
                <c:pt idx="2">
                  <c:v>7.4862003695203114E-2</c:v>
                </c:pt>
                <c:pt idx="3">
                  <c:v>7.6374594990243252E-2</c:v>
                </c:pt>
                <c:pt idx="4">
                  <c:v>6.7352123558000992E-2</c:v>
                </c:pt>
                <c:pt idx="5">
                  <c:v>7.7427270841094506E-2</c:v>
                </c:pt>
                <c:pt idx="6">
                  <c:v>8.7384903292641883E-2</c:v>
                </c:pt>
                <c:pt idx="7">
                  <c:v>8.8430261594502818E-2</c:v>
                </c:pt>
              </c:numCache>
            </c:numRef>
          </c:val>
          <c:smooth val="0"/>
          <c:extLst>
            <c:ext xmlns:c16="http://schemas.microsoft.com/office/drawing/2014/chart" uri="{C3380CC4-5D6E-409C-BE32-E72D297353CC}">
              <c16:uniqueId val="{00000006-5BE2-4569-9B39-31DD4A291E8F}"/>
            </c:ext>
          </c:extLst>
        </c:ser>
        <c:dLbls>
          <c:showLegendKey val="0"/>
          <c:showVal val="0"/>
          <c:showCatName val="0"/>
          <c:showSerName val="0"/>
          <c:showPercent val="0"/>
          <c:showBubbleSize val="0"/>
        </c:dLbls>
        <c:marker val="1"/>
        <c:smooth val="0"/>
        <c:axId val="106800320"/>
        <c:axId val="106797184"/>
      </c:lineChart>
      <c:catAx>
        <c:axId val="10679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96008"/>
        <c:crosses val="autoZero"/>
        <c:auto val="1"/>
        <c:lblAlgn val="ctr"/>
        <c:lblOffset val="100"/>
        <c:noMultiLvlLbl val="0"/>
      </c:catAx>
      <c:valAx>
        <c:axId val="106796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Units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98752"/>
        <c:crosses val="autoZero"/>
        <c:crossBetween val="between"/>
      </c:valAx>
      <c:valAx>
        <c:axId val="10679718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Solent industries as % of UK sector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00320"/>
        <c:crosses val="max"/>
        <c:crossBetween val="between"/>
      </c:valAx>
      <c:catAx>
        <c:axId val="106800320"/>
        <c:scaling>
          <c:orientation val="minMax"/>
        </c:scaling>
        <c:delete val="1"/>
        <c:axPos val="b"/>
        <c:numFmt formatCode="General" sourceLinked="1"/>
        <c:majorTickMark val="out"/>
        <c:minorTickMark val="none"/>
        <c:tickLblPos val="nextTo"/>
        <c:crossAx val="106797184"/>
        <c:crosses val="autoZero"/>
        <c:auto val="1"/>
        <c:lblAlgn val="ctr"/>
        <c:lblOffset val="100"/>
        <c:noMultiLvlLbl val="0"/>
      </c:catAx>
      <c:spPr>
        <a:noFill/>
        <a:ln>
          <a:noFill/>
        </a:ln>
        <a:effectLst/>
      </c:spPr>
    </c:plotArea>
    <c:legend>
      <c:legendPos val="b"/>
      <c:layout>
        <c:manualLayout>
          <c:xMode val="edge"/>
          <c:yMode val="edge"/>
          <c:x val="0"/>
          <c:y val="0.86734824152825019"/>
          <c:w val="1"/>
          <c:h val="0.132651704765178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55355989595372"/>
          <c:y val="5.0925925925925923E-2"/>
          <c:w val="0.71454785044102487"/>
          <c:h val="0.73577136191309422"/>
        </c:manualLayout>
      </c:layout>
      <c:barChart>
        <c:barDir val="col"/>
        <c:grouping val="stacked"/>
        <c:varyColors val="0"/>
        <c:ser>
          <c:idx val="0"/>
          <c:order val="0"/>
          <c:tx>
            <c:strRef>
              <c:f>Charts_EI!$T$4</c:f>
              <c:strCache>
                <c:ptCount val="1"/>
                <c:pt idx="0">
                  <c:v>Shipping</c:v>
                </c:pt>
              </c:strCache>
            </c:strRef>
          </c:tx>
          <c:spPr>
            <a:solidFill>
              <a:schemeClr val="accent1"/>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Charts_EI!$U$4:$AB$4</c:f>
              <c:numCache>
                <c:formatCode>#,##0_ ;\-#,##0\ </c:formatCode>
                <c:ptCount val="8"/>
                <c:pt idx="0">
                  <c:v>186.8455539647731</c:v>
                </c:pt>
                <c:pt idx="1">
                  <c:v>142.03588962061491</c:v>
                </c:pt>
                <c:pt idx="2">
                  <c:v>210.13480704999154</c:v>
                </c:pt>
                <c:pt idx="3">
                  <c:v>221.51889605181913</c:v>
                </c:pt>
                <c:pt idx="4">
                  <c:v>194.64690401387645</c:v>
                </c:pt>
                <c:pt idx="5">
                  <c:v>179.7664713622338</c:v>
                </c:pt>
                <c:pt idx="6">
                  <c:v>249.70716094226611</c:v>
                </c:pt>
                <c:pt idx="7">
                  <c:v>300.94817255750513</c:v>
                </c:pt>
              </c:numCache>
            </c:numRef>
          </c:val>
          <c:extLst>
            <c:ext xmlns:c16="http://schemas.microsoft.com/office/drawing/2014/chart" uri="{C3380CC4-5D6E-409C-BE32-E72D297353CC}">
              <c16:uniqueId val="{00000000-ED8E-4430-BEAF-56A1B23CB46B}"/>
            </c:ext>
          </c:extLst>
        </c:ser>
        <c:ser>
          <c:idx val="1"/>
          <c:order val="1"/>
          <c:tx>
            <c:strRef>
              <c:f>Charts_EI!$T$5</c:f>
              <c:strCache>
                <c:ptCount val="1"/>
                <c:pt idx="0">
                  <c:v>Ports</c:v>
                </c:pt>
              </c:strCache>
            </c:strRef>
          </c:tx>
          <c:spPr>
            <a:solidFill>
              <a:schemeClr val="accent2"/>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Charts_EI!$U$5:$AB$5</c:f>
              <c:numCache>
                <c:formatCode>#,##0_ ;\-#,##0\ </c:formatCode>
                <c:ptCount val="8"/>
                <c:pt idx="0">
                  <c:v>43.852395094835195</c:v>
                </c:pt>
                <c:pt idx="1">
                  <c:v>67.130774564372743</c:v>
                </c:pt>
                <c:pt idx="2">
                  <c:v>56.918904354641001</c:v>
                </c:pt>
                <c:pt idx="3">
                  <c:v>56.171840385089467</c:v>
                </c:pt>
                <c:pt idx="4">
                  <c:v>57.956752681440364</c:v>
                </c:pt>
                <c:pt idx="5">
                  <c:v>174.51624791388528</c:v>
                </c:pt>
                <c:pt idx="6">
                  <c:v>176.16337318827024</c:v>
                </c:pt>
                <c:pt idx="7">
                  <c:v>146.92542497339701</c:v>
                </c:pt>
              </c:numCache>
            </c:numRef>
          </c:val>
          <c:extLst>
            <c:ext xmlns:c16="http://schemas.microsoft.com/office/drawing/2014/chart" uri="{C3380CC4-5D6E-409C-BE32-E72D297353CC}">
              <c16:uniqueId val="{00000001-ED8E-4430-BEAF-56A1B23CB46B}"/>
            </c:ext>
          </c:extLst>
        </c:ser>
        <c:ser>
          <c:idx val="6"/>
          <c:order val="2"/>
          <c:tx>
            <c:strRef>
              <c:f>Charts_EI!$T$6</c:f>
              <c:strCache>
                <c:ptCount val="1"/>
                <c:pt idx="0">
                  <c:v>Leisure Marine</c:v>
                </c:pt>
              </c:strCache>
            </c:strRef>
          </c:tx>
          <c:spPr>
            <a:solidFill>
              <a:schemeClr val="accent4"/>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Charts_EI!$U$6:$AB$6</c:f>
              <c:numCache>
                <c:formatCode>#,##0_ ;\-#,##0\ </c:formatCode>
                <c:ptCount val="8"/>
                <c:pt idx="0">
                  <c:v>90.822790785143198</c:v>
                </c:pt>
                <c:pt idx="1">
                  <c:v>81.159211312997414</c:v>
                </c:pt>
                <c:pt idx="2">
                  <c:v>92.22944900848951</c:v>
                </c:pt>
                <c:pt idx="3">
                  <c:v>106.71077763625219</c:v>
                </c:pt>
                <c:pt idx="4">
                  <c:v>111.96743667193689</c:v>
                </c:pt>
                <c:pt idx="5">
                  <c:v>112.58844454605503</c:v>
                </c:pt>
                <c:pt idx="6">
                  <c:v>105.3166594645995</c:v>
                </c:pt>
                <c:pt idx="7">
                  <c:v>116.86060269253788</c:v>
                </c:pt>
              </c:numCache>
            </c:numRef>
          </c:val>
          <c:extLst>
            <c:ext xmlns:c16="http://schemas.microsoft.com/office/drawing/2014/chart" uri="{C3380CC4-5D6E-409C-BE32-E72D297353CC}">
              <c16:uniqueId val="{00000002-ED8E-4430-BEAF-56A1B23CB46B}"/>
            </c:ext>
          </c:extLst>
        </c:ser>
        <c:ser>
          <c:idx val="2"/>
          <c:order val="3"/>
          <c:tx>
            <c:strRef>
              <c:f>Charts_EI!$T$7</c:f>
              <c:strCache>
                <c:ptCount val="1"/>
                <c:pt idx="0">
                  <c:v>Marine Engineering</c:v>
                </c:pt>
              </c:strCache>
            </c:strRef>
          </c:tx>
          <c:spPr>
            <a:solidFill>
              <a:schemeClr val="accent5">
                <a:lumMod val="60000"/>
                <a:lumOff val="40000"/>
              </a:schemeClr>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Charts_EI!$U$7:$AB$7</c:f>
              <c:numCache>
                <c:formatCode>#,##0_ ;\-#,##0\ </c:formatCode>
                <c:ptCount val="8"/>
                <c:pt idx="0">
                  <c:v>63.231536987429671</c:v>
                </c:pt>
                <c:pt idx="1">
                  <c:v>58.600197713403681</c:v>
                </c:pt>
                <c:pt idx="2">
                  <c:v>78.285803681073375</c:v>
                </c:pt>
                <c:pt idx="3">
                  <c:v>68.49624963739042</c:v>
                </c:pt>
                <c:pt idx="4">
                  <c:v>49.612161078538655</c:v>
                </c:pt>
                <c:pt idx="5">
                  <c:v>67.383781722586832</c:v>
                </c:pt>
                <c:pt idx="6">
                  <c:v>37.18539493649314</c:v>
                </c:pt>
                <c:pt idx="7">
                  <c:v>33.642763826560781</c:v>
                </c:pt>
              </c:numCache>
            </c:numRef>
          </c:val>
          <c:extLst>
            <c:ext xmlns:c16="http://schemas.microsoft.com/office/drawing/2014/chart" uri="{C3380CC4-5D6E-409C-BE32-E72D297353CC}">
              <c16:uniqueId val="{00000003-ED8E-4430-BEAF-56A1B23CB46B}"/>
            </c:ext>
          </c:extLst>
        </c:ser>
        <c:ser>
          <c:idx val="3"/>
          <c:order val="4"/>
          <c:tx>
            <c:strRef>
              <c:f>Charts_EI!$T$8</c:f>
              <c:strCache>
                <c:ptCount val="1"/>
                <c:pt idx="0">
                  <c:v>MBS</c:v>
                </c:pt>
              </c:strCache>
            </c:strRef>
          </c:tx>
          <c:spPr>
            <a:solidFill>
              <a:schemeClr val="accent3"/>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Charts_EI!$U$8:$AB$8</c:f>
              <c:numCache>
                <c:formatCode>#,##0_ ;\-#,##0\ </c:formatCode>
                <c:ptCount val="8"/>
                <c:pt idx="0">
                  <c:v>6.9129509593887715</c:v>
                </c:pt>
                <c:pt idx="1">
                  <c:v>10.33848476276208</c:v>
                </c:pt>
                <c:pt idx="2">
                  <c:v>10.0724412644166</c:v>
                </c:pt>
                <c:pt idx="3">
                  <c:v>9.5062225753046476</c:v>
                </c:pt>
                <c:pt idx="4">
                  <c:v>10.558411533210649</c:v>
                </c:pt>
                <c:pt idx="5">
                  <c:v>27.056277201643287</c:v>
                </c:pt>
                <c:pt idx="6">
                  <c:v>29.389544211266188</c:v>
                </c:pt>
                <c:pt idx="7">
                  <c:v>26.53841424116062</c:v>
                </c:pt>
              </c:numCache>
            </c:numRef>
          </c:val>
          <c:extLst>
            <c:ext xmlns:c16="http://schemas.microsoft.com/office/drawing/2014/chart" uri="{C3380CC4-5D6E-409C-BE32-E72D297353CC}">
              <c16:uniqueId val="{00000004-ED8E-4430-BEAF-56A1B23CB46B}"/>
            </c:ext>
          </c:extLst>
        </c:ser>
        <c:ser>
          <c:idx val="4"/>
          <c:order val="5"/>
          <c:tx>
            <c:strRef>
              <c:f>Charts_EI!$T$9</c:f>
              <c:strCache>
                <c:ptCount val="1"/>
                <c:pt idx="0">
                  <c:v>PNB</c:v>
                </c:pt>
              </c:strCache>
            </c:strRef>
          </c:tx>
          <c:spPr>
            <a:solidFill>
              <a:srgbClr val="7030A0"/>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Charts_EI!$U$9:$AB$9</c:f>
              <c:numCache>
                <c:formatCode>#,##0_ ;\-#,##0\ </c:formatCode>
                <c:ptCount val="8"/>
                <c:pt idx="0">
                  <c:v>446.65930594607374</c:v>
                </c:pt>
                <c:pt idx="1">
                  <c:v>508.57647902640838</c:v>
                </c:pt>
                <c:pt idx="2">
                  <c:v>545.27169939713019</c:v>
                </c:pt>
                <c:pt idx="3">
                  <c:v>517.28629238395456</c:v>
                </c:pt>
                <c:pt idx="4">
                  <c:v>496.12444110910866</c:v>
                </c:pt>
                <c:pt idx="5">
                  <c:v>475.10531015076594</c:v>
                </c:pt>
                <c:pt idx="6">
                  <c:v>456.24969871997632</c:v>
                </c:pt>
                <c:pt idx="7">
                  <c:v>468.42498377086474</c:v>
                </c:pt>
              </c:numCache>
            </c:numRef>
          </c:val>
          <c:extLst>
            <c:ext xmlns:c16="http://schemas.microsoft.com/office/drawing/2014/chart" uri="{C3380CC4-5D6E-409C-BE32-E72D297353CC}">
              <c16:uniqueId val="{00000005-ED8E-4430-BEAF-56A1B23CB46B}"/>
            </c:ext>
          </c:extLst>
        </c:ser>
        <c:dLbls>
          <c:showLegendKey val="0"/>
          <c:showVal val="0"/>
          <c:showCatName val="0"/>
          <c:showSerName val="0"/>
          <c:showPercent val="0"/>
          <c:showBubbleSize val="0"/>
        </c:dLbls>
        <c:gapWidth val="150"/>
        <c:overlap val="100"/>
        <c:axId val="106796792"/>
        <c:axId val="106799144"/>
      </c:barChart>
      <c:lineChart>
        <c:grouping val="standard"/>
        <c:varyColors val="0"/>
        <c:ser>
          <c:idx val="5"/>
          <c:order val="6"/>
          <c:tx>
            <c:strRef>
              <c:f>Charts_EI!$T$10</c:f>
              <c:strCache>
                <c:ptCount val="1"/>
                <c:pt idx="0">
                  <c:v>Industries as % Sector (RHS)</c:v>
                </c:pt>
              </c:strCache>
            </c:strRef>
          </c:tx>
          <c:spPr>
            <a:ln w="28575" cap="rnd">
              <a:solidFill>
                <a:srgbClr val="C00000"/>
              </a:solidFill>
              <a:round/>
            </a:ln>
            <a:effectLst/>
          </c:spPr>
          <c:marker>
            <c:symbol val="none"/>
          </c:marker>
          <c:cat>
            <c:numRef>
              <c:f>Charts_EI!$U$3:$AB$3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Charts_EI!$U$10:$AB$10</c:f>
              <c:numCache>
                <c:formatCode>0.0%</c:formatCode>
                <c:ptCount val="8"/>
                <c:pt idx="0">
                  <c:v>5.5924537250639512E-2</c:v>
                </c:pt>
                <c:pt idx="1">
                  <c:v>5.265906404104042E-2</c:v>
                </c:pt>
                <c:pt idx="2">
                  <c:v>5.9228579643254696E-2</c:v>
                </c:pt>
                <c:pt idx="3">
                  <c:v>5.7807828039862869E-2</c:v>
                </c:pt>
                <c:pt idx="4">
                  <c:v>5.4852900703222289E-2</c:v>
                </c:pt>
                <c:pt idx="5">
                  <c:v>6.8148020572534079E-2</c:v>
                </c:pt>
                <c:pt idx="6">
                  <c:v>7.7592483236671117E-2</c:v>
                </c:pt>
                <c:pt idx="7">
                  <c:v>7.3789135684625959E-2</c:v>
                </c:pt>
              </c:numCache>
            </c:numRef>
          </c:val>
          <c:smooth val="0"/>
          <c:extLst>
            <c:ext xmlns:c16="http://schemas.microsoft.com/office/drawing/2014/chart" uri="{C3380CC4-5D6E-409C-BE32-E72D297353CC}">
              <c16:uniqueId val="{00000006-ED8E-4430-BEAF-56A1B23CB46B}"/>
            </c:ext>
          </c:extLst>
        </c:ser>
        <c:dLbls>
          <c:showLegendKey val="0"/>
          <c:showVal val="0"/>
          <c:showCatName val="0"/>
          <c:showSerName val="0"/>
          <c:showPercent val="0"/>
          <c:showBubbleSize val="0"/>
        </c:dLbls>
        <c:marker val="1"/>
        <c:smooth val="0"/>
        <c:axId val="106801888"/>
        <c:axId val="106799536"/>
      </c:lineChart>
      <c:catAx>
        <c:axId val="106796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99144"/>
        <c:crosses val="autoZero"/>
        <c:auto val="1"/>
        <c:lblAlgn val="ctr"/>
        <c:lblOffset val="100"/>
        <c:noMultiLvlLbl val="0"/>
      </c:catAx>
      <c:valAx>
        <c:axId val="106799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96792"/>
        <c:crosses val="autoZero"/>
        <c:crossBetween val="between"/>
      </c:valAx>
      <c:valAx>
        <c:axId val="1067995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Solent industries as % of UK sector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01888"/>
        <c:crosses val="max"/>
        <c:crossBetween val="between"/>
      </c:valAx>
      <c:catAx>
        <c:axId val="106801888"/>
        <c:scaling>
          <c:orientation val="minMax"/>
        </c:scaling>
        <c:delete val="1"/>
        <c:axPos val="b"/>
        <c:numFmt formatCode="General" sourceLinked="1"/>
        <c:majorTickMark val="out"/>
        <c:minorTickMark val="none"/>
        <c:tickLblPos val="nextTo"/>
        <c:crossAx val="106799536"/>
        <c:crosses val="autoZero"/>
        <c:auto val="1"/>
        <c:lblAlgn val="ctr"/>
        <c:lblOffset val="100"/>
        <c:noMultiLvlLbl val="0"/>
      </c:catAx>
      <c:spPr>
        <a:noFill/>
        <a:ln>
          <a:noFill/>
        </a:ln>
        <a:effectLst/>
      </c:spPr>
    </c:plotArea>
    <c:legend>
      <c:legendPos val="b"/>
      <c:layout>
        <c:manualLayout>
          <c:xMode val="edge"/>
          <c:yMode val="edge"/>
          <c:x val="0"/>
          <c:y val="0.86734824152825019"/>
          <c:w val="1"/>
          <c:h val="0.132651704765178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408472928297614E-2"/>
          <c:y val="4.4410803428628472E-2"/>
          <c:w val="0.78725631598508916"/>
          <c:h val="0.68428464749997708"/>
        </c:manualLayout>
      </c:layout>
      <c:barChart>
        <c:barDir val="col"/>
        <c:grouping val="stacked"/>
        <c:varyColors val="0"/>
        <c:ser>
          <c:idx val="0"/>
          <c:order val="0"/>
          <c:tx>
            <c:strRef>
              <c:f>Charts_Other!$B$20</c:f>
              <c:strCache>
                <c:ptCount val="1"/>
                <c:pt idx="0">
                  <c:v>Shipping</c:v>
                </c:pt>
              </c:strCache>
            </c:strRef>
          </c:tx>
          <c:spPr>
            <a:solidFill>
              <a:schemeClr val="accent1"/>
            </a:solidFill>
            <a:ln>
              <a:noFill/>
            </a:ln>
            <a:effectLst/>
          </c:spPr>
          <c:invertIfNegative val="0"/>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Charts_Other!$C$20:$J$20</c:f>
              <c:numCache>
                <c:formatCode>#,##0_ ;\-#,##0\ </c:formatCode>
                <c:ptCount val="8"/>
                <c:pt idx="0">
                  <c:v>70.74982661932394</c:v>
                </c:pt>
                <c:pt idx="1">
                  <c:v>54.37955988600757</c:v>
                </c:pt>
                <c:pt idx="2">
                  <c:v>95.475615071291003</c:v>
                </c:pt>
                <c:pt idx="3">
                  <c:v>100.04690426662104</c:v>
                </c:pt>
                <c:pt idx="4">
                  <c:v>82.417255804526704</c:v>
                </c:pt>
                <c:pt idx="5">
                  <c:v>75.079917743934089</c:v>
                </c:pt>
                <c:pt idx="6">
                  <c:v>105.52455867470752</c:v>
                </c:pt>
                <c:pt idx="7">
                  <c:v>148.37018464681771</c:v>
                </c:pt>
              </c:numCache>
            </c:numRef>
          </c:val>
          <c:extLst>
            <c:ext xmlns:c16="http://schemas.microsoft.com/office/drawing/2014/chart" uri="{C3380CC4-5D6E-409C-BE32-E72D297353CC}">
              <c16:uniqueId val="{00000000-0A7C-495E-9AA9-69205FAF44E1}"/>
            </c:ext>
          </c:extLst>
        </c:ser>
        <c:ser>
          <c:idx val="4"/>
          <c:order val="1"/>
          <c:tx>
            <c:strRef>
              <c:f>Charts_Other!$B$21</c:f>
              <c:strCache>
                <c:ptCount val="1"/>
                <c:pt idx="0">
                  <c:v>Ports</c:v>
                </c:pt>
              </c:strCache>
            </c:strRef>
          </c:tx>
          <c:spPr>
            <a:solidFill>
              <a:schemeClr val="accent2"/>
            </a:solidFill>
            <a:ln>
              <a:noFill/>
            </a:ln>
            <a:effectLst/>
          </c:spPr>
          <c:invertIfNegative val="0"/>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Charts_Other!$C$21:$J$21</c:f>
              <c:numCache>
                <c:formatCode>#,##0_ ;\-#,##0\ </c:formatCode>
                <c:ptCount val="8"/>
                <c:pt idx="0">
                  <c:v>20.159977893145349</c:v>
                </c:pt>
                <c:pt idx="1">
                  <c:v>33.57425221947539</c:v>
                </c:pt>
                <c:pt idx="2">
                  <c:v>29.423404635341704</c:v>
                </c:pt>
                <c:pt idx="3">
                  <c:v>28.391756638858524</c:v>
                </c:pt>
                <c:pt idx="4">
                  <c:v>30.013775949383589</c:v>
                </c:pt>
                <c:pt idx="5">
                  <c:v>75.093209499071762</c:v>
                </c:pt>
                <c:pt idx="6">
                  <c:v>75.549814639486016</c:v>
                </c:pt>
                <c:pt idx="7">
                  <c:v>64.477219603231347</c:v>
                </c:pt>
              </c:numCache>
            </c:numRef>
          </c:val>
          <c:extLst>
            <c:ext xmlns:c16="http://schemas.microsoft.com/office/drawing/2014/chart" uri="{C3380CC4-5D6E-409C-BE32-E72D297353CC}">
              <c16:uniqueId val="{00000001-0A7C-495E-9AA9-69205FAF44E1}"/>
            </c:ext>
          </c:extLst>
        </c:ser>
        <c:ser>
          <c:idx val="2"/>
          <c:order val="2"/>
          <c:tx>
            <c:strRef>
              <c:f>Charts_Other!$B$22</c:f>
              <c:strCache>
                <c:ptCount val="1"/>
                <c:pt idx="0">
                  <c:v>Leisure Marine</c:v>
                </c:pt>
              </c:strCache>
            </c:strRef>
          </c:tx>
          <c:spPr>
            <a:solidFill>
              <a:schemeClr val="accent4"/>
            </a:solidFill>
            <a:ln>
              <a:noFill/>
            </a:ln>
            <a:effectLst/>
          </c:spPr>
          <c:invertIfNegative val="0"/>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Charts_Other!$C$22:$J$22</c:f>
              <c:numCache>
                <c:formatCode>#,##0_ ;\-#,##0\ </c:formatCode>
                <c:ptCount val="8"/>
                <c:pt idx="0">
                  <c:v>132.62280194843561</c:v>
                </c:pt>
                <c:pt idx="1">
                  <c:v>123.11475364481407</c:v>
                </c:pt>
                <c:pt idx="2">
                  <c:v>128.61187377381626</c:v>
                </c:pt>
                <c:pt idx="3">
                  <c:v>133.34320625739744</c:v>
                </c:pt>
                <c:pt idx="4">
                  <c:v>132.0235817771584</c:v>
                </c:pt>
                <c:pt idx="5">
                  <c:v>133.2168805425857</c:v>
                </c:pt>
                <c:pt idx="6">
                  <c:v>135.37344033912302</c:v>
                </c:pt>
                <c:pt idx="7">
                  <c:v>140.37333792700903</c:v>
                </c:pt>
              </c:numCache>
            </c:numRef>
          </c:val>
          <c:extLst>
            <c:ext xmlns:c16="http://schemas.microsoft.com/office/drawing/2014/chart" uri="{C3380CC4-5D6E-409C-BE32-E72D297353CC}">
              <c16:uniqueId val="{00000002-0A7C-495E-9AA9-69205FAF44E1}"/>
            </c:ext>
          </c:extLst>
        </c:ser>
        <c:ser>
          <c:idx val="1"/>
          <c:order val="3"/>
          <c:tx>
            <c:strRef>
              <c:f>Charts_Other!$B$23</c:f>
              <c:strCache>
                <c:ptCount val="1"/>
                <c:pt idx="0">
                  <c:v>Marine Engineering</c:v>
                </c:pt>
              </c:strCache>
            </c:strRef>
          </c:tx>
          <c:spPr>
            <a:solidFill>
              <a:schemeClr val="accent5">
                <a:lumMod val="60000"/>
                <a:lumOff val="40000"/>
              </a:schemeClr>
            </a:solidFill>
            <a:ln>
              <a:noFill/>
            </a:ln>
            <a:effectLst/>
          </c:spPr>
          <c:invertIfNegative val="0"/>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Charts_Other!$C$23:$J$23</c:f>
              <c:numCache>
                <c:formatCode>#,##0_ ;\-#,##0\ </c:formatCode>
                <c:ptCount val="8"/>
                <c:pt idx="0">
                  <c:v>72.227249858829794</c:v>
                </c:pt>
                <c:pt idx="1">
                  <c:v>85.37446940511856</c:v>
                </c:pt>
                <c:pt idx="2">
                  <c:v>89.835353275264026</c:v>
                </c:pt>
                <c:pt idx="3">
                  <c:v>115.43088400025214</c:v>
                </c:pt>
                <c:pt idx="4">
                  <c:v>89.827044150811915</c:v>
                </c:pt>
                <c:pt idx="5">
                  <c:v>62.992157797047078</c:v>
                </c:pt>
                <c:pt idx="6">
                  <c:v>33.972086731866931</c:v>
                </c:pt>
                <c:pt idx="7">
                  <c:v>45.614377402890355</c:v>
                </c:pt>
              </c:numCache>
            </c:numRef>
          </c:val>
          <c:extLst>
            <c:ext xmlns:c16="http://schemas.microsoft.com/office/drawing/2014/chart" uri="{C3380CC4-5D6E-409C-BE32-E72D297353CC}">
              <c16:uniqueId val="{00000003-0A7C-495E-9AA9-69205FAF44E1}"/>
            </c:ext>
          </c:extLst>
        </c:ser>
        <c:ser>
          <c:idx val="3"/>
          <c:order val="4"/>
          <c:tx>
            <c:strRef>
              <c:f>Charts_Other!$B$24</c:f>
              <c:strCache>
                <c:ptCount val="1"/>
                <c:pt idx="0">
                  <c:v>MBS</c:v>
                </c:pt>
              </c:strCache>
            </c:strRef>
          </c:tx>
          <c:spPr>
            <a:solidFill>
              <a:schemeClr val="accent3"/>
            </a:solidFill>
            <a:ln>
              <a:noFill/>
            </a:ln>
            <a:effectLst/>
          </c:spPr>
          <c:invertIfNegative val="0"/>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Charts_Other!$C$24:$J$24</c:f>
              <c:numCache>
                <c:formatCode>#,##0_ ;\-#,##0\ </c:formatCode>
                <c:ptCount val="8"/>
                <c:pt idx="0">
                  <c:v>6.0168450736441796</c:v>
                </c:pt>
                <c:pt idx="1">
                  <c:v>8.9387165875712409</c:v>
                </c:pt>
                <c:pt idx="2">
                  <c:v>8.4230353821947297</c:v>
                </c:pt>
                <c:pt idx="3">
                  <c:v>7.8300363067365009</c:v>
                </c:pt>
                <c:pt idx="4">
                  <c:v>8.954952637242279</c:v>
                </c:pt>
                <c:pt idx="5">
                  <c:v>21.127189348464604</c:v>
                </c:pt>
                <c:pt idx="6">
                  <c:v>26.273054439655748</c:v>
                </c:pt>
                <c:pt idx="7">
                  <c:v>21.622214676865934</c:v>
                </c:pt>
              </c:numCache>
            </c:numRef>
          </c:val>
          <c:extLst>
            <c:ext xmlns:c16="http://schemas.microsoft.com/office/drawing/2014/chart" uri="{C3380CC4-5D6E-409C-BE32-E72D297353CC}">
              <c16:uniqueId val="{00000004-0A7C-495E-9AA9-69205FAF44E1}"/>
            </c:ext>
          </c:extLst>
        </c:ser>
        <c:ser>
          <c:idx val="5"/>
          <c:order val="5"/>
          <c:tx>
            <c:strRef>
              <c:f>Charts_Other!$B$25</c:f>
              <c:strCache>
                <c:ptCount val="1"/>
                <c:pt idx="0">
                  <c:v>PNB</c:v>
                </c:pt>
              </c:strCache>
            </c:strRef>
          </c:tx>
          <c:spPr>
            <a:solidFill>
              <a:srgbClr val="7030A0"/>
            </a:solidFill>
            <a:ln>
              <a:noFill/>
            </a:ln>
            <a:effectLst/>
          </c:spPr>
          <c:invertIfNegative val="0"/>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Charts_Other!$C$25:$J$25</c:f>
              <c:numCache>
                <c:formatCode>#,##0_ ;\-#,##0\ </c:formatCode>
                <c:ptCount val="8"/>
                <c:pt idx="0">
                  <c:v>138.69812869697066</c:v>
                </c:pt>
                <c:pt idx="1">
                  <c:v>135.34138054638331</c:v>
                </c:pt>
                <c:pt idx="2">
                  <c:v>203.72299028414076</c:v>
                </c:pt>
                <c:pt idx="3">
                  <c:v>170.79971886215446</c:v>
                </c:pt>
                <c:pt idx="4">
                  <c:v>140.10569692865212</c:v>
                </c:pt>
                <c:pt idx="5">
                  <c:v>130.66943298888123</c:v>
                </c:pt>
                <c:pt idx="6">
                  <c:v>107.66835061614009</c:v>
                </c:pt>
                <c:pt idx="7">
                  <c:v>103.31305590697303</c:v>
                </c:pt>
              </c:numCache>
            </c:numRef>
          </c:val>
          <c:extLst>
            <c:ext xmlns:c16="http://schemas.microsoft.com/office/drawing/2014/chart" uri="{C3380CC4-5D6E-409C-BE32-E72D297353CC}">
              <c16:uniqueId val="{00000005-0A7C-495E-9AA9-69205FAF44E1}"/>
            </c:ext>
          </c:extLst>
        </c:ser>
        <c:dLbls>
          <c:showLegendKey val="0"/>
          <c:showVal val="0"/>
          <c:showCatName val="0"/>
          <c:showSerName val="0"/>
          <c:showPercent val="0"/>
          <c:showBubbleSize val="0"/>
        </c:dLbls>
        <c:gapWidth val="150"/>
        <c:overlap val="100"/>
        <c:axId val="107164152"/>
        <c:axId val="107159448"/>
      </c:barChart>
      <c:lineChart>
        <c:grouping val="standard"/>
        <c:varyColors val="0"/>
        <c:ser>
          <c:idx val="6"/>
          <c:order val="6"/>
          <c:tx>
            <c:strRef>
              <c:f>Charts_Other!$B$26</c:f>
              <c:strCache>
                <c:ptCount val="1"/>
                <c:pt idx="0">
                  <c:v>as % UK Maritime Sector (RHS)</c:v>
                </c:pt>
              </c:strCache>
            </c:strRef>
          </c:tx>
          <c:spPr>
            <a:ln w="28575" cap="rnd">
              <a:solidFill>
                <a:srgbClr val="C00000"/>
              </a:solidFill>
              <a:round/>
            </a:ln>
            <a:effectLst/>
          </c:spPr>
          <c:marker>
            <c:symbol val="none"/>
          </c:marker>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Charts_Other!$C$26:$J$26</c:f>
              <c:numCache>
                <c:formatCode>0.0%</c:formatCode>
                <c:ptCount val="8"/>
                <c:pt idx="0">
                  <c:v>6.9192330862469301E-2</c:v>
                </c:pt>
                <c:pt idx="1">
                  <c:v>6.8853403708742419E-2</c:v>
                </c:pt>
                <c:pt idx="2">
                  <c:v>7.3519292588965543E-2</c:v>
                </c:pt>
                <c:pt idx="3">
                  <c:v>7.5715701368247249E-2</c:v>
                </c:pt>
                <c:pt idx="4">
                  <c:v>6.4275836433319175E-2</c:v>
                </c:pt>
                <c:pt idx="5">
                  <c:v>7.3493628052552232E-2</c:v>
                </c:pt>
                <c:pt idx="6">
                  <c:v>7.3684436643215168E-2</c:v>
                </c:pt>
                <c:pt idx="7">
                  <c:v>8.0982096111438515E-2</c:v>
                </c:pt>
              </c:numCache>
            </c:numRef>
          </c:val>
          <c:smooth val="0"/>
          <c:extLst>
            <c:ext xmlns:c16="http://schemas.microsoft.com/office/drawing/2014/chart" uri="{C3380CC4-5D6E-409C-BE32-E72D297353CC}">
              <c16:uniqueId val="{00000006-0A7C-495E-9AA9-69205FAF44E1}"/>
            </c:ext>
          </c:extLst>
        </c:ser>
        <c:dLbls>
          <c:showLegendKey val="0"/>
          <c:showVal val="0"/>
          <c:showCatName val="0"/>
          <c:showSerName val="0"/>
          <c:showPercent val="0"/>
          <c:showBubbleSize val="0"/>
        </c:dLbls>
        <c:marker val="1"/>
        <c:smooth val="0"/>
        <c:axId val="107156704"/>
        <c:axId val="107161016"/>
      </c:lineChart>
      <c:catAx>
        <c:axId val="10716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59448"/>
        <c:crosses val="autoZero"/>
        <c:auto val="1"/>
        <c:lblAlgn val="ctr"/>
        <c:lblOffset val="100"/>
        <c:noMultiLvlLbl val="0"/>
      </c:catAx>
      <c:valAx>
        <c:axId val="107159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64152"/>
        <c:crosses val="autoZero"/>
        <c:crossBetween val="between"/>
      </c:valAx>
      <c:valAx>
        <c:axId val="10716101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Solent</a:t>
                </a:r>
                <a:r>
                  <a:rPr lang="en-GB" baseline="0"/>
                  <a:t> industries as % of UK sector</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56704"/>
        <c:crosses val="max"/>
        <c:crossBetween val="between"/>
      </c:valAx>
      <c:catAx>
        <c:axId val="107156704"/>
        <c:scaling>
          <c:orientation val="minMax"/>
        </c:scaling>
        <c:delete val="1"/>
        <c:axPos val="b"/>
        <c:numFmt formatCode="General" sourceLinked="1"/>
        <c:majorTickMark val="out"/>
        <c:minorTickMark val="none"/>
        <c:tickLblPos val="nextTo"/>
        <c:crossAx val="107161016"/>
        <c:crosses val="autoZero"/>
        <c:auto val="1"/>
        <c:lblAlgn val="ctr"/>
        <c:lblOffset val="100"/>
        <c:noMultiLvlLbl val="0"/>
      </c:catAx>
      <c:spPr>
        <a:noFill/>
        <a:ln>
          <a:noFill/>
        </a:ln>
        <a:effectLst/>
      </c:spPr>
    </c:plotArea>
    <c:legend>
      <c:legendPos val="b"/>
      <c:layout>
        <c:manualLayout>
          <c:xMode val="edge"/>
          <c:yMode val="edge"/>
          <c:x val="1.070599807811023E-2"/>
          <c:y val="0.84254160770923225"/>
          <c:w val="0.98929396151990301"/>
          <c:h val="0.137271663459573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Charts_Other!$B$4</c:f>
              <c:strCache>
                <c:ptCount val="1"/>
                <c:pt idx="0">
                  <c:v>Income Tax</c:v>
                </c:pt>
              </c:strCache>
            </c:strRef>
          </c:tx>
          <c:spPr>
            <a:solidFill>
              <a:schemeClr val="accent1"/>
            </a:solidFill>
            <a:ln>
              <a:noFill/>
            </a:ln>
            <a:effectLst/>
          </c:spPr>
          <c:invertIfNegative val="0"/>
          <c:cat>
            <c:numRef>
              <c:f>Charts_Other!$C$3:$J$3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Charts_Other!$C$4:$J$4</c:f>
              <c:numCache>
                <c:formatCode>#,##0_ ;\-#,##0\ </c:formatCode>
                <c:ptCount val="8"/>
                <c:pt idx="0">
                  <c:v>118.90610959661259</c:v>
                </c:pt>
                <c:pt idx="1">
                  <c:v>102.4096150340857</c:v>
                </c:pt>
                <c:pt idx="2">
                  <c:v>159.94047516370748</c:v>
                </c:pt>
                <c:pt idx="3">
                  <c:v>140.39784106909215</c:v>
                </c:pt>
                <c:pt idx="4">
                  <c:v>113.1491174364634</c:v>
                </c:pt>
                <c:pt idx="5">
                  <c:v>128.64813049884731</c:v>
                </c:pt>
                <c:pt idx="6">
                  <c:v>113.67587225742898</c:v>
                </c:pt>
                <c:pt idx="7">
                  <c:v>123.75208002879162</c:v>
                </c:pt>
              </c:numCache>
            </c:numRef>
          </c:val>
          <c:extLst>
            <c:ext xmlns:c16="http://schemas.microsoft.com/office/drawing/2014/chart" uri="{C3380CC4-5D6E-409C-BE32-E72D297353CC}">
              <c16:uniqueId val="{00000000-EBB7-4B5A-8C25-64986E02CC4E}"/>
            </c:ext>
          </c:extLst>
        </c:ser>
        <c:ser>
          <c:idx val="1"/>
          <c:order val="1"/>
          <c:tx>
            <c:strRef>
              <c:f>Charts_Other!$B$5</c:f>
              <c:strCache>
                <c:ptCount val="1"/>
                <c:pt idx="0">
                  <c:v>NICs</c:v>
                </c:pt>
              </c:strCache>
            </c:strRef>
          </c:tx>
          <c:spPr>
            <a:solidFill>
              <a:schemeClr val="accent2"/>
            </a:solidFill>
            <a:ln>
              <a:noFill/>
            </a:ln>
            <a:effectLst/>
          </c:spPr>
          <c:invertIfNegative val="0"/>
          <c:cat>
            <c:numRef>
              <c:f>Charts_Other!$C$3:$J$3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Charts_Other!$C$5:$J$5</c:f>
              <c:numCache>
                <c:formatCode>#,##0_ ;\-#,##0\ </c:formatCode>
                <c:ptCount val="8"/>
                <c:pt idx="0">
                  <c:v>137.02957413994889</c:v>
                </c:pt>
                <c:pt idx="1">
                  <c:v>126.83921202107777</c:v>
                </c:pt>
                <c:pt idx="2">
                  <c:v>177.14124138933641</c:v>
                </c:pt>
                <c:pt idx="3">
                  <c:v>163.8198868628017</c:v>
                </c:pt>
                <c:pt idx="4">
                  <c:v>132.81611879451651</c:v>
                </c:pt>
                <c:pt idx="5">
                  <c:v>149.6457751075464</c:v>
                </c:pt>
                <c:pt idx="6">
                  <c:v>145.49796800557962</c:v>
                </c:pt>
                <c:pt idx="7">
                  <c:v>153.60533355226141</c:v>
                </c:pt>
              </c:numCache>
            </c:numRef>
          </c:val>
          <c:extLst>
            <c:ext xmlns:c16="http://schemas.microsoft.com/office/drawing/2014/chart" uri="{C3380CC4-5D6E-409C-BE32-E72D297353CC}">
              <c16:uniqueId val="{00000001-EBB7-4B5A-8C25-64986E02CC4E}"/>
            </c:ext>
          </c:extLst>
        </c:ser>
        <c:ser>
          <c:idx val="0"/>
          <c:order val="2"/>
          <c:tx>
            <c:strRef>
              <c:f>Charts_Other!$B$6</c:f>
              <c:strCache>
                <c:ptCount val="1"/>
                <c:pt idx="0">
                  <c:v>VAT</c:v>
                </c:pt>
              </c:strCache>
            </c:strRef>
          </c:tx>
          <c:spPr>
            <a:solidFill>
              <a:schemeClr val="accent4"/>
            </a:solidFill>
            <a:ln>
              <a:noFill/>
            </a:ln>
            <a:effectLst/>
          </c:spPr>
          <c:invertIfNegative val="0"/>
          <c:cat>
            <c:numRef>
              <c:f>Charts_Other!$C$3:$J$3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Charts_Other!$C$6:$J$6</c:f>
              <c:numCache>
                <c:formatCode>#,##0_ ;\-#,##0\ </c:formatCode>
                <c:ptCount val="8"/>
                <c:pt idx="0">
                  <c:v>106.94502463160583</c:v>
                </c:pt>
                <c:pt idx="1">
                  <c:v>108.69701637966401</c:v>
                </c:pt>
                <c:pt idx="2">
                  <c:v>108.37455614926357</c:v>
                </c:pt>
                <c:pt idx="3">
                  <c:v>111.47778044183976</c:v>
                </c:pt>
                <c:pt idx="4">
                  <c:v>113.91562789728948</c:v>
                </c:pt>
                <c:pt idx="5">
                  <c:v>119.98382318037478</c:v>
                </c:pt>
                <c:pt idx="6">
                  <c:v>124.51182450569611</c:v>
                </c:pt>
                <c:pt idx="7">
                  <c:v>124.77728229416535</c:v>
                </c:pt>
              </c:numCache>
            </c:numRef>
          </c:val>
          <c:extLst>
            <c:ext xmlns:c16="http://schemas.microsoft.com/office/drawing/2014/chart" uri="{C3380CC4-5D6E-409C-BE32-E72D297353CC}">
              <c16:uniqueId val="{00000002-EBB7-4B5A-8C25-64986E02CC4E}"/>
            </c:ext>
          </c:extLst>
        </c:ser>
        <c:ser>
          <c:idx val="3"/>
          <c:order val="3"/>
          <c:tx>
            <c:strRef>
              <c:f>Charts_Other!$B$7</c:f>
              <c:strCache>
                <c:ptCount val="1"/>
                <c:pt idx="0">
                  <c:v>Corporation Tax</c:v>
                </c:pt>
              </c:strCache>
            </c:strRef>
          </c:tx>
          <c:spPr>
            <a:solidFill>
              <a:schemeClr val="accent5">
                <a:lumMod val="40000"/>
                <a:lumOff val="60000"/>
              </a:schemeClr>
            </a:solidFill>
            <a:ln>
              <a:noFill/>
            </a:ln>
            <a:effectLst/>
          </c:spPr>
          <c:invertIfNegative val="0"/>
          <c:cat>
            <c:numRef>
              <c:f>Charts_Other!$C$3:$J$3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Charts_Other!$C$7:$J$7</c:f>
              <c:numCache>
                <c:formatCode>#,##0_ ;\-#,##0\ </c:formatCode>
                <c:ptCount val="8"/>
                <c:pt idx="0">
                  <c:v>66.138651219281812</c:v>
                </c:pt>
                <c:pt idx="1">
                  <c:v>87.919091587894684</c:v>
                </c:pt>
                <c:pt idx="2">
                  <c:v>93.116322200925651</c:v>
                </c:pt>
                <c:pt idx="3">
                  <c:v>124.53416831130575</c:v>
                </c:pt>
                <c:pt idx="4">
                  <c:v>106.13321301431259</c:v>
                </c:pt>
                <c:pt idx="5">
                  <c:v>82.531949581008178</c:v>
                </c:pt>
                <c:pt idx="6">
                  <c:v>82.24812688780419</c:v>
                </c:pt>
                <c:pt idx="7">
                  <c:v>103.31822555630303</c:v>
                </c:pt>
              </c:numCache>
            </c:numRef>
          </c:val>
          <c:extLst>
            <c:ext xmlns:c16="http://schemas.microsoft.com/office/drawing/2014/chart" uri="{C3380CC4-5D6E-409C-BE32-E72D297353CC}">
              <c16:uniqueId val="{00000003-EBB7-4B5A-8C25-64986E02CC4E}"/>
            </c:ext>
          </c:extLst>
        </c:ser>
        <c:ser>
          <c:idx val="4"/>
          <c:order val="4"/>
          <c:tx>
            <c:strRef>
              <c:f>Charts_Other!$B$8</c:f>
              <c:strCache>
                <c:ptCount val="1"/>
                <c:pt idx="0">
                  <c:v>Business Rates</c:v>
                </c:pt>
              </c:strCache>
            </c:strRef>
          </c:tx>
          <c:spPr>
            <a:solidFill>
              <a:srgbClr val="7030A0"/>
            </a:solidFill>
            <a:ln>
              <a:noFill/>
            </a:ln>
            <a:effectLst/>
          </c:spPr>
          <c:invertIfNegative val="0"/>
          <c:cat>
            <c:numRef>
              <c:f>Charts_Other!$C$3:$J$3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Charts_Other!$C$8:$J$8</c:f>
              <c:numCache>
                <c:formatCode>#,##0_ ;\-#,##0\ </c:formatCode>
                <c:ptCount val="8"/>
                <c:pt idx="0">
                  <c:v>11.455470502900415</c:v>
                </c:pt>
                <c:pt idx="1">
                  <c:v>14.858197266647997</c:v>
                </c:pt>
                <c:pt idx="2">
                  <c:v>16.919677518815352</c:v>
                </c:pt>
                <c:pt idx="3">
                  <c:v>15.612829646980801</c:v>
                </c:pt>
                <c:pt idx="4">
                  <c:v>17.328230105193022</c:v>
                </c:pt>
                <c:pt idx="5">
                  <c:v>17.369109552207739</c:v>
                </c:pt>
                <c:pt idx="6">
                  <c:v>18.427513784470467</c:v>
                </c:pt>
                <c:pt idx="7">
                  <c:v>18.317468732266001</c:v>
                </c:pt>
              </c:numCache>
            </c:numRef>
          </c:val>
          <c:extLst>
            <c:ext xmlns:c16="http://schemas.microsoft.com/office/drawing/2014/chart" uri="{C3380CC4-5D6E-409C-BE32-E72D297353CC}">
              <c16:uniqueId val="{00000004-EBB7-4B5A-8C25-64986E02CC4E}"/>
            </c:ext>
          </c:extLst>
        </c:ser>
        <c:dLbls>
          <c:showLegendKey val="0"/>
          <c:showVal val="0"/>
          <c:showCatName val="0"/>
          <c:showSerName val="0"/>
          <c:showPercent val="0"/>
          <c:showBubbleSize val="0"/>
        </c:dLbls>
        <c:gapWidth val="150"/>
        <c:overlap val="100"/>
        <c:axId val="107163760"/>
        <c:axId val="107157096"/>
      </c:barChart>
      <c:catAx>
        <c:axId val="10716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57096"/>
        <c:crosses val="autoZero"/>
        <c:auto val="1"/>
        <c:lblAlgn val="ctr"/>
        <c:lblOffset val="100"/>
        <c:noMultiLvlLbl val="0"/>
      </c:catAx>
      <c:valAx>
        <c:axId val="107157096"/>
        <c:scaling>
          <c:orientation val="minMax"/>
          <c:max val="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6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0336832895888"/>
          <c:y val="5.0925925925925923E-2"/>
          <c:w val="0.80543503937007876"/>
          <c:h val="0.70774131877052304"/>
        </c:manualLayout>
      </c:layout>
      <c:barChart>
        <c:barDir val="col"/>
        <c:grouping val="stacked"/>
        <c:varyColors val="0"/>
        <c:ser>
          <c:idx val="0"/>
          <c:order val="0"/>
          <c:tx>
            <c:strRef>
              <c:f>Charts_Other!$B$35</c:f>
              <c:strCache>
                <c:ptCount val="1"/>
                <c:pt idx="0">
                  <c:v>Shipping</c:v>
                </c:pt>
              </c:strCache>
            </c:strRef>
          </c:tx>
          <c:spPr>
            <a:solidFill>
              <a:schemeClr val="accent1"/>
            </a:solidFill>
            <a:ln>
              <a:noFill/>
            </a:ln>
            <a:effectLst/>
          </c:spPr>
          <c:invertIfNegative val="0"/>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Charts_Other!$C$35:$J$35</c:f>
              <c:numCache>
                <c:formatCode>#,##0_ ;\-#,##0\ </c:formatCode>
                <c:ptCount val="8"/>
                <c:pt idx="0">
                  <c:v>932.25766402189174</c:v>
                </c:pt>
                <c:pt idx="1">
                  <c:v>1025.8576677578469</c:v>
                </c:pt>
                <c:pt idx="2">
                  <c:v>1060.7836426662489</c:v>
                </c:pt>
                <c:pt idx="3">
                  <c:v>1000.7461256786914</c:v>
                </c:pt>
                <c:pt idx="4">
                  <c:v>802.60169866531453</c:v>
                </c:pt>
                <c:pt idx="5">
                  <c:v>495.37709906587293</c:v>
                </c:pt>
                <c:pt idx="6">
                  <c:v>762.20354331588942</c:v>
                </c:pt>
                <c:pt idx="7">
                  <c:v>905.38310457072953</c:v>
                </c:pt>
              </c:numCache>
            </c:numRef>
          </c:val>
          <c:extLst>
            <c:ext xmlns:c16="http://schemas.microsoft.com/office/drawing/2014/chart" uri="{C3380CC4-5D6E-409C-BE32-E72D297353CC}">
              <c16:uniqueId val="{00000000-D3EF-4695-AD62-F7DB1CAE2020}"/>
            </c:ext>
          </c:extLst>
        </c:ser>
        <c:ser>
          <c:idx val="2"/>
          <c:order val="1"/>
          <c:tx>
            <c:strRef>
              <c:f>Charts_Other!$B$36</c:f>
              <c:strCache>
                <c:ptCount val="1"/>
                <c:pt idx="0">
                  <c:v>Ports</c:v>
                </c:pt>
              </c:strCache>
            </c:strRef>
          </c:tx>
          <c:spPr>
            <a:solidFill>
              <a:schemeClr val="accent2"/>
            </a:solidFill>
            <a:ln>
              <a:noFill/>
            </a:ln>
            <a:effectLst/>
          </c:spPr>
          <c:invertIfNegative val="0"/>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Charts_Other!$C$36:$J$36</c:f>
              <c:numCache>
                <c:formatCode>#,##0_ ;\-#,##0\ </c:formatCode>
                <c:ptCount val="8"/>
                <c:pt idx="0">
                  <c:v>91.503731067448996</c:v>
                </c:pt>
                <c:pt idx="1">
                  <c:v>197.9224427564497</c:v>
                </c:pt>
                <c:pt idx="2">
                  <c:v>199.57610315927582</c:v>
                </c:pt>
                <c:pt idx="3">
                  <c:v>182.66608517460966</c:v>
                </c:pt>
                <c:pt idx="4">
                  <c:v>165.56830902611537</c:v>
                </c:pt>
                <c:pt idx="5">
                  <c:v>460.99639704307265</c:v>
                </c:pt>
                <c:pt idx="6">
                  <c:v>455.65617615680929</c:v>
                </c:pt>
                <c:pt idx="7">
                  <c:v>411.60343600990956</c:v>
                </c:pt>
              </c:numCache>
            </c:numRef>
          </c:val>
          <c:extLst>
            <c:ext xmlns:c16="http://schemas.microsoft.com/office/drawing/2014/chart" uri="{C3380CC4-5D6E-409C-BE32-E72D297353CC}">
              <c16:uniqueId val="{00000001-D3EF-4695-AD62-F7DB1CAE2020}"/>
            </c:ext>
          </c:extLst>
        </c:ser>
        <c:ser>
          <c:idx val="5"/>
          <c:order val="2"/>
          <c:tx>
            <c:strRef>
              <c:f>Charts_Other!$B$37</c:f>
              <c:strCache>
                <c:ptCount val="1"/>
                <c:pt idx="0">
                  <c:v>Leisure Marine</c:v>
                </c:pt>
              </c:strCache>
            </c:strRef>
          </c:tx>
          <c:spPr>
            <a:solidFill>
              <a:schemeClr val="accent4"/>
            </a:solidFill>
            <a:ln>
              <a:noFill/>
            </a:ln>
            <a:effectLst/>
          </c:spPr>
          <c:invertIfNegative val="0"/>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Charts_Other!$C$37:$J$37</c:f>
              <c:numCache>
                <c:formatCode>#,##0_ ;\-#,##0\ </c:formatCode>
                <c:ptCount val="8"/>
                <c:pt idx="0">
                  <c:v>149.37337881472646</c:v>
                </c:pt>
                <c:pt idx="1">
                  <c:v>139.62861039251692</c:v>
                </c:pt>
                <c:pt idx="2">
                  <c:v>150.34785565694742</c:v>
                </c:pt>
                <c:pt idx="3">
                  <c:v>130.57989685760802</c:v>
                </c:pt>
                <c:pt idx="4">
                  <c:v>124.59382482682217</c:v>
                </c:pt>
                <c:pt idx="5">
                  <c:v>122.78408211984038</c:v>
                </c:pt>
                <c:pt idx="6">
                  <c:v>128.63094317316612</c:v>
                </c:pt>
                <c:pt idx="7">
                  <c:v>149.23416783726631</c:v>
                </c:pt>
              </c:numCache>
            </c:numRef>
          </c:val>
          <c:extLst>
            <c:ext xmlns:c16="http://schemas.microsoft.com/office/drawing/2014/chart" uri="{C3380CC4-5D6E-409C-BE32-E72D297353CC}">
              <c16:uniqueId val="{00000002-D3EF-4695-AD62-F7DB1CAE2020}"/>
            </c:ext>
          </c:extLst>
        </c:ser>
        <c:ser>
          <c:idx val="1"/>
          <c:order val="3"/>
          <c:tx>
            <c:strRef>
              <c:f>Charts_Other!$B$38</c:f>
              <c:strCache>
                <c:ptCount val="1"/>
                <c:pt idx="0">
                  <c:v>Marine Engineering</c:v>
                </c:pt>
              </c:strCache>
            </c:strRef>
          </c:tx>
          <c:spPr>
            <a:solidFill>
              <a:schemeClr val="accent5">
                <a:lumMod val="40000"/>
                <a:lumOff val="60000"/>
              </a:schemeClr>
            </a:solidFill>
            <a:ln>
              <a:noFill/>
            </a:ln>
            <a:effectLst/>
          </c:spPr>
          <c:invertIfNegative val="0"/>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Charts_Other!$C$38:$J$38</c:f>
              <c:numCache>
                <c:formatCode>#,##0_ ;\-#,##0\ </c:formatCode>
                <c:ptCount val="8"/>
                <c:pt idx="0">
                  <c:v>51.04427440913129</c:v>
                </c:pt>
                <c:pt idx="1">
                  <c:v>58.264731442887978</c:v>
                </c:pt>
                <c:pt idx="2">
                  <c:v>63.614628439368083</c:v>
                </c:pt>
                <c:pt idx="3">
                  <c:v>74.590053514413952</c:v>
                </c:pt>
                <c:pt idx="4">
                  <c:v>46.546653853049307</c:v>
                </c:pt>
                <c:pt idx="5">
                  <c:v>51.813861906853234</c:v>
                </c:pt>
                <c:pt idx="6">
                  <c:v>25.471101209111538</c:v>
                </c:pt>
                <c:pt idx="7">
                  <c:v>25.169306153603841</c:v>
                </c:pt>
              </c:numCache>
            </c:numRef>
          </c:val>
          <c:extLst>
            <c:ext xmlns:c16="http://schemas.microsoft.com/office/drawing/2014/chart" uri="{C3380CC4-5D6E-409C-BE32-E72D297353CC}">
              <c16:uniqueId val="{00000003-D3EF-4695-AD62-F7DB1CAE2020}"/>
            </c:ext>
          </c:extLst>
        </c:ser>
        <c:ser>
          <c:idx val="3"/>
          <c:order val="4"/>
          <c:tx>
            <c:strRef>
              <c:f>Charts_Other!$B$39</c:f>
              <c:strCache>
                <c:ptCount val="1"/>
                <c:pt idx="0">
                  <c:v>MBS</c:v>
                </c:pt>
              </c:strCache>
            </c:strRef>
          </c:tx>
          <c:spPr>
            <a:solidFill>
              <a:schemeClr val="accent3"/>
            </a:solidFill>
            <a:ln>
              <a:noFill/>
            </a:ln>
            <a:effectLst/>
          </c:spPr>
          <c:invertIfNegative val="0"/>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Charts_Other!$C$39:$J$39</c:f>
              <c:numCache>
                <c:formatCode>#,##0_ ;\-#,##0\ </c:formatCode>
                <c:ptCount val="8"/>
                <c:pt idx="0">
                  <c:v>7.7926951994417593</c:v>
                </c:pt>
                <c:pt idx="1">
                  <c:v>13.305331725323471</c:v>
                </c:pt>
                <c:pt idx="2">
                  <c:v>12.911015538531679</c:v>
                </c:pt>
                <c:pt idx="3">
                  <c:v>13.679522771990444</c:v>
                </c:pt>
                <c:pt idx="4">
                  <c:v>14.91583950130477</c:v>
                </c:pt>
                <c:pt idx="5">
                  <c:v>34.351598717918563</c:v>
                </c:pt>
                <c:pt idx="6">
                  <c:v>38.324431266006115</c:v>
                </c:pt>
                <c:pt idx="7">
                  <c:v>32.878385862022689</c:v>
                </c:pt>
              </c:numCache>
            </c:numRef>
          </c:val>
          <c:extLst>
            <c:ext xmlns:c16="http://schemas.microsoft.com/office/drawing/2014/chart" uri="{C3380CC4-5D6E-409C-BE32-E72D297353CC}">
              <c16:uniqueId val="{00000004-D3EF-4695-AD62-F7DB1CAE2020}"/>
            </c:ext>
          </c:extLst>
        </c:ser>
        <c:ser>
          <c:idx val="4"/>
          <c:order val="5"/>
          <c:tx>
            <c:strRef>
              <c:f>Charts_Other!$B$40</c:f>
              <c:strCache>
                <c:ptCount val="1"/>
                <c:pt idx="0">
                  <c:v>PNB</c:v>
                </c:pt>
              </c:strCache>
            </c:strRef>
          </c:tx>
          <c:spPr>
            <a:solidFill>
              <a:srgbClr val="7030A0"/>
            </a:solidFill>
            <a:ln>
              <a:noFill/>
            </a:ln>
            <a:effectLst/>
          </c:spPr>
          <c:invertIfNegative val="0"/>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Charts_Other!$C$40:$J$40</c:f>
              <c:numCache>
                <c:formatCode>#,##0_ ;\-#,##0\ </c:formatCode>
                <c:ptCount val="8"/>
                <c:pt idx="0">
                  <c:v>37.552033649187585</c:v>
                </c:pt>
                <c:pt idx="1">
                  <c:v>42.360284694724385</c:v>
                </c:pt>
                <c:pt idx="2">
                  <c:v>48.561326913012046</c:v>
                </c:pt>
                <c:pt idx="3">
                  <c:v>53.839551575035046</c:v>
                </c:pt>
                <c:pt idx="4">
                  <c:v>24.929883718281168</c:v>
                </c:pt>
                <c:pt idx="5">
                  <c:v>33.622293234767376</c:v>
                </c:pt>
                <c:pt idx="6">
                  <c:v>11.718710306984987</c:v>
                </c:pt>
                <c:pt idx="7">
                  <c:v>10.998104252636514</c:v>
                </c:pt>
              </c:numCache>
            </c:numRef>
          </c:val>
          <c:extLst>
            <c:ext xmlns:c16="http://schemas.microsoft.com/office/drawing/2014/chart" uri="{C3380CC4-5D6E-409C-BE32-E72D297353CC}">
              <c16:uniqueId val="{00000005-D3EF-4695-AD62-F7DB1CAE2020}"/>
            </c:ext>
          </c:extLst>
        </c:ser>
        <c:dLbls>
          <c:showLegendKey val="0"/>
          <c:showVal val="0"/>
          <c:showCatName val="0"/>
          <c:showSerName val="0"/>
          <c:showPercent val="0"/>
          <c:showBubbleSize val="0"/>
        </c:dLbls>
        <c:gapWidth val="150"/>
        <c:overlap val="100"/>
        <c:axId val="107158272"/>
        <c:axId val="107159056"/>
      </c:barChart>
      <c:lineChart>
        <c:grouping val="standard"/>
        <c:varyColors val="0"/>
        <c:ser>
          <c:idx val="6"/>
          <c:order val="6"/>
          <c:tx>
            <c:strRef>
              <c:f>Charts_Other!$B$41</c:f>
              <c:strCache>
                <c:ptCount val="1"/>
                <c:pt idx="0">
                  <c:v>as % UK Maritime Sector (RHS)</c:v>
                </c:pt>
              </c:strCache>
            </c:strRef>
          </c:tx>
          <c:spPr>
            <a:ln w="28575" cap="rnd">
              <a:solidFill>
                <a:srgbClr val="C00000"/>
              </a:solidFill>
              <a:round/>
            </a:ln>
            <a:effectLst/>
          </c:spPr>
          <c:marker>
            <c:symbol val="none"/>
          </c:marker>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Charts_Other!$C$41:$J$41</c:f>
              <c:numCache>
                <c:formatCode>0.0%</c:formatCode>
                <c:ptCount val="8"/>
                <c:pt idx="0">
                  <c:v>8.0801818736924297E-2</c:v>
                </c:pt>
                <c:pt idx="1">
                  <c:v>8.656337415216131E-2</c:v>
                </c:pt>
                <c:pt idx="2">
                  <c:v>9.4872028603645256E-2</c:v>
                </c:pt>
                <c:pt idx="3">
                  <c:v>9.2997079603754779E-2</c:v>
                </c:pt>
                <c:pt idx="4">
                  <c:v>7.9521044593676246E-2</c:v>
                </c:pt>
                <c:pt idx="5">
                  <c:v>9.4960320990056329E-2</c:v>
                </c:pt>
                <c:pt idx="6">
                  <c:v>0.11362503081438216</c:v>
                </c:pt>
                <c:pt idx="7">
                  <c:v>0.12264215461002823</c:v>
                </c:pt>
              </c:numCache>
            </c:numRef>
          </c:val>
          <c:smooth val="0"/>
          <c:extLst>
            <c:ext xmlns:c16="http://schemas.microsoft.com/office/drawing/2014/chart" uri="{C3380CC4-5D6E-409C-BE32-E72D297353CC}">
              <c16:uniqueId val="{00000006-D3EF-4695-AD62-F7DB1CAE2020}"/>
            </c:ext>
          </c:extLst>
        </c:ser>
        <c:dLbls>
          <c:showLegendKey val="0"/>
          <c:showVal val="0"/>
          <c:showCatName val="0"/>
          <c:showSerName val="0"/>
          <c:showPercent val="0"/>
          <c:showBubbleSize val="0"/>
        </c:dLbls>
        <c:marker val="1"/>
        <c:smooth val="0"/>
        <c:axId val="107157880"/>
        <c:axId val="107161800"/>
      </c:lineChart>
      <c:catAx>
        <c:axId val="10715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59056"/>
        <c:crosses val="autoZero"/>
        <c:auto val="1"/>
        <c:lblAlgn val="ctr"/>
        <c:lblOffset val="100"/>
        <c:noMultiLvlLbl val="0"/>
      </c:catAx>
      <c:valAx>
        <c:axId val="107159056"/>
        <c:scaling>
          <c:orientation val="minMax"/>
          <c:max val="1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58272"/>
        <c:crosses val="autoZero"/>
        <c:crossBetween val="between"/>
      </c:valAx>
      <c:valAx>
        <c:axId val="107161800"/>
        <c:scaling>
          <c:orientation val="minMax"/>
          <c:max val="0.13"/>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Solent industries as % of UK sector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57880"/>
        <c:crosses val="max"/>
        <c:crossBetween val="between"/>
      </c:valAx>
      <c:catAx>
        <c:axId val="107157880"/>
        <c:scaling>
          <c:orientation val="minMax"/>
        </c:scaling>
        <c:delete val="1"/>
        <c:axPos val="b"/>
        <c:numFmt formatCode="General" sourceLinked="1"/>
        <c:majorTickMark val="out"/>
        <c:minorTickMark val="none"/>
        <c:tickLblPos val="nextTo"/>
        <c:crossAx val="107161800"/>
        <c:crosses val="autoZero"/>
        <c:auto val="1"/>
        <c:lblAlgn val="ctr"/>
        <c:lblOffset val="100"/>
        <c:noMultiLvlLbl val="0"/>
      </c:catAx>
      <c:spPr>
        <a:noFill/>
        <a:ln>
          <a:noFill/>
        </a:ln>
        <a:effectLst/>
      </c:spPr>
    </c:plotArea>
    <c:legend>
      <c:legendPos val="b"/>
      <c:layout>
        <c:manualLayout>
          <c:xMode val="edge"/>
          <c:yMode val="edge"/>
          <c:x val="1.3178477690288714E-2"/>
          <c:y val="0.84877818562525209"/>
          <c:w val="0.98017530660364616"/>
          <c:h val="0.15122181437474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Maritime Turnover (LHS)</c:v>
          </c:tx>
          <c:spPr>
            <a:ln w="28575" cap="rnd">
              <a:solidFill>
                <a:schemeClr val="accent1"/>
              </a:solidFill>
              <a:round/>
            </a:ln>
            <a:effectLst/>
          </c:spPr>
          <c:marker>
            <c:symbol val="none"/>
          </c:marker>
          <c:cat>
            <c:numRef>
              <c:f>'[1]Report chart'!$A$8:$A$16</c:f>
              <c:numCache>
                <c:formatCode>General</c:formatCode>
                <c:ptCount val="9"/>
                <c:pt idx="0">
                  <c:v>0</c:v>
                </c:pt>
                <c:pt idx="1">
                  <c:v>0</c:v>
                </c:pt>
                <c:pt idx="2">
                  <c:v>0</c:v>
                </c:pt>
                <c:pt idx="3">
                  <c:v>0</c:v>
                </c:pt>
                <c:pt idx="4">
                  <c:v>0</c:v>
                </c:pt>
                <c:pt idx="5">
                  <c:v>0</c:v>
                </c:pt>
                <c:pt idx="6">
                  <c:v>0</c:v>
                </c:pt>
                <c:pt idx="7">
                  <c:v>0</c:v>
                </c:pt>
                <c:pt idx="8">
                  <c:v>0</c:v>
                </c:pt>
              </c:numCache>
            </c:numRef>
          </c:cat>
          <c:val>
            <c:numRef>
              <c:f>'Report chart'!$B$8:$B$16</c:f>
              <c:numCache>
                <c:formatCode>#,##0</c:formatCode>
                <c:ptCount val="9"/>
                <c:pt idx="0">
                  <c:v>4053.1456257229479</c:v>
                </c:pt>
                <c:pt idx="1">
                  <c:v>5107.4660847423638</c:v>
                </c:pt>
                <c:pt idx="2">
                  <c:v>5425.3297373687992</c:v>
                </c:pt>
                <c:pt idx="3">
                  <c:v>5710.7299380957302</c:v>
                </c:pt>
                <c:pt idx="4">
                  <c:v>5883.5526694399814</c:v>
                </c:pt>
                <c:pt idx="5">
                  <c:v>6063.2058330207956</c:v>
                </c:pt>
                <c:pt idx="6">
                  <c:v>6266.0312900384815</c:v>
                </c:pt>
                <c:pt idx="7">
                  <c:v>6446.770022163405</c:v>
                </c:pt>
                <c:pt idx="8">
                  <c:v>6640.2981909572572</c:v>
                </c:pt>
              </c:numCache>
            </c:numRef>
          </c:val>
          <c:smooth val="0"/>
          <c:extLst>
            <c:ext xmlns:c16="http://schemas.microsoft.com/office/drawing/2014/chart" uri="{C3380CC4-5D6E-409C-BE32-E72D297353CC}">
              <c16:uniqueId val="{00000000-92BF-48FB-95B9-BA5C40199C2C}"/>
            </c:ext>
          </c:extLst>
        </c:ser>
        <c:dLbls>
          <c:showLegendKey val="0"/>
          <c:showVal val="0"/>
          <c:showCatName val="0"/>
          <c:showSerName val="0"/>
          <c:showPercent val="0"/>
          <c:showBubbleSize val="0"/>
        </c:dLbls>
        <c:marker val="1"/>
        <c:smooth val="0"/>
        <c:axId val="107158664"/>
        <c:axId val="107160624"/>
      </c:lineChart>
      <c:lineChart>
        <c:grouping val="standard"/>
        <c:varyColors val="0"/>
        <c:ser>
          <c:idx val="1"/>
          <c:order val="1"/>
          <c:tx>
            <c:v>Maritime GVA (RHS)</c:v>
          </c:tx>
          <c:spPr>
            <a:ln w="28575" cap="rnd">
              <a:solidFill>
                <a:schemeClr val="accent2"/>
              </a:solidFill>
              <a:round/>
            </a:ln>
            <a:effectLst/>
          </c:spPr>
          <c:marker>
            <c:symbol val="none"/>
          </c:marker>
          <c:cat>
            <c:numRef>
              <c:f>'[1]Complete GVA Forecast'!$C$5:$M$5</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cat>
          <c:val>
            <c:numRef>
              <c:f>'Report chart'!$C$8:$C$16</c:f>
              <c:numCache>
                <c:formatCode>#,##0</c:formatCode>
                <c:ptCount val="9"/>
                <c:pt idx="0">
                  <c:v>1635.1798480897144</c:v>
                </c:pt>
                <c:pt idx="1">
                  <c:v>1972.770347491914</c:v>
                </c:pt>
                <c:pt idx="2">
                  <c:v>2127.9378001918858</c:v>
                </c:pt>
                <c:pt idx="3">
                  <c:v>2323.2939386905441</c:v>
                </c:pt>
                <c:pt idx="4">
                  <c:v>2393.603340212328</c:v>
                </c:pt>
                <c:pt idx="5">
                  <c:v>2466.6915637036082</c:v>
                </c:pt>
                <c:pt idx="6">
                  <c:v>2549.2069619117856</c:v>
                </c:pt>
                <c:pt idx="7">
                  <c:v>2622.736826812466</c:v>
                </c:pt>
                <c:pt idx="8">
                  <c:v>2701.469813032887</c:v>
                </c:pt>
              </c:numCache>
            </c:numRef>
          </c:val>
          <c:smooth val="0"/>
          <c:extLst>
            <c:ext xmlns:c16="http://schemas.microsoft.com/office/drawing/2014/chart" uri="{C3380CC4-5D6E-409C-BE32-E72D297353CC}">
              <c16:uniqueId val="{00000001-92BF-48FB-95B9-BA5C40199C2C}"/>
            </c:ext>
          </c:extLst>
        </c:ser>
        <c:dLbls>
          <c:showLegendKey val="0"/>
          <c:showVal val="0"/>
          <c:showCatName val="0"/>
          <c:showSerName val="0"/>
          <c:showPercent val="0"/>
          <c:showBubbleSize val="0"/>
        </c:dLbls>
        <c:marker val="1"/>
        <c:smooth val="0"/>
        <c:axId val="107162192"/>
        <c:axId val="107161408"/>
      </c:lineChart>
      <c:catAx>
        <c:axId val="107158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7160624"/>
        <c:crosses val="autoZero"/>
        <c:auto val="1"/>
        <c:lblAlgn val="ctr"/>
        <c:lblOffset val="100"/>
        <c:noMultiLvlLbl val="0"/>
      </c:catAx>
      <c:valAx>
        <c:axId val="107160624"/>
        <c:scaling>
          <c:orientation val="minMax"/>
          <c:min val="35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7158664"/>
        <c:crosses val="autoZero"/>
        <c:crossBetween val="between"/>
      </c:valAx>
      <c:valAx>
        <c:axId val="107161408"/>
        <c:scaling>
          <c:orientation val="minMax"/>
          <c:max val="3000"/>
          <c:min val="15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7162192"/>
        <c:crosses val="max"/>
        <c:crossBetween val="between"/>
      </c:valAx>
      <c:catAx>
        <c:axId val="107162192"/>
        <c:scaling>
          <c:orientation val="minMax"/>
        </c:scaling>
        <c:delete val="1"/>
        <c:axPos val="b"/>
        <c:numFmt formatCode="General" sourceLinked="1"/>
        <c:majorTickMark val="out"/>
        <c:minorTickMark val="none"/>
        <c:tickLblPos val="nextTo"/>
        <c:crossAx val="1071614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80131285342991"/>
          <c:y val="8.1831117641067111E-2"/>
          <c:w val="0.77555582609349305"/>
          <c:h val="0.79879127221994151"/>
        </c:manualLayout>
      </c:layout>
      <c:barChart>
        <c:barDir val="col"/>
        <c:grouping val="clustered"/>
        <c:varyColors val="0"/>
        <c:ser>
          <c:idx val="0"/>
          <c:order val="0"/>
          <c:tx>
            <c:strRef>
              <c:f>Sheet1!$A$8</c:f>
              <c:strCache>
                <c:ptCount val="1"/>
                <c:pt idx="0">
                  <c:v>Solent - Total</c:v>
                </c:pt>
              </c:strCache>
            </c:strRef>
          </c:tx>
          <c:spPr>
            <a:solidFill>
              <a:schemeClr val="accent1"/>
            </a:solidFill>
            <a:ln>
              <a:noFill/>
            </a:ln>
            <a:effectLst/>
          </c:spPr>
          <c:invertIfNegative val="0"/>
          <c:cat>
            <c:numRef>
              <c:f>Sheet1!$B$4:$AC$4</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Sheet1!$B$8:$AC$8</c:f>
              <c:numCache>
                <c:formatCode>#,##0</c:formatCode>
                <c:ptCount val="28"/>
                <c:pt idx="0">
                  <c:v>31836.914000000004</c:v>
                </c:pt>
                <c:pt idx="1">
                  <c:v>35169.5</c:v>
                </c:pt>
                <c:pt idx="2">
                  <c:v>33467.501000000004</c:v>
                </c:pt>
                <c:pt idx="3">
                  <c:v>34945.870999999999</c:v>
                </c:pt>
                <c:pt idx="4">
                  <c:v>35996.303</c:v>
                </c:pt>
                <c:pt idx="5">
                  <c:v>37107.675999999999</c:v>
                </c:pt>
                <c:pt idx="6">
                  <c:v>38876.654000000002</c:v>
                </c:pt>
                <c:pt idx="7">
                  <c:v>37834.167000000001</c:v>
                </c:pt>
                <c:pt idx="8">
                  <c:v>39096.002000000008</c:v>
                </c:pt>
                <c:pt idx="9">
                  <c:v>38018.071000000004</c:v>
                </c:pt>
                <c:pt idx="10">
                  <c:v>39728.368999999802</c:v>
                </c:pt>
                <c:pt idx="11">
                  <c:v>40451.178999999902</c:v>
                </c:pt>
                <c:pt idx="12">
                  <c:v>38733.739999999794</c:v>
                </c:pt>
                <c:pt idx="13">
                  <c:v>40274.810000000194</c:v>
                </c:pt>
                <c:pt idx="14">
                  <c:v>43563.947999999698</c:v>
                </c:pt>
                <c:pt idx="15">
                  <c:v>45056.616000000104</c:v>
                </c:pt>
                <c:pt idx="16">
                  <c:v>44997.131999999801</c:v>
                </c:pt>
                <c:pt idx="17">
                  <c:v>48042.0809999997</c:v>
                </c:pt>
                <c:pt idx="18">
                  <c:v>45163.012000000002</c:v>
                </c:pt>
                <c:pt idx="19">
                  <c:v>41330.141000000498</c:v>
                </c:pt>
                <c:pt idx="20">
                  <c:v>43339.991999999998</c:v>
                </c:pt>
                <c:pt idx="21">
                  <c:v>41873.877</c:v>
                </c:pt>
                <c:pt idx="22">
                  <c:v>41891.8570000002</c:v>
                </c:pt>
                <c:pt idx="23">
                  <c:v>39591.400999999794</c:v>
                </c:pt>
                <c:pt idx="24">
                  <c:v>40685.272000000201</c:v>
                </c:pt>
                <c:pt idx="25">
                  <c:v>41657.082000000199</c:v>
                </c:pt>
                <c:pt idx="26">
                  <c:v>40198.925000000498</c:v>
                </c:pt>
                <c:pt idx="27">
                  <c:v>38678.031999999803</c:v>
                </c:pt>
              </c:numCache>
            </c:numRef>
          </c:val>
          <c:extLst>
            <c:ext xmlns:c16="http://schemas.microsoft.com/office/drawing/2014/chart" uri="{C3380CC4-5D6E-409C-BE32-E72D297353CC}">
              <c16:uniqueId val="{00000000-7AF8-4FC4-BF14-2AFADE7A476B}"/>
            </c:ext>
          </c:extLst>
        </c:ser>
        <c:dLbls>
          <c:showLegendKey val="0"/>
          <c:showVal val="0"/>
          <c:showCatName val="0"/>
          <c:showSerName val="0"/>
          <c:showPercent val="0"/>
          <c:showBubbleSize val="0"/>
        </c:dLbls>
        <c:gapWidth val="219"/>
        <c:overlap val="-27"/>
        <c:axId val="120787336"/>
        <c:axId val="120788120"/>
      </c:barChart>
      <c:lineChart>
        <c:grouping val="standard"/>
        <c:varyColors val="0"/>
        <c:ser>
          <c:idx val="2"/>
          <c:order val="1"/>
          <c:tx>
            <c:strRef>
              <c:f>Sheet1!$A$11</c:f>
              <c:strCache>
                <c:ptCount val="1"/>
                <c:pt idx="0">
                  <c:v>Solent as % UK (RHS)</c:v>
                </c:pt>
              </c:strCache>
            </c:strRef>
          </c:tx>
          <c:spPr>
            <a:ln w="28575" cap="rnd">
              <a:solidFill>
                <a:schemeClr val="accent5">
                  <a:lumMod val="60000"/>
                  <a:lumOff val="40000"/>
                </a:schemeClr>
              </a:solidFill>
              <a:round/>
            </a:ln>
            <a:effectLst/>
          </c:spPr>
          <c:marker>
            <c:symbol val="none"/>
          </c:marker>
          <c:val>
            <c:numRef>
              <c:f>Sheet1!$B$11:$AC$11</c:f>
              <c:numCache>
                <c:formatCode>0.0%</c:formatCode>
                <c:ptCount val="28"/>
                <c:pt idx="0">
                  <c:v>6.4713425758551005E-2</c:v>
                </c:pt>
                <c:pt idx="1">
                  <c:v>7.110251041767672E-2</c:v>
                </c:pt>
                <c:pt idx="2">
                  <c:v>6.7522345391477154E-2</c:v>
                </c:pt>
                <c:pt idx="3">
                  <c:v>6.9032423083895358E-2</c:v>
                </c:pt>
                <c:pt idx="4">
                  <c:v>6.6891426484159244E-2</c:v>
                </c:pt>
                <c:pt idx="5">
                  <c:v>6.7686359966891763E-2</c:v>
                </c:pt>
                <c:pt idx="6">
                  <c:v>7.0525465087808104E-2</c:v>
                </c:pt>
                <c:pt idx="7">
                  <c:v>6.7738837957198816E-2</c:v>
                </c:pt>
                <c:pt idx="8">
                  <c:v>6.8770195494134323E-2</c:v>
                </c:pt>
                <c:pt idx="9">
                  <c:v>6.7215581338252631E-2</c:v>
                </c:pt>
                <c:pt idx="10">
                  <c:v>6.9327947474836796E-2</c:v>
                </c:pt>
                <c:pt idx="11">
                  <c:v>7.1422283726659513E-2</c:v>
                </c:pt>
                <c:pt idx="12">
                  <c:v>6.9421837154844665E-2</c:v>
                </c:pt>
                <c:pt idx="13">
                  <c:v>7.2533267763070342E-2</c:v>
                </c:pt>
                <c:pt idx="14">
                  <c:v>7.6059697226208298E-2</c:v>
                </c:pt>
                <c:pt idx="15">
                  <c:v>7.7080324805095649E-2</c:v>
                </c:pt>
                <c:pt idx="16">
                  <c:v>7.7147452235109173E-2</c:v>
                </c:pt>
                <c:pt idx="17">
                  <c:v>8.2616956346932807E-2</c:v>
                </c:pt>
                <c:pt idx="18">
                  <c:v>8.0337438998203878E-2</c:v>
                </c:pt>
                <c:pt idx="19">
                  <c:v>8.2514971814396251E-2</c:v>
                </c:pt>
                <c:pt idx="20">
                  <c:v>8.4672325269324986E-2</c:v>
                </c:pt>
                <c:pt idx="21">
                  <c:v>8.0605022374446458E-2</c:v>
                </c:pt>
                <c:pt idx="22">
                  <c:v>8.363987115326954E-2</c:v>
                </c:pt>
                <c:pt idx="23">
                  <c:v>7.8659857111150228E-2</c:v>
                </c:pt>
                <c:pt idx="24">
                  <c:v>8.0857754310241836E-2</c:v>
                </c:pt>
                <c:pt idx="25">
                  <c:v>8.3866386414667163E-2</c:v>
                </c:pt>
                <c:pt idx="26">
                  <c:v>8.3047412417928498E-2</c:v>
                </c:pt>
                <c:pt idx="27">
                  <c:v>8.0275763852898335E-2</c:v>
                </c:pt>
              </c:numCache>
            </c:numRef>
          </c:val>
          <c:smooth val="0"/>
          <c:extLst>
            <c:ext xmlns:c16="http://schemas.microsoft.com/office/drawing/2014/chart" uri="{C3380CC4-5D6E-409C-BE32-E72D297353CC}">
              <c16:uniqueId val="{00000001-7AF8-4FC4-BF14-2AFADE7A476B}"/>
            </c:ext>
          </c:extLst>
        </c:ser>
        <c:dLbls>
          <c:showLegendKey val="0"/>
          <c:showVal val="0"/>
          <c:showCatName val="0"/>
          <c:showSerName val="0"/>
          <c:showPercent val="0"/>
          <c:showBubbleSize val="0"/>
        </c:dLbls>
        <c:marker val="1"/>
        <c:smooth val="0"/>
        <c:axId val="120788512"/>
        <c:axId val="120783024"/>
      </c:lineChart>
      <c:catAx>
        <c:axId val="12078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88120"/>
        <c:crosses val="autoZero"/>
        <c:auto val="1"/>
        <c:lblAlgn val="ctr"/>
        <c:lblOffset val="100"/>
        <c:noMultiLvlLbl val="0"/>
      </c:catAx>
      <c:valAx>
        <c:axId val="120788120"/>
        <c:scaling>
          <c:orientation val="minMax"/>
          <c:max val="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Thousands of 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87336"/>
        <c:crosses val="autoZero"/>
        <c:crossBetween val="between"/>
      </c:valAx>
      <c:valAx>
        <c:axId val="120783024"/>
        <c:scaling>
          <c:orientation val="minMax"/>
          <c:min val="5.000000000000001E-2"/>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Total UK Ports Tonnage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88512"/>
        <c:crosses val="max"/>
        <c:crossBetween val="between"/>
      </c:valAx>
      <c:catAx>
        <c:axId val="120788512"/>
        <c:scaling>
          <c:orientation val="minMax"/>
        </c:scaling>
        <c:delete val="1"/>
        <c:axPos val="b"/>
        <c:majorTickMark val="out"/>
        <c:minorTickMark val="none"/>
        <c:tickLblPos val="nextTo"/>
        <c:crossAx val="120783024"/>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98834135823303E-2"/>
          <c:y val="8.6741342749639655E-2"/>
          <c:w val="0.91407248473934533"/>
          <c:h val="0.82232072029804582"/>
        </c:manualLayout>
      </c:layout>
      <c:barChart>
        <c:barDir val="col"/>
        <c:grouping val="clustered"/>
        <c:varyColors val="0"/>
        <c:ser>
          <c:idx val="0"/>
          <c:order val="0"/>
          <c:tx>
            <c:strRef>
              <c:f>'Solent Summary by year'!$F$3</c:f>
              <c:strCache>
                <c:ptCount val="1"/>
                <c:pt idx="0">
                  <c:v>Exports</c:v>
                </c:pt>
              </c:strCache>
            </c:strRef>
          </c:tx>
          <c:spPr>
            <a:solidFill>
              <a:schemeClr val="tx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1"/>
                </a:solidFill>
                <a:prstDash val="sysDot"/>
              </a:ln>
              <a:effectLst/>
            </c:spPr>
            <c:trendlineType val="linear"/>
            <c:dispRSqr val="0"/>
            <c:dispEq val="0"/>
          </c:trendline>
          <c:cat>
            <c:numRef>
              <c:f>'Solent Summary by year'!$E$4:$E$11</c:f>
              <c:numCache>
                <c:formatCode>General</c:formatCode>
                <c:ptCount val="8"/>
                <c:pt idx="0">
                  <c:v>2010</c:v>
                </c:pt>
                <c:pt idx="1">
                  <c:v>2011</c:v>
                </c:pt>
                <c:pt idx="2">
                  <c:v>2012</c:v>
                </c:pt>
                <c:pt idx="3">
                  <c:v>2013</c:v>
                </c:pt>
                <c:pt idx="4">
                  <c:v>2014</c:v>
                </c:pt>
                <c:pt idx="5">
                  <c:v>2015</c:v>
                </c:pt>
                <c:pt idx="6">
                  <c:v>2016</c:v>
                </c:pt>
                <c:pt idx="7">
                  <c:v>2017</c:v>
                </c:pt>
              </c:numCache>
            </c:numRef>
          </c:cat>
          <c:val>
            <c:numRef>
              <c:f>'Solent Summary by year'!$F$4:$F$11</c:f>
              <c:numCache>
                <c:formatCode>0%</c:formatCode>
                <c:ptCount val="8"/>
                <c:pt idx="0">
                  <c:v>0.18722389007793561</c:v>
                </c:pt>
                <c:pt idx="1">
                  <c:v>0.18579632730786655</c:v>
                </c:pt>
                <c:pt idx="2">
                  <c:v>0.19667041484821543</c:v>
                </c:pt>
                <c:pt idx="3">
                  <c:v>0.15293254885998186</c:v>
                </c:pt>
                <c:pt idx="4">
                  <c:v>0.19972210658169645</c:v>
                </c:pt>
                <c:pt idx="5">
                  <c:v>0.1739578539969581</c:v>
                </c:pt>
                <c:pt idx="6">
                  <c:v>0.15951870854522943</c:v>
                </c:pt>
                <c:pt idx="7">
                  <c:v>0.12709856314186471</c:v>
                </c:pt>
              </c:numCache>
            </c:numRef>
          </c:val>
          <c:extLst>
            <c:ext xmlns:c16="http://schemas.microsoft.com/office/drawing/2014/chart" uri="{C3380CC4-5D6E-409C-BE32-E72D297353CC}">
              <c16:uniqueId val="{00000001-F123-4700-BE32-91066F24C694}"/>
            </c:ext>
          </c:extLst>
        </c:ser>
        <c:ser>
          <c:idx val="1"/>
          <c:order val="1"/>
          <c:tx>
            <c:strRef>
              <c:f>'Solent Summary by year'!$G$3</c:f>
              <c:strCache>
                <c:ptCount val="1"/>
                <c:pt idx="0">
                  <c:v>Imports</c:v>
                </c:pt>
              </c:strCache>
            </c:strRef>
          </c:tx>
          <c:spPr>
            <a:solidFill>
              <a:schemeClr val="accent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solidFill>
                <a:prstDash val="sysDot"/>
              </a:ln>
              <a:effectLst/>
            </c:spPr>
            <c:trendlineType val="linear"/>
            <c:dispRSqr val="0"/>
            <c:dispEq val="0"/>
          </c:trendline>
          <c:cat>
            <c:numRef>
              <c:f>'Solent Summary by year'!$E$4:$E$11</c:f>
              <c:numCache>
                <c:formatCode>General</c:formatCode>
                <c:ptCount val="8"/>
                <c:pt idx="0">
                  <c:v>2010</c:v>
                </c:pt>
                <c:pt idx="1">
                  <c:v>2011</c:v>
                </c:pt>
                <c:pt idx="2">
                  <c:v>2012</c:v>
                </c:pt>
                <c:pt idx="3">
                  <c:v>2013</c:v>
                </c:pt>
                <c:pt idx="4">
                  <c:v>2014</c:v>
                </c:pt>
                <c:pt idx="5">
                  <c:v>2015</c:v>
                </c:pt>
                <c:pt idx="6">
                  <c:v>2016</c:v>
                </c:pt>
                <c:pt idx="7">
                  <c:v>2017</c:v>
                </c:pt>
              </c:numCache>
            </c:numRef>
          </c:cat>
          <c:val>
            <c:numRef>
              <c:f>'Solent Summary by year'!$G$4:$G$11</c:f>
              <c:numCache>
                <c:formatCode>0%</c:formatCode>
                <c:ptCount val="8"/>
                <c:pt idx="0">
                  <c:v>9.7590669616991102E-2</c:v>
                </c:pt>
                <c:pt idx="1">
                  <c:v>9.7185635781964597E-2</c:v>
                </c:pt>
                <c:pt idx="2">
                  <c:v>9.1931773668353797E-2</c:v>
                </c:pt>
                <c:pt idx="3">
                  <c:v>8.7901618626656047E-2</c:v>
                </c:pt>
                <c:pt idx="4">
                  <c:v>9.6094575817161354E-2</c:v>
                </c:pt>
                <c:pt idx="5">
                  <c:v>9.6924029045444463E-2</c:v>
                </c:pt>
                <c:pt idx="6">
                  <c:v>8.36816340048743E-2</c:v>
                </c:pt>
                <c:pt idx="7">
                  <c:v>9.8675546671839268E-2</c:v>
                </c:pt>
              </c:numCache>
            </c:numRef>
          </c:val>
          <c:extLst>
            <c:ext xmlns:c16="http://schemas.microsoft.com/office/drawing/2014/chart" uri="{C3380CC4-5D6E-409C-BE32-E72D297353CC}">
              <c16:uniqueId val="{00000003-F123-4700-BE32-91066F24C694}"/>
            </c:ext>
          </c:extLst>
        </c:ser>
        <c:dLbls>
          <c:showLegendKey val="0"/>
          <c:showVal val="0"/>
          <c:showCatName val="0"/>
          <c:showSerName val="0"/>
          <c:showPercent val="0"/>
          <c:showBubbleSize val="0"/>
        </c:dLbls>
        <c:gapWidth val="219"/>
        <c:overlap val="-27"/>
        <c:axId val="120786552"/>
        <c:axId val="120789296"/>
      </c:barChart>
      <c:catAx>
        <c:axId val="120786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808080"/>
                </a:solidFill>
                <a:latin typeface="Calibri"/>
                <a:ea typeface="Calibri"/>
                <a:cs typeface="Calibri"/>
              </a:defRPr>
            </a:pPr>
            <a:endParaRPr lang="en-US"/>
          </a:p>
        </c:txPr>
        <c:crossAx val="120789296"/>
        <c:crosses val="autoZero"/>
        <c:auto val="1"/>
        <c:lblAlgn val="ctr"/>
        <c:lblOffset val="100"/>
        <c:noMultiLvlLbl val="0"/>
      </c:catAx>
      <c:valAx>
        <c:axId val="120789296"/>
        <c:scaling>
          <c:orientation val="minMax"/>
          <c:max val="0.25"/>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0" vert="horz"/>
          <a:lstStyle/>
          <a:p>
            <a:pPr>
              <a:defRPr sz="900" b="0" i="0" u="none" strike="noStrike" baseline="0">
                <a:solidFill>
                  <a:srgbClr val="808080"/>
                </a:solidFill>
                <a:latin typeface="Calibri"/>
                <a:ea typeface="Calibri"/>
                <a:cs typeface="Calibri"/>
              </a:defRPr>
            </a:pPr>
            <a:endParaRPr lang="en-US"/>
          </a:p>
        </c:txPr>
        <c:crossAx val="120786552"/>
        <c:crosses val="autoZero"/>
        <c:crossBetween val="between"/>
      </c:valAx>
      <c:spPr>
        <a:noFill/>
        <a:ln w="25400">
          <a:noFill/>
        </a:ln>
      </c:spPr>
    </c:plotArea>
    <c:legend>
      <c:legendPos val="t"/>
      <c:overlay val="0"/>
      <c:spPr>
        <a:noFill/>
        <a:ln w="25400">
          <a:noFill/>
        </a:ln>
      </c:spPr>
      <c:txPr>
        <a:bodyPr/>
        <a:lstStyle/>
        <a:p>
          <a:pPr>
            <a:defRPr sz="755" b="0" i="0" u="none" strike="noStrike" baseline="0">
              <a:solidFill>
                <a:srgbClr val="80808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98834135823303E-2"/>
          <c:y val="7.8901280029137877E-2"/>
          <c:w val="0.91407248473934533"/>
          <c:h val="0.83016078301854757"/>
        </c:manualLayout>
      </c:layout>
      <c:barChart>
        <c:barDir val="col"/>
        <c:grouping val="clustered"/>
        <c:varyColors val="0"/>
        <c:ser>
          <c:idx val="0"/>
          <c:order val="0"/>
          <c:tx>
            <c:strRef>
              <c:f>'Solent Summary by year'!$B$3</c:f>
              <c:strCache>
                <c:ptCount val="1"/>
                <c:pt idx="0">
                  <c:v>Exports</c:v>
                </c:pt>
              </c:strCache>
            </c:strRef>
          </c:tx>
          <c:spPr>
            <a:solidFill>
              <a:schemeClr val="tx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1"/>
                </a:solidFill>
                <a:prstDash val="sysDot"/>
              </a:ln>
              <a:effectLst/>
            </c:spPr>
            <c:trendlineType val="linear"/>
            <c:dispRSqr val="0"/>
            <c:dispEq val="0"/>
          </c:trendline>
          <c:cat>
            <c:numRef>
              <c:f>'Solent Summary by year'!$A$4:$A$11</c:f>
              <c:numCache>
                <c:formatCode>General</c:formatCode>
                <c:ptCount val="8"/>
                <c:pt idx="0">
                  <c:v>2010</c:v>
                </c:pt>
                <c:pt idx="1">
                  <c:v>2011</c:v>
                </c:pt>
                <c:pt idx="2">
                  <c:v>2012</c:v>
                </c:pt>
                <c:pt idx="3">
                  <c:v>2013</c:v>
                </c:pt>
                <c:pt idx="4">
                  <c:v>2014</c:v>
                </c:pt>
                <c:pt idx="5">
                  <c:v>2015</c:v>
                </c:pt>
                <c:pt idx="6">
                  <c:v>2016</c:v>
                </c:pt>
                <c:pt idx="7">
                  <c:v>2017</c:v>
                </c:pt>
              </c:numCache>
            </c:numRef>
          </c:cat>
          <c:val>
            <c:numRef>
              <c:f>'Solent Summary by year'!$B$4:$B$11</c:f>
              <c:numCache>
                <c:formatCode>0%</c:formatCode>
                <c:ptCount val="8"/>
                <c:pt idx="0">
                  <c:v>0.11088809202774294</c:v>
                </c:pt>
                <c:pt idx="1">
                  <c:v>0.10314727978414247</c:v>
                </c:pt>
                <c:pt idx="2">
                  <c:v>0.12526154028035141</c:v>
                </c:pt>
                <c:pt idx="3">
                  <c:v>0.10808801699467206</c:v>
                </c:pt>
                <c:pt idx="4">
                  <c:v>0.15041899280891707</c:v>
                </c:pt>
                <c:pt idx="5">
                  <c:v>0.13958536633758065</c:v>
                </c:pt>
                <c:pt idx="6">
                  <c:v>0.15028320055047914</c:v>
                </c:pt>
                <c:pt idx="7">
                  <c:v>0.13215531614066012</c:v>
                </c:pt>
              </c:numCache>
            </c:numRef>
          </c:val>
          <c:extLst>
            <c:ext xmlns:c16="http://schemas.microsoft.com/office/drawing/2014/chart" uri="{C3380CC4-5D6E-409C-BE32-E72D297353CC}">
              <c16:uniqueId val="{00000001-B586-4A4E-B676-B51D15D569AC}"/>
            </c:ext>
          </c:extLst>
        </c:ser>
        <c:ser>
          <c:idx val="1"/>
          <c:order val="1"/>
          <c:tx>
            <c:strRef>
              <c:f>'Solent Summary by year'!$C$3</c:f>
              <c:strCache>
                <c:ptCount val="1"/>
                <c:pt idx="0">
                  <c:v>Imports</c:v>
                </c:pt>
              </c:strCache>
            </c:strRef>
          </c:tx>
          <c:spPr>
            <a:solidFill>
              <a:schemeClr val="accent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solidFill>
                <a:prstDash val="sysDot"/>
              </a:ln>
              <a:effectLst/>
            </c:spPr>
            <c:trendlineType val="linear"/>
            <c:dispRSqr val="0"/>
            <c:dispEq val="0"/>
          </c:trendline>
          <c:cat>
            <c:numRef>
              <c:f>'Solent Summary by year'!$A$4:$A$11</c:f>
              <c:numCache>
                <c:formatCode>General</c:formatCode>
                <c:ptCount val="8"/>
                <c:pt idx="0">
                  <c:v>2010</c:v>
                </c:pt>
                <c:pt idx="1">
                  <c:v>2011</c:v>
                </c:pt>
                <c:pt idx="2">
                  <c:v>2012</c:v>
                </c:pt>
                <c:pt idx="3">
                  <c:v>2013</c:v>
                </c:pt>
                <c:pt idx="4">
                  <c:v>2014</c:v>
                </c:pt>
                <c:pt idx="5">
                  <c:v>2015</c:v>
                </c:pt>
                <c:pt idx="6">
                  <c:v>2016</c:v>
                </c:pt>
                <c:pt idx="7">
                  <c:v>2017</c:v>
                </c:pt>
              </c:numCache>
            </c:numRef>
          </c:cat>
          <c:val>
            <c:numRef>
              <c:f>'Solent Summary by year'!$C$4:$C$11</c:f>
              <c:numCache>
                <c:formatCode>0%</c:formatCode>
                <c:ptCount val="8"/>
                <c:pt idx="0">
                  <c:v>0.11781261724791343</c:v>
                </c:pt>
                <c:pt idx="1">
                  <c:v>0.12078114260569306</c:v>
                </c:pt>
                <c:pt idx="2">
                  <c:v>0.10780991064711416</c:v>
                </c:pt>
                <c:pt idx="3">
                  <c:v>0.12233155423159733</c:v>
                </c:pt>
                <c:pt idx="4">
                  <c:v>0.13540496905514254</c:v>
                </c:pt>
                <c:pt idx="5">
                  <c:v>0.12884828425883413</c:v>
                </c:pt>
                <c:pt idx="6">
                  <c:v>9.8227326357805123E-2</c:v>
                </c:pt>
                <c:pt idx="7">
                  <c:v>0.10713316436565069</c:v>
                </c:pt>
              </c:numCache>
            </c:numRef>
          </c:val>
          <c:extLst>
            <c:ext xmlns:c16="http://schemas.microsoft.com/office/drawing/2014/chart" uri="{C3380CC4-5D6E-409C-BE32-E72D297353CC}">
              <c16:uniqueId val="{00000003-B586-4A4E-B676-B51D15D569AC}"/>
            </c:ext>
          </c:extLst>
        </c:ser>
        <c:dLbls>
          <c:showLegendKey val="0"/>
          <c:showVal val="0"/>
          <c:showCatName val="0"/>
          <c:showSerName val="0"/>
          <c:showPercent val="0"/>
          <c:showBubbleSize val="0"/>
        </c:dLbls>
        <c:gapWidth val="219"/>
        <c:overlap val="-27"/>
        <c:axId val="120782240"/>
        <c:axId val="120784200"/>
      </c:barChart>
      <c:catAx>
        <c:axId val="12078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808080"/>
                </a:solidFill>
                <a:latin typeface="Calibri"/>
                <a:ea typeface="Calibri"/>
                <a:cs typeface="Calibri"/>
              </a:defRPr>
            </a:pPr>
            <a:endParaRPr lang="en-US"/>
          </a:p>
        </c:txPr>
        <c:crossAx val="120784200"/>
        <c:crosses val="autoZero"/>
        <c:auto val="1"/>
        <c:lblAlgn val="ctr"/>
        <c:lblOffset val="100"/>
        <c:noMultiLvlLbl val="0"/>
      </c:catAx>
      <c:valAx>
        <c:axId val="120784200"/>
        <c:scaling>
          <c:orientation val="minMax"/>
          <c:max val="0.180000000000000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0" vert="horz"/>
          <a:lstStyle/>
          <a:p>
            <a:pPr>
              <a:defRPr sz="900" b="0" i="0" u="none" strike="noStrike" baseline="0">
                <a:solidFill>
                  <a:srgbClr val="808080"/>
                </a:solidFill>
                <a:latin typeface="Calibri"/>
                <a:ea typeface="Calibri"/>
                <a:cs typeface="Calibri"/>
              </a:defRPr>
            </a:pPr>
            <a:endParaRPr lang="en-US"/>
          </a:p>
        </c:txPr>
        <c:crossAx val="120782240"/>
        <c:crosses val="autoZero"/>
        <c:crossBetween val="between"/>
      </c:valAx>
      <c:spPr>
        <a:noFill/>
        <a:ln w="25400">
          <a:noFill/>
        </a:ln>
      </c:spPr>
    </c:plotArea>
    <c:legend>
      <c:legendPos val="t"/>
      <c:overlay val="0"/>
      <c:spPr>
        <a:noFill/>
        <a:ln w="25400">
          <a:noFill/>
        </a:ln>
      </c:spPr>
      <c:txPr>
        <a:bodyPr/>
        <a:lstStyle/>
        <a:p>
          <a:pPr>
            <a:defRPr sz="755" b="0" i="0" u="none" strike="noStrike" baseline="0">
              <a:solidFill>
                <a:srgbClr val="80808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98834135823303E-2"/>
          <c:y val="9.4581405470141419E-2"/>
          <c:w val="0.91407248473934533"/>
          <c:h val="0.77141895875324484"/>
        </c:manualLayout>
      </c:layout>
      <c:barChart>
        <c:barDir val="col"/>
        <c:grouping val="clustered"/>
        <c:varyColors val="0"/>
        <c:ser>
          <c:idx val="0"/>
          <c:order val="0"/>
          <c:tx>
            <c:strRef>
              <c:f>'Solent Summary by year'!$B$66:$C$66</c:f>
              <c:strCache>
                <c:ptCount val="1"/>
                <c:pt idx="0">
                  <c:v>Value, £</c:v>
                </c:pt>
              </c:strCache>
            </c:strRef>
          </c:tx>
          <c:spPr>
            <a:solidFill>
              <a:schemeClr val="tx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'Solent Summary by year'!$E$68:$E$74</c:f>
              <c:strCache>
                <c:ptCount val="7"/>
                <c:pt idx="0">
                  <c:v>Asia and Oceania</c:v>
                </c:pt>
                <c:pt idx="1">
                  <c:v>Eastern Europe</c:v>
                </c:pt>
                <c:pt idx="2">
                  <c:v>Latin America and Caribbean</c:v>
                </c:pt>
                <c:pt idx="3">
                  <c:v>Middle East and N Africa</c:v>
                </c:pt>
                <c:pt idx="4">
                  <c:v>North America</c:v>
                </c:pt>
                <c:pt idx="5">
                  <c:v>Sub-Saharan Africa</c:v>
                </c:pt>
                <c:pt idx="6">
                  <c:v>Western Europe exc EC</c:v>
                </c:pt>
              </c:strCache>
            </c:strRef>
          </c:cat>
          <c:val>
            <c:numRef>
              <c:f>'Solent Summary by year'!$B$68:$B$74</c:f>
              <c:numCache>
                <c:formatCode>0%</c:formatCode>
                <c:ptCount val="7"/>
                <c:pt idx="0">
                  <c:v>0.20264730912391199</c:v>
                </c:pt>
                <c:pt idx="1">
                  <c:v>8.4720636280997977E-2</c:v>
                </c:pt>
                <c:pt idx="2">
                  <c:v>4.5379552913636101E-2</c:v>
                </c:pt>
                <c:pt idx="3">
                  <c:v>9.7885793285652806E-2</c:v>
                </c:pt>
                <c:pt idx="4">
                  <c:v>0.16390369628445806</c:v>
                </c:pt>
                <c:pt idx="5">
                  <c:v>9.811203078139813E-2</c:v>
                </c:pt>
                <c:pt idx="6">
                  <c:v>7.5661220816590144E-3</c:v>
                </c:pt>
              </c:numCache>
            </c:numRef>
          </c:val>
          <c:extLst>
            <c:ext xmlns:c16="http://schemas.microsoft.com/office/drawing/2014/chart" uri="{C3380CC4-5D6E-409C-BE32-E72D297353CC}">
              <c16:uniqueId val="{00000000-5C15-4310-B5F7-67E3AC15D202}"/>
            </c:ext>
          </c:extLst>
        </c:ser>
        <c:ser>
          <c:idx val="1"/>
          <c:order val="1"/>
          <c:tx>
            <c:v>Volume</c:v>
          </c:tx>
          <c:spPr>
            <a:solidFill>
              <a:schemeClr val="accent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'Solent Summary by year'!$E$68:$E$74</c:f>
              <c:strCache>
                <c:ptCount val="7"/>
                <c:pt idx="0">
                  <c:v>Asia and Oceania</c:v>
                </c:pt>
                <c:pt idx="1">
                  <c:v>Eastern Europe</c:v>
                </c:pt>
                <c:pt idx="2">
                  <c:v>Latin America and Caribbean</c:v>
                </c:pt>
                <c:pt idx="3">
                  <c:v>Middle East and N Africa</c:v>
                </c:pt>
                <c:pt idx="4">
                  <c:v>North America</c:v>
                </c:pt>
                <c:pt idx="5">
                  <c:v>Sub-Saharan Africa</c:v>
                </c:pt>
                <c:pt idx="6">
                  <c:v>Western Europe exc EC</c:v>
                </c:pt>
              </c:strCache>
            </c:strRef>
          </c:cat>
          <c:val>
            <c:numRef>
              <c:f>'Solent Summary by year'!$F$68:$F$74</c:f>
              <c:numCache>
                <c:formatCode>0%</c:formatCode>
                <c:ptCount val="7"/>
                <c:pt idx="0">
                  <c:v>9.7494196154473051E-2</c:v>
                </c:pt>
                <c:pt idx="1">
                  <c:v>6.7661331237182709E-2</c:v>
                </c:pt>
                <c:pt idx="2">
                  <c:v>4.6303060676820662E-2</c:v>
                </c:pt>
                <c:pt idx="3">
                  <c:v>0.22561575816999893</c:v>
                </c:pt>
                <c:pt idx="4">
                  <c:v>0.22171294933654473</c:v>
                </c:pt>
                <c:pt idx="5">
                  <c:v>0.20489438767259269</c:v>
                </c:pt>
                <c:pt idx="6">
                  <c:v>3.4724195271498996E-2</c:v>
                </c:pt>
              </c:numCache>
            </c:numRef>
          </c:val>
          <c:extLst>
            <c:ext xmlns:c16="http://schemas.microsoft.com/office/drawing/2014/chart" uri="{C3380CC4-5D6E-409C-BE32-E72D297353CC}">
              <c16:uniqueId val="{00000001-5C15-4310-B5F7-67E3AC15D202}"/>
            </c:ext>
          </c:extLst>
        </c:ser>
        <c:dLbls>
          <c:showLegendKey val="0"/>
          <c:showVal val="0"/>
          <c:showCatName val="0"/>
          <c:showSerName val="0"/>
          <c:showPercent val="0"/>
          <c:showBubbleSize val="0"/>
        </c:dLbls>
        <c:gapWidth val="219"/>
        <c:overlap val="-27"/>
        <c:axId val="120785376"/>
        <c:axId val="119055224"/>
      </c:barChart>
      <c:catAx>
        <c:axId val="12078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808080"/>
                </a:solidFill>
                <a:latin typeface="Calibri"/>
                <a:ea typeface="Calibri"/>
                <a:cs typeface="Calibri"/>
              </a:defRPr>
            </a:pPr>
            <a:endParaRPr lang="en-US"/>
          </a:p>
        </c:txPr>
        <c:crossAx val="119055224"/>
        <c:crosses val="autoZero"/>
        <c:auto val="1"/>
        <c:lblAlgn val="ctr"/>
        <c:lblOffset val="100"/>
        <c:noMultiLvlLbl val="0"/>
      </c:catAx>
      <c:valAx>
        <c:axId val="119055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0" vert="horz"/>
          <a:lstStyle/>
          <a:p>
            <a:pPr>
              <a:defRPr sz="900" b="0" i="0" u="none" strike="noStrike" baseline="0">
                <a:solidFill>
                  <a:srgbClr val="808080"/>
                </a:solidFill>
                <a:latin typeface="Calibri"/>
                <a:ea typeface="Calibri"/>
                <a:cs typeface="Calibri"/>
              </a:defRPr>
            </a:pPr>
            <a:endParaRPr lang="en-US"/>
          </a:p>
        </c:txPr>
        <c:crossAx val="120785376"/>
        <c:crosses val="autoZero"/>
        <c:crossBetween val="between"/>
      </c:valAx>
      <c:spPr>
        <a:noFill/>
        <a:ln w="25400">
          <a:noFill/>
        </a:ln>
      </c:spPr>
    </c:plotArea>
    <c:legend>
      <c:legendPos val="t"/>
      <c:overlay val="0"/>
      <c:spPr>
        <a:noFill/>
        <a:ln w="25400">
          <a:noFill/>
        </a:ln>
      </c:spPr>
      <c:txPr>
        <a:bodyPr/>
        <a:lstStyle/>
        <a:p>
          <a:pPr>
            <a:defRPr sz="755" b="0" i="0" u="none" strike="noStrike" baseline="0">
              <a:solidFill>
                <a:srgbClr val="80808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'Solent Summary by year'!$B$66:$C$66</c:f>
              <c:strCache>
                <c:ptCount val="1"/>
                <c:pt idx="0">
                  <c:v>Value, £</c:v>
                </c:pt>
              </c:strCache>
            </c:strRef>
          </c:tx>
          <c:spPr>
            <a:solidFill>
              <a:schemeClr val="tx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'Solent Summary by year'!$E$68:$E$74</c:f>
              <c:strCache>
                <c:ptCount val="7"/>
                <c:pt idx="0">
                  <c:v>Asia and Oceania</c:v>
                </c:pt>
                <c:pt idx="1">
                  <c:v>Eastern Europe</c:v>
                </c:pt>
                <c:pt idx="2">
                  <c:v>Latin America and Caribbean</c:v>
                </c:pt>
                <c:pt idx="3">
                  <c:v>Middle East and N Africa</c:v>
                </c:pt>
                <c:pt idx="4">
                  <c:v>North America</c:v>
                </c:pt>
                <c:pt idx="5">
                  <c:v>Sub-Saharan Africa</c:v>
                </c:pt>
                <c:pt idx="6">
                  <c:v>Western Europe exc EC</c:v>
                </c:pt>
              </c:strCache>
            </c:strRef>
          </c:cat>
          <c:val>
            <c:numRef>
              <c:f>'Solent Summary by year'!$C$68:$C$74</c:f>
              <c:numCache>
                <c:formatCode>0%</c:formatCode>
                <c:ptCount val="7"/>
                <c:pt idx="0">
                  <c:v>0.16134533329570391</c:v>
                </c:pt>
                <c:pt idx="1">
                  <c:v>7.2008443805312336E-2</c:v>
                </c:pt>
                <c:pt idx="2">
                  <c:v>6.0668858384625352E-2</c:v>
                </c:pt>
                <c:pt idx="3">
                  <c:v>5.868117428184854E-2</c:v>
                </c:pt>
                <c:pt idx="4">
                  <c:v>8.398844966423058E-2</c:v>
                </c:pt>
                <c:pt idx="5">
                  <c:v>4.5272725328909448E-2</c:v>
                </c:pt>
                <c:pt idx="6">
                  <c:v>6.3360338628965868E-2</c:v>
                </c:pt>
              </c:numCache>
            </c:numRef>
          </c:val>
          <c:extLst>
            <c:ext xmlns:c16="http://schemas.microsoft.com/office/drawing/2014/chart" uri="{C3380CC4-5D6E-409C-BE32-E72D297353CC}">
              <c16:uniqueId val="{00000000-13C2-4304-AE0F-00BB4DC14E68}"/>
            </c:ext>
          </c:extLst>
        </c:ser>
        <c:ser>
          <c:idx val="1"/>
          <c:order val="1"/>
          <c:tx>
            <c:strRef>
              <c:f>'Solent Summary by year'!$F$66:$G$66</c:f>
              <c:strCache>
                <c:ptCount val="1"/>
                <c:pt idx="0">
                  <c:v>Volume</c:v>
                </c:pt>
              </c:strCache>
            </c:strRef>
          </c:tx>
          <c:spPr>
            <a:solidFill>
              <a:schemeClr val="accent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'Solent Summary by year'!$E$68:$E$74</c:f>
              <c:strCache>
                <c:ptCount val="7"/>
                <c:pt idx="0">
                  <c:v>Asia and Oceania</c:v>
                </c:pt>
                <c:pt idx="1">
                  <c:v>Eastern Europe</c:v>
                </c:pt>
                <c:pt idx="2">
                  <c:v>Latin America and Caribbean</c:v>
                </c:pt>
                <c:pt idx="3">
                  <c:v>Middle East and N Africa</c:v>
                </c:pt>
                <c:pt idx="4">
                  <c:v>North America</c:v>
                </c:pt>
                <c:pt idx="5">
                  <c:v>Sub-Saharan Africa</c:v>
                </c:pt>
                <c:pt idx="6">
                  <c:v>Western Europe exc EC</c:v>
                </c:pt>
              </c:strCache>
            </c:strRef>
          </c:cat>
          <c:val>
            <c:numRef>
              <c:f>'Solent Summary by year'!$G$68:$G$74</c:f>
              <c:numCache>
                <c:formatCode>0%</c:formatCode>
                <c:ptCount val="7"/>
                <c:pt idx="0">
                  <c:v>0.15035135032720473</c:v>
                </c:pt>
                <c:pt idx="1">
                  <c:v>0.10999330165025942</c:v>
                </c:pt>
                <c:pt idx="2">
                  <c:v>6.6569255338019689E-2</c:v>
                </c:pt>
                <c:pt idx="3">
                  <c:v>0.10770075245066627</c:v>
                </c:pt>
                <c:pt idx="4">
                  <c:v>0.12344191094827972</c:v>
                </c:pt>
                <c:pt idx="5">
                  <c:v>4.7452027337225242E-2</c:v>
                </c:pt>
                <c:pt idx="6">
                  <c:v>7.6299518758134566E-2</c:v>
                </c:pt>
              </c:numCache>
            </c:numRef>
          </c:val>
          <c:extLst>
            <c:ext xmlns:c16="http://schemas.microsoft.com/office/drawing/2014/chart" uri="{C3380CC4-5D6E-409C-BE32-E72D297353CC}">
              <c16:uniqueId val="{00000001-13C2-4304-AE0F-00BB4DC14E68}"/>
            </c:ext>
          </c:extLst>
        </c:ser>
        <c:dLbls>
          <c:showLegendKey val="0"/>
          <c:showVal val="0"/>
          <c:showCatName val="0"/>
          <c:showSerName val="0"/>
          <c:showPercent val="0"/>
          <c:showBubbleSize val="0"/>
        </c:dLbls>
        <c:gapWidth val="219"/>
        <c:overlap val="-27"/>
        <c:axId val="119054440"/>
        <c:axId val="119052872"/>
      </c:barChart>
      <c:catAx>
        <c:axId val="119054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808080"/>
                </a:solidFill>
                <a:latin typeface="Calibri"/>
                <a:ea typeface="Calibri"/>
                <a:cs typeface="Calibri"/>
              </a:defRPr>
            </a:pPr>
            <a:endParaRPr lang="en-US"/>
          </a:p>
        </c:txPr>
        <c:crossAx val="119052872"/>
        <c:crosses val="autoZero"/>
        <c:auto val="1"/>
        <c:lblAlgn val="ctr"/>
        <c:lblOffset val="100"/>
        <c:noMultiLvlLbl val="0"/>
      </c:catAx>
      <c:valAx>
        <c:axId val="119052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0" vert="horz"/>
          <a:lstStyle/>
          <a:p>
            <a:pPr>
              <a:defRPr sz="900" b="0" i="0" u="none" strike="noStrike" baseline="0">
                <a:solidFill>
                  <a:srgbClr val="808080"/>
                </a:solidFill>
                <a:latin typeface="Calibri"/>
                <a:ea typeface="Calibri"/>
                <a:cs typeface="Calibri"/>
              </a:defRPr>
            </a:pPr>
            <a:endParaRPr lang="en-US"/>
          </a:p>
        </c:txPr>
        <c:crossAx val="119054440"/>
        <c:crosses val="autoZero"/>
        <c:crossBetween val="between"/>
      </c:valAx>
      <c:spPr>
        <a:noFill/>
        <a:ln w="25400">
          <a:noFill/>
        </a:ln>
      </c:spPr>
    </c:plotArea>
    <c:legend>
      <c:legendPos val="t"/>
      <c:overlay val="0"/>
      <c:spPr>
        <a:noFill/>
        <a:ln w="25400">
          <a:noFill/>
        </a:ln>
      </c:spPr>
      <c:txPr>
        <a:bodyPr/>
        <a:lstStyle/>
        <a:p>
          <a:pPr>
            <a:defRPr sz="755" b="0" i="0" u="none" strike="noStrike" baseline="0">
              <a:solidFill>
                <a:srgbClr val="80808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098834135823303E-2"/>
          <c:y val="8.9671180361568875E-2"/>
          <c:w val="0.91407248473934533"/>
          <c:h val="0.8193908826861166"/>
        </c:manualLayout>
      </c:layout>
      <c:barChart>
        <c:barDir val="col"/>
        <c:grouping val="clustered"/>
        <c:varyColors val="0"/>
        <c:ser>
          <c:idx val="0"/>
          <c:order val="0"/>
          <c:tx>
            <c:strRef>
              <c:f>'Solent Summary by year'!$F$27</c:f>
              <c:strCache>
                <c:ptCount val="1"/>
                <c:pt idx="0">
                  <c:v>Export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1"/>
                </a:solidFill>
                <a:prstDash val="sysDot"/>
              </a:ln>
              <a:effectLst/>
            </c:spPr>
            <c:trendlineType val="linear"/>
            <c:dispRSqr val="0"/>
            <c:dispEq val="0"/>
          </c:trendline>
          <c:cat>
            <c:numRef>
              <c:f>'Solent Summary by year'!$E$28:$E$35</c:f>
              <c:numCache>
                <c:formatCode>General</c:formatCode>
                <c:ptCount val="8"/>
                <c:pt idx="0">
                  <c:v>2010</c:v>
                </c:pt>
                <c:pt idx="1">
                  <c:v>2011</c:v>
                </c:pt>
                <c:pt idx="2">
                  <c:v>2012</c:v>
                </c:pt>
                <c:pt idx="3">
                  <c:v>2013</c:v>
                </c:pt>
                <c:pt idx="4">
                  <c:v>2014</c:v>
                </c:pt>
                <c:pt idx="5">
                  <c:v>2015</c:v>
                </c:pt>
                <c:pt idx="6">
                  <c:v>2016</c:v>
                </c:pt>
                <c:pt idx="7">
                  <c:v>2017</c:v>
                </c:pt>
              </c:numCache>
            </c:numRef>
          </c:cat>
          <c:val>
            <c:numRef>
              <c:f>'Solent Summary by year'!$F$28:$F$35</c:f>
              <c:numCache>
                <c:formatCode>0%</c:formatCode>
                <c:ptCount val="8"/>
                <c:pt idx="0">
                  <c:v>2.2302024058490251E-2</c:v>
                </c:pt>
                <c:pt idx="1">
                  <c:v>2.5351355357485363E-2</c:v>
                </c:pt>
                <c:pt idx="2">
                  <c:v>2.8442924602665915E-2</c:v>
                </c:pt>
                <c:pt idx="3">
                  <c:v>3.6568347024457021E-2</c:v>
                </c:pt>
                <c:pt idx="4">
                  <c:v>3.4154629157288313E-2</c:v>
                </c:pt>
                <c:pt idx="5">
                  <c:v>2.9143436515271827E-2</c:v>
                </c:pt>
                <c:pt idx="6">
                  <c:v>3.8174580703133551E-2</c:v>
                </c:pt>
                <c:pt idx="7">
                  <c:v>4.2803371631978025E-2</c:v>
                </c:pt>
              </c:numCache>
            </c:numRef>
          </c:val>
          <c:extLst>
            <c:ext xmlns:c16="http://schemas.microsoft.com/office/drawing/2014/chart" uri="{C3380CC4-5D6E-409C-BE32-E72D297353CC}">
              <c16:uniqueId val="{00000001-B660-429B-B118-EDCA157784C9}"/>
            </c:ext>
          </c:extLst>
        </c:ser>
        <c:ser>
          <c:idx val="1"/>
          <c:order val="1"/>
          <c:tx>
            <c:strRef>
              <c:f>'Solent Summary by year'!$G$27</c:f>
              <c:strCache>
                <c:ptCount val="1"/>
                <c:pt idx="0">
                  <c:v>Import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solidFill>
                <a:prstDash val="sysDot"/>
              </a:ln>
              <a:effectLst/>
            </c:spPr>
            <c:trendlineType val="linear"/>
            <c:dispRSqr val="0"/>
            <c:dispEq val="0"/>
          </c:trendline>
          <c:cat>
            <c:numRef>
              <c:f>'Solent Summary by year'!$E$28:$E$35</c:f>
              <c:numCache>
                <c:formatCode>General</c:formatCode>
                <c:ptCount val="8"/>
                <c:pt idx="0">
                  <c:v>2010</c:v>
                </c:pt>
                <c:pt idx="1">
                  <c:v>2011</c:v>
                </c:pt>
                <c:pt idx="2">
                  <c:v>2012</c:v>
                </c:pt>
                <c:pt idx="3">
                  <c:v>2013</c:v>
                </c:pt>
                <c:pt idx="4">
                  <c:v>2014</c:v>
                </c:pt>
                <c:pt idx="5">
                  <c:v>2015</c:v>
                </c:pt>
                <c:pt idx="6">
                  <c:v>2016</c:v>
                </c:pt>
                <c:pt idx="7">
                  <c:v>2017</c:v>
                </c:pt>
              </c:numCache>
            </c:numRef>
          </c:cat>
          <c:val>
            <c:numRef>
              <c:f>'Solent Summary by year'!$G$28:$G$35</c:f>
              <c:numCache>
                <c:formatCode>0%</c:formatCode>
                <c:ptCount val="8"/>
                <c:pt idx="0">
                  <c:v>8.2637292411109148E-2</c:v>
                </c:pt>
                <c:pt idx="1">
                  <c:v>7.4691515059460381E-2</c:v>
                </c:pt>
                <c:pt idx="2">
                  <c:v>7.8879217635047641E-2</c:v>
                </c:pt>
                <c:pt idx="3">
                  <c:v>8.0177269632060025E-2</c:v>
                </c:pt>
                <c:pt idx="4">
                  <c:v>7.0194321195160517E-2</c:v>
                </c:pt>
                <c:pt idx="5">
                  <c:v>7.4321589665884327E-2</c:v>
                </c:pt>
                <c:pt idx="6">
                  <c:v>6.7517816232461461E-2</c:v>
                </c:pt>
                <c:pt idx="7">
                  <c:v>7.2830333294387595E-2</c:v>
                </c:pt>
              </c:numCache>
            </c:numRef>
          </c:val>
          <c:extLst>
            <c:ext xmlns:c16="http://schemas.microsoft.com/office/drawing/2014/chart" uri="{C3380CC4-5D6E-409C-BE32-E72D297353CC}">
              <c16:uniqueId val="{00000003-B660-429B-B118-EDCA157784C9}"/>
            </c:ext>
          </c:extLst>
        </c:ser>
        <c:dLbls>
          <c:showLegendKey val="0"/>
          <c:showVal val="0"/>
          <c:showCatName val="0"/>
          <c:showSerName val="0"/>
          <c:showPercent val="0"/>
          <c:showBubbleSize val="0"/>
        </c:dLbls>
        <c:gapWidth val="219"/>
        <c:overlap val="-27"/>
        <c:axId val="122063576"/>
        <c:axId val="122058480"/>
      </c:barChart>
      <c:catAx>
        <c:axId val="12206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58480"/>
        <c:crosses val="autoZero"/>
        <c:auto val="1"/>
        <c:lblAlgn val="ctr"/>
        <c:lblOffset val="100"/>
        <c:noMultiLvlLbl val="0"/>
      </c:catAx>
      <c:valAx>
        <c:axId val="122058480"/>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63576"/>
        <c:crosses val="autoZero"/>
        <c:crossBetween val="between"/>
      </c:valAx>
      <c:spPr>
        <a:noFill/>
        <a:ln w="25400">
          <a:noFill/>
        </a:ln>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098834135823303E-2"/>
          <c:y val="9.850143683039228E-2"/>
          <c:w val="0.91407248473934533"/>
          <c:h val="0.81056062621729319"/>
        </c:manualLayout>
      </c:layout>
      <c:barChart>
        <c:barDir val="col"/>
        <c:grouping val="clustered"/>
        <c:varyColors val="0"/>
        <c:ser>
          <c:idx val="0"/>
          <c:order val="0"/>
          <c:tx>
            <c:strRef>
              <c:f>'Solent Summary by year'!$F$16</c:f>
              <c:strCache>
                <c:ptCount val="1"/>
                <c:pt idx="0">
                  <c:v>Exports</c:v>
                </c:pt>
              </c:strCache>
            </c:strRef>
          </c:tx>
          <c:spPr>
            <a:solidFill>
              <a:schemeClr val="tx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1"/>
                </a:solidFill>
                <a:prstDash val="sysDot"/>
              </a:ln>
              <a:effectLst/>
            </c:spPr>
            <c:trendlineType val="linear"/>
            <c:dispRSqr val="0"/>
            <c:dispEq val="0"/>
          </c:trendline>
          <c:cat>
            <c:numRef>
              <c:f>'Solent Summary by year'!$E$17:$E$24</c:f>
              <c:numCache>
                <c:formatCode>General</c:formatCode>
                <c:ptCount val="8"/>
                <c:pt idx="0">
                  <c:v>2010</c:v>
                </c:pt>
                <c:pt idx="1">
                  <c:v>2011</c:v>
                </c:pt>
                <c:pt idx="2">
                  <c:v>2012</c:v>
                </c:pt>
                <c:pt idx="3">
                  <c:v>2013</c:v>
                </c:pt>
                <c:pt idx="4">
                  <c:v>2014</c:v>
                </c:pt>
                <c:pt idx="5">
                  <c:v>2015</c:v>
                </c:pt>
                <c:pt idx="6">
                  <c:v>2016</c:v>
                </c:pt>
                <c:pt idx="7">
                  <c:v>2017</c:v>
                </c:pt>
              </c:numCache>
            </c:numRef>
          </c:cat>
          <c:val>
            <c:numRef>
              <c:f>'Solent Summary by year'!$F$17:$F$24</c:f>
              <c:numCache>
                <c:formatCode>0%</c:formatCode>
                <c:ptCount val="8"/>
                <c:pt idx="0">
                  <c:v>4.3991751872533506E-2</c:v>
                </c:pt>
                <c:pt idx="1">
                  <c:v>4.7322339137857265E-2</c:v>
                </c:pt>
                <c:pt idx="2">
                  <c:v>4.8985644531888653E-2</c:v>
                </c:pt>
                <c:pt idx="3">
                  <c:v>6.6231752597563531E-2</c:v>
                </c:pt>
                <c:pt idx="4">
                  <c:v>6.0612180165361511E-2</c:v>
                </c:pt>
                <c:pt idx="5">
                  <c:v>4.87045529293339E-2</c:v>
                </c:pt>
                <c:pt idx="6">
                  <c:v>6.935701013409093E-2</c:v>
                </c:pt>
                <c:pt idx="7">
                  <c:v>7.9231038263314874E-2</c:v>
                </c:pt>
              </c:numCache>
            </c:numRef>
          </c:val>
          <c:extLst>
            <c:ext xmlns:c16="http://schemas.microsoft.com/office/drawing/2014/chart" uri="{C3380CC4-5D6E-409C-BE32-E72D297353CC}">
              <c16:uniqueId val="{00000001-116B-4CBB-8B6F-B8C35873F726}"/>
            </c:ext>
          </c:extLst>
        </c:ser>
        <c:ser>
          <c:idx val="1"/>
          <c:order val="1"/>
          <c:tx>
            <c:strRef>
              <c:f>'Solent Summary by year'!$G$16</c:f>
              <c:strCache>
                <c:ptCount val="1"/>
                <c:pt idx="0">
                  <c:v>Imports</c:v>
                </c:pt>
              </c:strCache>
            </c:strRef>
          </c:tx>
          <c:spPr>
            <a:solidFill>
              <a:schemeClr val="accent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solidFill>
                <a:prstDash val="sysDot"/>
              </a:ln>
              <a:effectLst/>
            </c:spPr>
            <c:trendlineType val="linear"/>
            <c:dispRSqr val="0"/>
            <c:dispEq val="0"/>
          </c:trendline>
          <c:cat>
            <c:numRef>
              <c:f>'Solent Summary by year'!$E$17:$E$24</c:f>
              <c:numCache>
                <c:formatCode>General</c:formatCode>
                <c:ptCount val="8"/>
                <c:pt idx="0">
                  <c:v>2010</c:v>
                </c:pt>
                <c:pt idx="1">
                  <c:v>2011</c:v>
                </c:pt>
                <c:pt idx="2">
                  <c:v>2012</c:v>
                </c:pt>
                <c:pt idx="3">
                  <c:v>2013</c:v>
                </c:pt>
                <c:pt idx="4">
                  <c:v>2014</c:v>
                </c:pt>
                <c:pt idx="5">
                  <c:v>2015</c:v>
                </c:pt>
                <c:pt idx="6">
                  <c:v>2016</c:v>
                </c:pt>
                <c:pt idx="7">
                  <c:v>2017</c:v>
                </c:pt>
              </c:numCache>
            </c:numRef>
          </c:cat>
          <c:val>
            <c:numRef>
              <c:f>'Solent Summary by year'!$G$17:$G$24</c:f>
              <c:numCache>
                <c:formatCode>0%</c:formatCode>
                <c:ptCount val="8"/>
                <c:pt idx="0">
                  <c:v>9.7258150027876467E-2</c:v>
                </c:pt>
                <c:pt idx="1">
                  <c:v>8.9933491386306727E-2</c:v>
                </c:pt>
                <c:pt idx="2">
                  <c:v>9.0886006292954596E-2</c:v>
                </c:pt>
                <c:pt idx="3">
                  <c:v>0.10262359754239807</c:v>
                </c:pt>
                <c:pt idx="4">
                  <c:v>8.2667506607415342E-2</c:v>
                </c:pt>
                <c:pt idx="5">
                  <c:v>7.8540551863924377E-2</c:v>
                </c:pt>
                <c:pt idx="6">
                  <c:v>8.3471130501268573E-2</c:v>
                </c:pt>
                <c:pt idx="7">
                  <c:v>9.6642345896869625E-2</c:v>
                </c:pt>
              </c:numCache>
            </c:numRef>
          </c:val>
          <c:extLst>
            <c:ext xmlns:c16="http://schemas.microsoft.com/office/drawing/2014/chart" uri="{C3380CC4-5D6E-409C-BE32-E72D297353CC}">
              <c16:uniqueId val="{00000003-116B-4CBB-8B6F-B8C35873F726}"/>
            </c:ext>
          </c:extLst>
        </c:ser>
        <c:dLbls>
          <c:showLegendKey val="0"/>
          <c:showVal val="0"/>
          <c:showCatName val="0"/>
          <c:showSerName val="0"/>
          <c:showPercent val="0"/>
          <c:showBubbleSize val="0"/>
        </c:dLbls>
        <c:gapWidth val="219"/>
        <c:overlap val="-27"/>
        <c:axId val="122064360"/>
        <c:axId val="122060440"/>
      </c:barChart>
      <c:catAx>
        <c:axId val="122064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808080"/>
                </a:solidFill>
                <a:latin typeface="Calibri"/>
                <a:ea typeface="Calibri"/>
                <a:cs typeface="Calibri"/>
              </a:defRPr>
            </a:pPr>
            <a:endParaRPr lang="en-US"/>
          </a:p>
        </c:txPr>
        <c:crossAx val="122060440"/>
        <c:crosses val="autoZero"/>
        <c:auto val="1"/>
        <c:lblAlgn val="ctr"/>
        <c:lblOffset val="100"/>
        <c:noMultiLvlLbl val="0"/>
      </c:catAx>
      <c:valAx>
        <c:axId val="122060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0" vert="horz"/>
          <a:lstStyle/>
          <a:p>
            <a:pPr>
              <a:defRPr sz="900" b="0" i="0" u="none" strike="noStrike" baseline="0">
                <a:solidFill>
                  <a:srgbClr val="808080"/>
                </a:solidFill>
                <a:latin typeface="Calibri"/>
                <a:ea typeface="Calibri"/>
                <a:cs typeface="Calibri"/>
              </a:defRPr>
            </a:pPr>
            <a:endParaRPr lang="en-US"/>
          </a:p>
        </c:txPr>
        <c:crossAx val="122064360"/>
        <c:crosses val="autoZero"/>
        <c:crossBetween val="between"/>
      </c:valAx>
      <c:spPr>
        <a:noFill/>
        <a:ln w="25400">
          <a:noFill/>
        </a:ln>
      </c:spPr>
    </c:plotArea>
    <c:legend>
      <c:legendPos val="t"/>
      <c:overlay val="0"/>
      <c:spPr>
        <a:noFill/>
        <a:ln w="25400">
          <a:noFill/>
        </a:ln>
      </c:spPr>
      <c:txPr>
        <a:bodyPr/>
        <a:lstStyle/>
        <a:p>
          <a:pPr>
            <a:defRPr sz="755" b="0" i="0" u="none" strike="noStrike" baseline="0">
              <a:solidFill>
                <a:srgbClr val="80808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098834135823303E-2"/>
          <c:y val="9.8501436830392294E-2"/>
          <c:w val="0.91407248473934533"/>
          <c:h val="0.81056062621729319"/>
        </c:manualLayout>
      </c:layout>
      <c:barChart>
        <c:barDir val="col"/>
        <c:grouping val="clustered"/>
        <c:varyColors val="0"/>
        <c:ser>
          <c:idx val="0"/>
          <c:order val="0"/>
          <c:tx>
            <c:strRef>
              <c:f>'Solent Summary by year'!$J$63</c:f>
              <c:strCache>
                <c:ptCount val="1"/>
                <c:pt idx="0">
                  <c:v>Exports</c:v>
                </c:pt>
              </c:strCache>
            </c:strRef>
          </c:tx>
          <c:spPr>
            <a:solidFill>
              <a:schemeClr val="tx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1"/>
                </a:solidFill>
                <a:prstDash val="sysDot"/>
              </a:ln>
              <a:effectLst/>
            </c:spPr>
            <c:trendlineType val="linear"/>
            <c:dispRSqr val="0"/>
            <c:dispEq val="0"/>
          </c:trendline>
          <c:cat>
            <c:numRef>
              <c:f>'Solent Summary by year'!$I$64:$I$71</c:f>
              <c:numCache>
                <c:formatCode>General</c:formatCode>
                <c:ptCount val="8"/>
                <c:pt idx="0">
                  <c:v>2010</c:v>
                </c:pt>
                <c:pt idx="1">
                  <c:v>2011</c:v>
                </c:pt>
                <c:pt idx="2">
                  <c:v>2012</c:v>
                </c:pt>
                <c:pt idx="3">
                  <c:v>2013</c:v>
                </c:pt>
                <c:pt idx="4">
                  <c:v>2014</c:v>
                </c:pt>
                <c:pt idx="5">
                  <c:v>2015</c:v>
                </c:pt>
                <c:pt idx="6">
                  <c:v>2016</c:v>
                </c:pt>
                <c:pt idx="7">
                  <c:v>2017</c:v>
                </c:pt>
              </c:numCache>
            </c:numRef>
          </c:cat>
          <c:val>
            <c:numRef>
              <c:f>'Solent Summary by year'!$J$64:$J$71</c:f>
              <c:numCache>
                <c:formatCode>0%</c:formatCode>
                <c:ptCount val="8"/>
                <c:pt idx="0">
                  <c:v>6.7575428054470491E-2</c:v>
                </c:pt>
                <c:pt idx="1">
                  <c:v>6.8399275806871579E-2</c:v>
                </c:pt>
                <c:pt idx="2">
                  <c:v>7.8114218221469231E-2</c:v>
                </c:pt>
                <c:pt idx="3">
                  <c:v>7.0982716131199955E-2</c:v>
                </c:pt>
                <c:pt idx="4">
                  <c:v>8.0560217290052361E-2</c:v>
                </c:pt>
                <c:pt idx="5">
                  <c:v>7.2380195762157123E-2</c:v>
                </c:pt>
                <c:pt idx="6">
                  <c:v>7.5902260906266172E-2</c:v>
                </c:pt>
                <c:pt idx="7">
                  <c:v>7.068257969789131E-2</c:v>
                </c:pt>
              </c:numCache>
            </c:numRef>
          </c:val>
          <c:extLst>
            <c:ext xmlns:c16="http://schemas.microsoft.com/office/drawing/2014/chart" uri="{C3380CC4-5D6E-409C-BE32-E72D297353CC}">
              <c16:uniqueId val="{00000001-BB8C-4F97-ACA3-037C7277F489}"/>
            </c:ext>
          </c:extLst>
        </c:ser>
        <c:ser>
          <c:idx val="1"/>
          <c:order val="1"/>
          <c:tx>
            <c:strRef>
              <c:f>'Solent Summary by year'!$K$63</c:f>
              <c:strCache>
                <c:ptCount val="1"/>
                <c:pt idx="0">
                  <c:v>Imports</c:v>
                </c:pt>
              </c:strCache>
            </c:strRef>
          </c:tx>
          <c:spPr>
            <a:solidFill>
              <a:schemeClr val="accent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solidFill>
                <a:prstDash val="sysDot"/>
              </a:ln>
              <a:effectLst/>
            </c:spPr>
            <c:trendlineType val="linear"/>
            <c:dispRSqr val="0"/>
            <c:dispEq val="0"/>
          </c:trendline>
          <c:cat>
            <c:numRef>
              <c:f>'Solent Summary by year'!$I$64:$I$71</c:f>
              <c:numCache>
                <c:formatCode>General</c:formatCode>
                <c:ptCount val="8"/>
                <c:pt idx="0">
                  <c:v>2010</c:v>
                </c:pt>
                <c:pt idx="1">
                  <c:v>2011</c:v>
                </c:pt>
                <c:pt idx="2">
                  <c:v>2012</c:v>
                </c:pt>
                <c:pt idx="3">
                  <c:v>2013</c:v>
                </c:pt>
                <c:pt idx="4">
                  <c:v>2014</c:v>
                </c:pt>
                <c:pt idx="5">
                  <c:v>2015</c:v>
                </c:pt>
                <c:pt idx="6">
                  <c:v>2016</c:v>
                </c:pt>
                <c:pt idx="7">
                  <c:v>2017</c:v>
                </c:pt>
              </c:numCache>
            </c:numRef>
          </c:cat>
          <c:val>
            <c:numRef>
              <c:f>'Solent Summary by year'!$K$64:$K$71</c:f>
              <c:numCache>
                <c:formatCode>0%</c:formatCode>
                <c:ptCount val="8"/>
                <c:pt idx="0">
                  <c:v>9.2306766833661902E-2</c:v>
                </c:pt>
                <c:pt idx="1">
                  <c:v>8.9497245720793553E-2</c:v>
                </c:pt>
                <c:pt idx="2">
                  <c:v>8.7559162234146129E-2</c:v>
                </c:pt>
                <c:pt idx="3">
                  <c:v>8.5185793291534667E-2</c:v>
                </c:pt>
                <c:pt idx="4">
                  <c:v>8.6772392147578273E-2</c:v>
                </c:pt>
                <c:pt idx="5">
                  <c:v>8.8185750935106527E-2</c:v>
                </c:pt>
                <c:pt idx="6">
                  <c:v>7.6876837217490446E-2</c:v>
                </c:pt>
                <c:pt idx="7">
                  <c:v>8.7445800677895119E-2</c:v>
                </c:pt>
              </c:numCache>
            </c:numRef>
          </c:val>
          <c:extLst>
            <c:ext xmlns:c16="http://schemas.microsoft.com/office/drawing/2014/chart" uri="{C3380CC4-5D6E-409C-BE32-E72D297353CC}">
              <c16:uniqueId val="{00000003-BB8C-4F97-ACA3-037C7277F489}"/>
            </c:ext>
          </c:extLst>
        </c:ser>
        <c:dLbls>
          <c:showLegendKey val="0"/>
          <c:showVal val="0"/>
          <c:showCatName val="0"/>
          <c:showSerName val="0"/>
          <c:showPercent val="0"/>
          <c:showBubbleSize val="0"/>
        </c:dLbls>
        <c:gapWidth val="219"/>
        <c:overlap val="-27"/>
        <c:axId val="122064752"/>
        <c:axId val="122062792"/>
      </c:barChart>
      <c:catAx>
        <c:axId val="12206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808080"/>
                </a:solidFill>
                <a:latin typeface="Calibri"/>
                <a:ea typeface="Calibri"/>
                <a:cs typeface="Calibri"/>
              </a:defRPr>
            </a:pPr>
            <a:endParaRPr lang="en-US"/>
          </a:p>
        </c:txPr>
        <c:crossAx val="122062792"/>
        <c:crosses val="autoZero"/>
        <c:auto val="1"/>
        <c:lblAlgn val="ctr"/>
        <c:lblOffset val="100"/>
        <c:noMultiLvlLbl val="0"/>
      </c:catAx>
      <c:valAx>
        <c:axId val="122062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0" vert="horz"/>
          <a:lstStyle/>
          <a:p>
            <a:pPr>
              <a:defRPr sz="900" b="0" i="0" u="none" strike="noStrike" baseline="0">
                <a:solidFill>
                  <a:srgbClr val="808080"/>
                </a:solidFill>
                <a:latin typeface="Calibri"/>
                <a:ea typeface="Calibri"/>
                <a:cs typeface="Calibri"/>
              </a:defRPr>
            </a:pPr>
            <a:endParaRPr lang="en-US"/>
          </a:p>
        </c:txPr>
        <c:crossAx val="122064752"/>
        <c:crosses val="autoZero"/>
        <c:crossBetween val="between"/>
      </c:valAx>
      <c:spPr>
        <a:noFill/>
        <a:ln w="25400">
          <a:noFill/>
        </a:ln>
      </c:spPr>
    </c:plotArea>
    <c:legend>
      <c:legendPos val="t"/>
      <c:overlay val="0"/>
      <c:spPr>
        <a:noFill/>
        <a:ln w="25400">
          <a:noFill/>
        </a:ln>
      </c:spPr>
      <c:txPr>
        <a:bodyPr/>
        <a:lstStyle/>
        <a:p>
          <a:pPr>
            <a:defRPr sz="755" b="0" i="0" u="none" strike="noStrike" baseline="0">
              <a:solidFill>
                <a:srgbClr val="80808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0.40936</cdr:x>
      <cdr:y>0.05836</cdr:y>
    </cdr:from>
    <cdr:to>
      <cdr:x>0.40936</cdr:x>
      <cdr:y>0.83321</cdr:y>
    </cdr:to>
    <cdr:cxnSp macro="">
      <cdr:nvCxnSpPr>
        <cdr:cNvPr id="3" name="Straight Connector 2">
          <a:extLst xmlns:a="http://schemas.openxmlformats.org/drawingml/2006/main">
            <a:ext uri="{FF2B5EF4-FFF2-40B4-BE49-F238E27FC236}">
              <a16:creationId xmlns:a16="http://schemas.microsoft.com/office/drawing/2014/main" id="{27895203-03A7-427C-9D5F-7E0C5DBC28B3}"/>
            </a:ext>
          </a:extLst>
        </cdr:cNvPr>
        <cdr:cNvCxnSpPr/>
      </cdr:nvCxnSpPr>
      <cdr:spPr>
        <a:xfrm xmlns:a="http://schemas.openxmlformats.org/drawingml/2006/main" flipV="1">
          <a:off x="2525435" y="225781"/>
          <a:ext cx="0" cy="2997715"/>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Cebr Colours">
      <a:dk1>
        <a:sysClr val="windowText" lastClr="000000"/>
      </a:dk1>
      <a:lt1>
        <a:sysClr val="window" lastClr="FFFFFF"/>
      </a:lt1>
      <a:dk2>
        <a:srgbClr val="008C9B"/>
      </a:dk2>
      <a:lt2>
        <a:srgbClr val="EEECE1"/>
      </a:lt2>
      <a:accent1>
        <a:srgbClr val="008C9B"/>
      </a:accent1>
      <a:accent2>
        <a:srgbClr val="00AEEF"/>
      </a:accent2>
      <a:accent3>
        <a:srgbClr val="6D6E71"/>
      </a:accent3>
      <a:accent4>
        <a:srgbClr val="BCBEC0"/>
      </a:accent4>
      <a:accent5>
        <a:srgbClr val="ED1C24"/>
      </a:accent5>
      <a:accent6>
        <a:srgbClr val="004A53"/>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ebr Colours">
    <a:dk1>
      <a:sysClr val="windowText" lastClr="000000"/>
    </a:dk1>
    <a:lt1>
      <a:sysClr val="window" lastClr="FFFFFF"/>
    </a:lt1>
    <a:dk2>
      <a:srgbClr val="008C9B"/>
    </a:dk2>
    <a:lt2>
      <a:srgbClr val="EEECE1"/>
    </a:lt2>
    <a:accent1>
      <a:srgbClr val="008C9B"/>
    </a:accent1>
    <a:accent2>
      <a:srgbClr val="00AEEF"/>
    </a:accent2>
    <a:accent3>
      <a:srgbClr val="6D6E71"/>
    </a:accent3>
    <a:accent4>
      <a:srgbClr val="BCBEC0"/>
    </a:accent4>
    <a:accent5>
      <a:srgbClr val="ED1C24"/>
    </a:accent5>
    <a:accent6>
      <a:srgbClr val="004A53"/>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8BFB-43C9-4814-9015-1390A58E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Cebr_Word report template</Template>
  <TotalTime>0</TotalTime>
  <Pages>57</Pages>
  <Words>18057</Words>
  <Characters>102931</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120747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Lea</dc:creator>
  <cp:keywords/>
  <dc:description/>
  <cp:lastModifiedBy>Daryn Park</cp:lastModifiedBy>
  <cp:revision>2</cp:revision>
  <cp:lastPrinted>2017-12-06T14:44:00Z</cp:lastPrinted>
  <dcterms:created xsi:type="dcterms:W3CDTF">2019-10-16T08:45:00Z</dcterms:created>
  <dcterms:modified xsi:type="dcterms:W3CDTF">2019-10-16T08:45:00Z</dcterms:modified>
</cp:coreProperties>
</file>