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21"/>
      </w:tblGrid>
      <w:tr w:rsidR="00F757B0" w14:paraId="6C1825C5" w14:textId="77777777" w:rsidTr="00355E7A">
        <w:trPr>
          <w:trHeight w:hRule="exact" w:val="6670"/>
        </w:trPr>
        <w:tc>
          <w:tcPr>
            <w:tcW w:w="9421" w:type="dxa"/>
          </w:tcPr>
          <w:p w14:paraId="645D587A" w14:textId="77777777" w:rsidR="00F757B0" w:rsidRDefault="00F757B0" w:rsidP="00A76027"/>
        </w:tc>
      </w:tr>
      <w:tr w:rsidR="00F757B0" w14:paraId="35D3D921" w14:textId="77777777" w:rsidTr="00E12240">
        <w:trPr>
          <w:trHeight w:hRule="exact" w:val="4423"/>
        </w:trPr>
        <w:tc>
          <w:tcPr>
            <w:tcW w:w="9421" w:type="dxa"/>
          </w:tcPr>
          <w:p w14:paraId="615DDCED" w14:textId="77777777" w:rsidR="009E443F" w:rsidRDefault="009E443F" w:rsidP="00F757B0">
            <w:pPr>
              <w:pStyle w:val="Documenttitle"/>
            </w:pPr>
          </w:p>
          <w:p w14:paraId="756DF485" w14:textId="25AA8EC0" w:rsidR="00F757B0" w:rsidRDefault="0008081F" w:rsidP="00F757B0">
            <w:pPr>
              <w:pStyle w:val="Documenttitle"/>
            </w:pPr>
            <w:r>
              <w:t xml:space="preserve">The economic contribution of the </w:t>
            </w:r>
            <w:r w:rsidR="00807DCB">
              <w:t>Maritime S</w:t>
            </w:r>
            <w:r w:rsidR="00790207">
              <w:t xml:space="preserve">ector </w:t>
            </w:r>
            <w:r w:rsidR="00400871">
              <w:t>in Scotland</w:t>
            </w:r>
          </w:p>
          <w:p w14:paraId="164A7932" w14:textId="168D542D" w:rsidR="00F757B0" w:rsidRDefault="0008081F" w:rsidP="00F757B0">
            <w:pPr>
              <w:pStyle w:val="Documentsubtitle"/>
            </w:pPr>
            <w:r>
              <w:t xml:space="preserve">A </w:t>
            </w:r>
            <w:r w:rsidR="00807DCB">
              <w:t xml:space="preserve">Cebr </w:t>
            </w:r>
            <w:r>
              <w:t>report for Maritime UK</w:t>
            </w:r>
          </w:p>
          <w:p w14:paraId="421835C7" w14:textId="74EE9B21" w:rsidR="00F757B0" w:rsidRDefault="00807DCB" w:rsidP="00F757B0">
            <w:pPr>
              <w:pStyle w:val="Documentoutline"/>
            </w:pPr>
            <w:r>
              <w:t>August 2019</w:t>
            </w:r>
          </w:p>
        </w:tc>
      </w:tr>
    </w:tbl>
    <w:p w14:paraId="1B3D858E" w14:textId="77777777" w:rsidR="0008458B" w:rsidRDefault="0008458B">
      <w:r>
        <w:br w:type="page"/>
      </w:r>
    </w:p>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21"/>
      </w:tblGrid>
      <w:tr w:rsidR="00424F1F" w14:paraId="6426C4B9" w14:textId="77777777" w:rsidTr="00424F1F">
        <w:trPr>
          <w:trHeight w:val="12765"/>
        </w:trPr>
        <w:tc>
          <w:tcPr>
            <w:tcW w:w="9421" w:type="dxa"/>
            <w:vAlign w:val="bottom"/>
          </w:tcPr>
          <w:p w14:paraId="3257FB1F" w14:textId="77777777" w:rsidR="0049289D" w:rsidRPr="007A2119" w:rsidRDefault="0049289D" w:rsidP="0049289D">
            <w:pPr>
              <w:pStyle w:val="Disclaimer"/>
              <w:rPr>
                <w:b/>
                <w:bCs/>
              </w:rPr>
            </w:pPr>
            <w:r w:rsidRPr="007A2119">
              <w:rPr>
                <w:b/>
                <w:bCs/>
              </w:rPr>
              <w:lastRenderedPageBreak/>
              <w:t>Disclaimer</w:t>
            </w:r>
          </w:p>
          <w:p w14:paraId="7449A0B0" w14:textId="77777777" w:rsidR="0049289D" w:rsidRDefault="0049289D" w:rsidP="0049289D">
            <w:pPr>
              <w:pStyle w:val="Disclaimer"/>
            </w:pPr>
            <w:r>
              <w:t>Whilst every effort has been made to ensure the accuracy of the material in this document, neither Centre for Economics and Business Research Ltd nor the report’s authors will be liable for any loss or damages incurred through the use of the report.</w:t>
            </w:r>
          </w:p>
          <w:p w14:paraId="47A66444" w14:textId="77777777" w:rsidR="0049289D" w:rsidRDefault="0049289D" w:rsidP="0049289D">
            <w:pPr>
              <w:pStyle w:val="Disclaimer"/>
              <w:spacing w:after="0"/>
            </w:pPr>
            <w:r>
              <w:t>Authorship and acknowledgements</w:t>
            </w:r>
          </w:p>
          <w:p w14:paraId="556166EF" w14:textId="77777777" w:rsidR="0049289D" w:rsidRDefault="0049289D" w:rsidP="0049289D">
            <w:pPr>
              <w:pStyle w:val="Disclaimer"/>
              <w:spacing w:after="0"/>
            </w:pPr>
          </w:p>
          <w:p w14:paraId="14B6BDB0" w14:textId="77777777" w:rsidR="0049289D" w:rsidRDefault="0049289D" w:rsidP="0049289D">
            <w:pPr>
              <w:pStyle w:val="Disclaimer"/>
            </w:pPr>
            <w:r>
              <w:t>This report has been produced by Cebr, an independent economics and business research consultancy established in 1992. The views expressed herein are those of the authors only and are based upon independent research by them.</w:t>
            </w:r>
          </w:p>
          <w:p w14:paraId="4197BAC4" w14:textId="77777777" w:rsidR="0049289D" w:rsidRDefault="0049289D" w:rsidP="0049289D">
            <w:pPr>
              <w:pStyle w:val="Disclaimer"/>
            </w:pPr>
            <w:r>
              <w:rPr>
                <w:color w:val="000000"/>
              </w:rPr>
              <w:t>The industry figures making up the broad Maritime sector are not always additive because some of the reports have been customised to cater for the overlap between certain industries. Simply adding together the industries would therefore produce a degree of double counting. Nonetheless, the broad Maritime report has had this double counting stripped out. Cebr believes fundamentally in the thoroughness and robustness of its approach and, as such, we stand by our own unbiased and fresh examination of the role of the Maritime sector and its constituent industries in the UK.</w:t>
            </w:r>
          </w:p>
          <w:p w14:paraId="74E4C306" w14:textId="77777777" w:rsidR="0049289D" w:rsidRDefault="0049289D" w:rsidP="0049289D">
            <w:pPr>
              <w:pStyle w:val="Disclaimer"/>
              <w:tabs>
                <w:tab w:val="right" w:pos="9356"/>
              </w:tabs>
            </w:pPr>
            <w:r>
              <w:t>The report does not necessarily reflect the views of Maritime UK. The report does not necessarily reflect the views of Maritime UK.</w:t>
            </w:r>
          </w:p>
          <w:p w14:paraId="48CA77D9" w14:textId="21722090" w:rsidR="00F957C1" w:rsidRDefault="0008081F" w:rsidP="0008081F">
            <w:pPr>
              <w:pStyle w:val="Disclaimer"/>
              <w:tabs>
                <w:tab w:val="right" w:pos="9356"/>
              </w:tabs>
            </w:pPr>
            <w:r>
              <w:tab/>
            </w:r>
          </w:p>
          <w:p w14:paraId="0A366754" w14:textId="5A7424FD" w:rsidR="00424F1F" w:rsidRDefault="0008081F" w:rsidP="0049289D">
            <w:pPr>
              <w:pStyle w:val="Disclaimer"/>
              <w:tabs>
                <w:tab w:val="right" w:pos="9356"/>
              </w:tabs>
              <w:jc w:val="right"/>
            </w:pPr>
            <w:r>
              <w:t>London,</w:t>
            </w:r>
            <w:r w:rsidR="00A94FC9">
              <w:t xml:space="preserve"> </w:t>
            </w:r>
            <w:r w:rsidR="0049289D">
              <w:t>August 2019</w:t>
            </w:r>
          </w:p>
        </w:tc>
      </w:tr>
    </w:tbl>
    <w:p w14:paraId="3E55EACA" w14:textId="77777777" w:rsidR="007A2119" w:rsidRDefault="007A2119" w:rsidP="007A2119">
      <w:pPr>
        <w:pStyle w:val="Disclaimer"/>
        <w:tabs>
          <w:tab w:val="right" w:pos="9412"/>
        </w:tabs>
      </w:pPr>
      <w:r>
        <w:br w:type="page"/>
      </w:r>
    </w:p>
    <w:p w14:paraId="011D0B59" w14:textId="77777777" w:rsidR="007A2119" w:rsidRDefault="00773CE3" w:rsidP="00D43EC4">
      <w:pPr>
        <w:pStyle w:val="Contentstitle"/>
      </w:pPr>
      <w:r>
        <w:lastRenderedPageBreak/>
        <w:t>Contents</w:t>
      </w:r>
    </w:p>
    <w:p w14:paraId="5C9A3E38" w14:textId="77777777" w:rsidR="00BC67A0" w:rsidRDefault="00F6094A">
      <w:pPr>
        <w:pStyle w:val="TOC3"/>
        <w:rPr>
          <w:rFonts w:cstheme="minorBidi"/>
          <w:b w:val="0"/>
          <w:noProof/>
          <w:sz w:val="22"/>
          <w:szCs w:val="22"/>
          <w:lang w:eastAsia="en-GB"/>
        </w:rPr>
      </w:pPr>
      <w:r>
        <w:rPr>
          <w:color w:val="000000" w:themeColor="text1"/>
        </w:rPr>
        <w:fldChar w:fldCharType="begin"/>
      </w:r>
      <w:r>
        <w:instrText xml:space="preserve"> TOC \h \z \t "Heading 1,3,Heading 2,4,Section title,1,Subsection title,2" </w:instrText>
      </w:r>
      <w:r>
        <w:rPr>
          <w:color w:val="000000" w:themeColor="text1"/>
        </w:rPr>
        <w:fldChar w:fldCharType="separate"/>
      </w:r>
      <w:hyperlink w:anchor="_Toc16767993" w:history="1">
        <w:r w:rsidR="00BC67A0" w:rsidRPr="0060741F">
          <w:rPr>
            <w:rStyle w:val="Hyperlink"/>
            <w:noProof/>
          </w:rPr>
          <w:t>Executive Summary</w:t>
        </w:r>
        <w:r w:rsidR="00BC67A0">
          <w:rPr>
            <w:noProof/>
            <w:webHidden/>
          </w:rPr>
          <w:tab/>
        </w:r>
        <w:r w:rsidR="00BC67A0">
          <w:rPr>
            <w:noProof/>
            <w:webHidden/>
          </w:rPr>
          <w:fldChar w:fldCharType="begin"/>
        </w:r>
        <w:r w:rsidR="00BC67A0">
          <w:rPr>
            <w:noProof/>
            <w:webHidden/>
          </w:rPr>
          <w:instrText xml:space="preserve"> PAGEREF _Toc16767993 \h </w:instrText>
        </w:r>
        <w:r w:rsidR="00BC67A0">
          <w:rPr>
            <w:noProof/>
            <w:webHidden/>
          </w:rPr>
        </w:r>
        <w:r w:rsidR="00BC67A0">
          <w:rPr>
            <w:noProof/>
            <w:webHidden/>
          </w:rPr>
          <w:fldChar w:fldCharType="separate"/>
        </w:r>
        <w:r w:rsidR="00BC67A0">
          <w:rPr>
            <w:noProof/>
            <w:webHidden/>
          </w:rPr>
          <w:t>5</w:t>
        </w:r>
        <w:r w:rsidR="00BC67A0">
          <w:rPr>
            <w:noProof/>
            <w:webHidden/>
          </w:rPr>
          <w:fldChar w:fldCharType="end"/>
        </w:r>
      </w:hyperlink>
    </w:p>
    <w:p w14:paraId="2451D9FD" w14:textId="77777777" w:rsidR="00BC67A0" w:rsidRDefault="00BC67A0">
      <w:pPr>
        <w:pStyle w:val="TOC3"/>
        <w:rPr>
          <w:rFonts w:cstheme="minorBidi"/>
          <w:b w:val="0"/>
          <w:noProof/>
          <w:sz w:val="22"/>
          <w:szCs w:val="22"/>
          <w:lang w:eastAsia="en-GB"/>
        </w:rPr>
      </w:pPr>
      <w:hyperlink w:anchor="_Toc16767994" w:history="1">
        <w:r w:rsidRPr="0060741F">
          <w:rPr>
            <w:rStyle w:val="Hyperlink"/>
            <w:noProof/>
          </w:rPr>
          <w:t>1</w:t>
        </w:r>
        <w:r>
          <w:rPr>
            <w:rFonts w:cstheme="minorBidi"/>
            <w:b w:val="0"/>
            <w:noProof/>
            <w:sz w:val="22"/>
            <w:szCs w:val="22"/>
            <w:lang w:eastAsia="en-GB"/>
          </w:rPr>
          <w:tab/>
        </w:r>
        <w:r w:rsidRPr="0060741F">
          <w:rPr>
            <w:rStyle w:val="Hyperlink"/>
            <w:noProof/>
          </w:rPr>
          <w:t>Introduction</w:t>
        </w:r>
        <w:r>
          <w:rPr>
            <w:noProof/>
            <w:webHidden/>
          </w:rPr>
          <w:tab/>
        </w:r>
        <w:r>
          <w:rPr>
            <w:noProof/>
            <w:webHidden/>
          </w:rPr>
          <w:fldChar w:fldCharType="begin"/>
        </w:r>
        <w:r>
          <w:rPr>
            <w:noProof/>
            <w:webHidden/>
          </w:rPr>
          <w:instrText xml:space="preserve"> PAGEREF _Toc16767994 \h </w:instrText>
        </w:r>
        <w:r>
          <w:rPr>
            <w:noProof/>
            <w:webHidden/>
          </w:rPr>
        </w:r>
        <w:r>
          <w:rPr>
            <w:noProof/>
            <w:webHidden/>
          </w:rPr>
          <w:fldChar w:fldCharType="separate"/>
        </w:r>
        <w:r>
          <w:rPr>
            <w:noProof/>
            <w:webHidden/>
          </w:rPr>
          <w:t>6</w:t>
        </w:r>
        <w:r>
          <w:rPr>
            <w:noProof/>
            <w:webHidden/>
          </w:rPr>
          <w:fldChar w:fldCharType="end"/>
        </w:r>
      </w:hyperlink>
    </w:p>
    <w:p w14:paraId="73248B1C" w14:textId="77777777" w:rsidR="00BC67A0" w:rsidRDefault="00BC67A0">
      <w:pPr>
        <w:pStyle w:val="TOC4"/>
        <w:rPr>
          <w:rFonts w:cstheme="minorBidi"/>
          <w:noProof/>
          <w:color w:val="auto"/>
          <w:sz w:val="22"/>
          <w:szCs w:val="22"/>
          <w:lang w:eastAsia="en-GB"/>
        </w:rPr>
      </w:pPr>
      <w:hyperlink w:anchor="_Toc16767995" w:history="1">
        <w:r w:rsidRPr="0060741F">
          <w:rPr>
            <w:rStyle w:val="Hyperlink"/>
            <w:noProof/>
          </w:rPr>
          <w:t>1.1</w:t>
        </w:r>
        <w:r>
          <w:rPr>
            <w:rFonts w:cstheme="minorBidi"/>
            <w:noProof/>
            <w:color w:val="auto"/>
            <w:sz w:val="22"/>
            <w:szCs w:val="22"/>
            <w:lang w:eastAsia="en-GB"/>
          </w:rPr>
          <w:tab/>
        </w:r>
        <w:r w:rsidRPr="0060741F">
          <w:rPr>
            <w:rStyle w:val="Hyperlink"/>
            <w:noProof/>
          </w:rPr>
          <w:t>About Maritime UK</w:t>
        </w:r>
        <w:r>
          <w:rPr>
            <w:noProof/>
            <w:webHidden/>
          </w:rPr>
          <w:tab/>
        </w:r>
        <w:r>
          <w:rPr>
            <w:noProof/>
            <w:webHidden/>
          </w:rPr>
          <w:fldChar w:fldCharType="begin"/>
        </w:r>
        <w:r>
          <w:rPr>
            <w:noProof/>
            <w:webHidden/>
          </w:rPr>
          <w:instrText xml:space="preserve"> PAGEREF _Toc16767995 \h </w:instrText>
        </w:r>
        <w:r>
          <w:rPr>
            <w:noProof/>
            <w:webHidden/>
          </w:rPr>
        </w:r>
        <w:r>
          <w:rPr>
            <w:noProof/>
            <w:webHidden/>
          </w:rPr>
          <w:fldChar w:fldCharType="separate"/>
        </w:r>
        <w:r>
          <w:rPr>
            <w:noProof/>
            <w:webHidden/>
          </w:rPr>
          <w:t>6</w:t>
        </w:r>
        <w:r>
          <w:rPr>
            <w:noProof/>
            <w:webHidden/>
          </w:rPr>
          <w:fldChar w:fldCharType="end"/>
        </w:r>
      </w:hyperlink>
    </w:p>
    <w:p w14:paraId="5BF9A6F5" w14:textId="77777777" w:rsidR="00BC67A0" w:rsidRDefault="00BC67A0">
      <w:pPr>
        <w:pStyle w:val="TOC4"/>
        <w:rPr>
          <w:rFonts w:cstheme="minorBidi"/>
          <w:noProof/>
          <w:color w:val="auto"/>
          <w:sz w:val="22"/>
          <w:szCs w:val="22"/>
          <w:lang w:eastAsia="en-GB"/>
        </w:rPr>
      </w:pPr>
      <w:hyperlink w:anchor="_Toc16767996" w:history="1">
        <w:r w:rsidRPr="0060741F">
          <w:rPr>
            <w:rStyle w:val="Hyperlink"/>
            <w:noProof/>
          </w:rPr>
          <w:t>1.2</w:t>
        </w:r>
        <w:r>
          <w:rPr>
            <w:rFonts w:cstheme="minorBidi"/>
            <w:noProof/>
            <w:color w:val="auto"/>
            <w:sz w:val="22"/>
            <w:szCs w:val="22"/>
            <w:lang w:eastAsia="en-GB"/>
          </w:rPr>
          <w:tab/>
        </w:r>
        <w:r w:rsidRPr="0060741F">
          <w:rPr>
            <w:rStyle w:val="Hyperlink"/>
            <w:noProof/>
          </w:rPr>
          <w:t>Purpose of this report</w:t>
        </w:r>
        <w:r>
          <w:rPr>
            <w:noProof/>
            <w:webHidden/>
          </w:rPr>
          <w:tab/>
        </w:r>
        <w:r>
          <w:rPr>
            <w:noProof/>
            <w:webHidden/>
          </w:rPr>
          <w:fldChar w:fldCharType="begin"/>
        </w:r>
        <w:r>
          <w:rPr>
            <w:noProof/>
            <w:webHidden/>
          </w:rPr>
          <w:instrText xml:space="preserve"> PAGEREF _Toc16767996 \h </w:instrText>
        </w:r>
        <w:r>
          <w:rPr>
            <w:noProof/>
            <w:webHidden/>
          </w:rPr>
        </w:r>
        <w:r>
          <w:rPr>
            <w:noProof/>
            <w:webHidden/>
          </w:rPr>
          <w:fldChar w:fldCharType="separate"/>
        </w:r>
        <w:r>
          <w:rPr>
            <w:noProof/>
            <w:webHidden/>
          </w:rPr>
          <w:t>6</w:t>
        </w:r>
        <w:r>
          <w:rPr>
            <w:noProof/>
            <w:webHidden/>
          </w:rPr>
          <w:fldChar w:fldCharType="end"/>
        </w:r>
      </w:hyperlink>
    </w:p>
    <w:p w14:paraId="1386F387" w14:textId="77777777" w:rsidR="00BC67A0" w:rsidRDefault="00BC67A0">
      <w:pPr>
        <w:pStyle w:val="TOC4"/>
        <w:rPr>
          <w:rFonts w:cstheme="minorBidi"/>
          <w:noProof/>
          <w:color w:val="auto"/>
          <w:sz w:val="22"/>
          <w:szCs w:val="22"/>
          <w:lang w:eastAsia="en-GB"/>
        </w:rPr>
      </w:pPr>
      <w:hyperlink w:anchor="_Toc16767997" w:history="1">
        <w:r w:rsidRPr="0060741F">
          <w:rPr>
            <w:rStyle w:val="Hyperlink"/>
            <w:noProof/>
          </w:rPr>
          <w:t>1.3</w:t>
        </w:r>
        <w:r>
          <w:rPr>
            <w:rFonts w:cstheme="minorBidi"/>
            <w:noProof/>
            <w:color w:val="auto"/>
            <w:sz w:val="22"/>
            <w:szCs w:val="22"/>
            <w:lang w:eastAsia="en-GB"/>
          </w:rPr>
          <w:tab/>
        </w:r>
        <w:r w:rsidRPr="0060741F">
          <w:rPr>
            <w:rStyle w:val="Hyperlink"/>
            <w:noProof/>
          </w:rPr>
          <w:t>Overview of the study and methodology</w:t>
        </w:r>
        <w:r>
          <w:rPr>
            <w:noProof/>
            <w:webHidden/>
          </w:rPr>
          <w:tab/>
        </w:r>
        <w:r>
          <w:rPr>
            <w:noProof/>
            <w:webHidden/>
          </w:rPr>
          <w:fldChar w:fldCharType="begin"/>
        </w:r>
        <w:r>
          <w:rPr>
            <w:noProof/>
            <w:webHidden/>
          </w:rPr>
          <w:instrText xml:space="preserve"> PAGEREF _Toc16767997 \h </w:instrText>
        </w:r>
        <w:r>
          <w:rPr>
            <w:noProof/>
            <w:webHidden/>
          </w:rPr>
        </w:r>
        <w:r>
          <w:rPr>
            <w:noProof/>
            <w:webHidden/>
          </w:rPr>
          <w:fldChar w:fldCharType="separate"/>
        </w:r>
        <w:r>
          <w:rPr>
            <w:noProof/>
            <w:webHidden/>
          </w:rPr>
          <w:t>6</w:t>
        </w:r>
        <w:r>
          <w:rPr>
            <w:noProof/>
            <w:webHidden/>
          </w:rPr>
          <w:fldChar w:fldCharType="end"/>
        </w:r>
      </w:hyperlink>
    </w:p>
    <w:p w14:paraId="3B393273" w14:textId="77777777" w:rsidR="00BC67A0" w:rsidRDefault="00BC67A0">
      <w:pPr>
        <w:pStyle w:val="TOC4"/>
        <w:rPr>
          <w:rFonts w:cstheme="minorBidi"/>
          <w:noProof/>
          <w:color w:val="auto"/>
          <w:sz w:val="22"/>
          <w:szCs w:val="22"/>
          <w:lang w:eastAsia="en-GB"/>
        </w:rPr>
      </w:pPr>
      <w:hyperlink w:anchor="_Toc16767998" w:history="1">
        <w:r w:rsidRPr="0060741F">
          <w:rPr>
            <w:rStyle w:val="Hyperlink"/>
            <w:noProof/>
          </w:rPr>
          <w:t>1.4</w:t>
        </w:r>
        <w:r>
          <w:rPr>
            <w:rFonts w:cstheme="minorBidi"/>
            <w:noProof/>
            <w:color w:val="auto"/>
            <w:sz w:val="22"/>
            <w:szCs w:val="22"/>
            <w:lang w:eastAsia="en-GB"/>
          </w:rPr>
          <w:tab/>
        </w:r>
        <w:r w:rsidRPr="0060741F">
          <w:rPr>
            <w:rStyle w:val="Hyperlink"/>
            <w:noProof/>
          </w:rPr>
          <w:t>Structure of the report</w:t>
        </w:r>
        <w:r>
          <w:rPr>
            <w:noProof/>
            <w:webHidden/>
          </w:rPr>
          <w:tab/>
        </w:r>
        <w:r>
          <w:rPr>
            <w:noProof/>
            <w:webHidden/>
          </w:rPr>
          <w:fldChar w:fldCharType="begin"/>
        </w:r>
        <w:r>
          <w:rPr>
            <w:noProof/>
            <w:webHidden/>
          </w:rPr>
          <w:instrText xml:space="preserve"> PAGEREF _Toc16767998 \h </w:instrText>
        </w:r>
        <w:r>
          <w:rPr>
            <w:noProof/>
            <w:webHidden/>
          </w:rPr>
        </w:r>
        <w:r>
          <w:rPr>
            <w:noProof/>
            <w:webHidden/>
          </w:rPr>
          <w:fldChar w:fldCharType="separate"/>
        </w:r>
        <w:r>
          <w:rPr>
            <w:noProof/>
            <w:webHidden/>
          </w:rPr>
          <w:t>8</w:t>
        </w:r>
        <w:r>
          <w:rPr>
            <w:noProof/>
            <w:webHidden/>
          </w:rPr>
          <w:fldChar w:fldCharType="end"/>
        </w:r>
      </w:hyperlink>
    </w:p>
    <w:p w14:paraId="1C51264B" w14:textId="77777777" w:rsidR="00BC67A0" w:rsidRDefault="00BC67A0">
      <w:pPr>
        <w:pStyle w:val="TOC3"/>
        <w:rPr>
          <w:rFonts w:cstheme="minorBidi"/>
          <w:b w:val="0"/>
          <w:noProof/>
          <w:sz w:val="22"/>
          <w:szCs w:val="22"/>
          <w:lang w:eastAsia="en-GB"/>
        </w:rPr>
      </w:pPr>
      <w:hyperlink w:anchor="_Toc16767999" w:history="1">
        <w:r w:rsidRPr="0060741F">
          <w:rPr>
            <w:rStyle w:val="Hyperlink"/>
            <w:noProof/>
          </w:rPr>
          <w:t>2</w:t>
        </w:r>
        <w:r>
          <w:rPr>
            <w:rFonts w:cstheme="minorBidi"/>
            <w:b w:val="0"/>
            <w:noProof/>
            <w:sz w:val="22"/>
            <w:szCs w:val="22"/>
            <w:lang w:eastAsia="en-GB"/>
          </w:rPr>
          <w:tab/>
        </w:r>
        <w:r w:rsidRPr="0060741F">
          <w:rPr>
            <w:rStyle w:val="Hyperlink"/>
            <w:noProof/>
          </w:rPr>
          <w:t>The Maritime Sector in Scotland</w:t>
        </w:r>
        <w:r>
          <w:rPr>
            <w:noProof/>
            <w:webHidden/>
          </w:rPr>
          <w:tab/>
        </w:r>
        <w:r>
          <w:rPr>
            <w:noProof/>
            <w:webHidden/>
          </w:rPr>
          <w:fldChar w:fldCharType="begin"/>
        </w:r>
        <w:r>
          <w:rPr>
            <w:noProof/>
            <w:webHidden/>
          </w:rPr>
          <w:instrText xml:space="preserve"> PAGEREF _Toc16767999 \h </w:instrText>
        </w:r>
        <w:r>
          <w:rPr>
            <w:noProof/>
            <w:webHidden/>
          </w:rPr>
        </w:r>
        <w:r>
          <w:rPr>
            <w:noProof/>
            <w:webHidden/>
          </w:rPr>
          <w:fldChar w:fldCharType="separate"/>
        </w:r>
        <w:r>
          <w:rPr>
            <w:noProof/>
            <w:webHidden/>
          </w:rPr>
          <w:t>9</w:t>
        </w:r>
        <w:r>
          <w:rPr>
            <w:noProof/>
            <w:webHidden/>
          </w:rPr>
          <w:fldChar w:fldCharType="end"/>
        </w:r>
      </w:hyperlink>
    </w:p>
    <w:p w14:paraId="7036CDC8" w14:textId="77777777" w:rsidR="00BC67A0" w:rsidRDefault="00BC67A0">
      <w:pPr>
        <w:pStyle w:val="TOC4"/>
        <w:rPr>
          <w:rFonts w:cstheme="minorBidi"/>
          <w:noProof/>
          <w:color w:val="auto"/>
          <w:sz w:val="22"/>
          <w:szCs w:val="22"/>
          <w:lang w:eastAsia="en-GB"/>
        </w:rPr>
      </w:pPr>
      <w:hyperlink w:anchor="_Toc16768000" w:history="1">
        <w:r w:rsidRPr="0060741F">
          <w:rPr>
            <w:rStyle w:val="Hyperlink"/>
            <w:noProof/>
          </w:rPr>
          <w:t>2.1</w:t>
        </w:r>
        <w:r>
          <w:rPr>
            <w:rFonts w:cstheme="minorBidi"/>
            <w:noProof/>
            <w:color w:val="auto"/>
            <w:sz w:val="22"/>
            <w:szCs w:val="22"/>
            <w:lang w:eastAsia="en-GB"/>
          </w:rPr>
          <w:tab/>
        </w:r>
        <w:r w:rsidRPr="0060741F">
          <w:rPr>
            <w:rStyle w:val="Hyperlink"/>
            <w:noProof/>
          </w:rPr>
          <w:t>The definition of the Maritime Sector and its constituent industries</w:t>
        </w:r>
        <w:r>
          <w:rPr>
            <w:noProof/>
            <w:webHidden/>
          </w:rPr>
          <w:tab/>
        </w:r>
        <w:r>
          <w:rPr>
            <w:noProof/>
            <w:webHidden/>
          </w:rPr>
          <w:fldChar w:fldCharType="begin"/>
        </w:r>
        <w:r>
          <w:rPr>
            <w:noProof/>
            <w:webHidden/>
          </w:rPr>
          <w:instrText xml:space="preserve"> PAGEREF _Toc16768000 \h </w:instrText>
        </w:r>
        <w:r>
          <w:rPr>
            <w:noProof/>
            <w:webHidden/>
          </w:rPr>
        </w:r>
        <w:r>
          <w:rPr>
            <w:noProof/>
            <w:webHidden/>
          </w:rPr>
          <w:fldChar w:fldCharType="separate"/>
        </w:r>
        <w:r>
          <w:rPr>
            <w:noProof/>
            <w:webHidden/>
          </w:rPr>
          <w:t>9</w:t>
        </w:r>
        <w:r>
          <w:rPr>
            <w:noProof/>
            <w:webHidden/>
          </w:rPr>
          <w:fldChar w:fldCharType="end"/>
        </w:r>
      </w:hyperlink>
    </w:p>
    <w:p w14:paraId="018156E3" w14:textId="77777777" w:rsidR="00BC67A0" w:rsidRDefault="00BC67A0">
      <w:pPr>
        <w:pStyle w:val="TOC4"/>
        <w:rPr>
          <w:rFonts w:cstheme="minorBidi"/>
          <w:noProof/>
          <w:color w:val="auto"/>
          <w:sz w:val="22"/>
          <w:szCs w:val="22"/>
          <w:lang w:eastAsia="en-GB"/>
        </w:rPr>
      </w:pPr>
      <w:hyperlink w:anchor="_Toc16768001" w:history="1">
        <w:r w:rsidRPr="0060741F">
          <w:rPr>
            <w:rStyle w:val="Hyperlink"/>
            <w:noProof/>
          </w:rPr>
          <w:t>2.2</w:t>
        </w:r>
        <w:r>
          <w:rPr>
            <w:rFonts w:cstheme="minorBidi"/>
            <w:noProof/>
            <w:color w:val="auto"/>
            <w:sz w:val="22"/>
            <w:szCs w:val="22"/>
            <w:lang w:eastAsia="en-GB"/>
          </w:rPr>
          <w:tab/>
        </w:r>
        <w:r w:rsidRPr="0060741F">
          <w:rPr>
            <w:rStyle w:val="Hyperlink"/>
            <w:noProof/>
          </w:rPr>
          <w:t>Mapping the Maritime Sector against the National Accounts framework</w:t>
        </w:r>
        <w:r>
          <w:rPr>
            <w:noProof/>
            <w:webHidden/>
          </w:rPr>
          <w:tab/>
        </w:r>
        <w:r>
          <w:rPr>
            <w:noProof/>
            <w:webHidden/>
          </w:rPr>
          <w:fldChar w:fldCharType="begin"/>
        </w:r>
        <w:r>
          <w:rPr>
            <w:noProof/>
            <w:webHidden/>
          </w:rPr>
          <w:instrText xml:space="preserve"> PAGEREF _Toc16768001 \h </w:instrText>
        </w:r>
        <w:r>
          <w:rPr>
            <w:noProof/>
            <w:webHidden/>
          </w:rPr>
        </w:r>
        <w:r>
          <w:rPr>
            <w:noProof/>
            <w:webHidden/>
          </w:rPr>
          <w:fldChar w:fldCharType="separate"/>
        </w:r>
        <w:r>
          <w:rPr>
            <w:noProof/>
            <w:webHidden/>
          </w:rPr>
          <w:t>10</w:t>
        </w:r>
        <w:r>
          <w:rPr>
            <w:noProof/>
            <w:webHidden/>
          </w:rPr>
          <w:fldChar w:fldCharType="end"/>
        </w:r>
      </w:hyperlink>
    </w:p>
    <w:p w14:paraId="59EF053A" w14:textId="77777777" w:rsidR="00BC67A0" w:rsidRDefault="00BC67A0">
      <w:pPr>
        <w:pStyle w:val="TOC4"/>
        <w:rPr>
          <w:rFonts w:cstheme="minorBidi"/>
          <w:noProof/>
          <w:color w:val="auto"/>
          <w:sz w:val="22"/>
          <w:szCs w:val="22"/>
          <w:lang w:eastAsia="en-GB"/>
        </w:rPr>
      </w:pPr>
      <w:hyperlink w:anchor="_Toc16768002" w:history="1">
        <w:r w:rsidRPr="0060741F">
          <w:rPr>
            <w:rStyle w:val="Hyperlink"/>
            <w:noProof/>
          </w:rPr>
          <w:t>2.3</w:t>
        </w:r>
        <w:r>
          <w:rPr>
            <w:rFonts w:cstheme="minorBidi"/>
            <w:noProof/>
            <w:color w:val="auto"/>
            <w:sz w:val="22"/>
            <w:szCs w:val="22"/>
            <w:lang w:eastAsia="en-GB"/>
          </w:rPr>
          <w:tab/>
        </w:r>
        <w:r w:rsidRPr="0060741F">
          <w:rPr>
            <w:rStyle w:val="Hyperlink"/>
            <w:noProof/>
          </w:rPr>
          <w:t>Quantifying the direct economic impacts of the industry in Scotland</w:t>
        </w:r>
        <w:r>
          <w:rPr>
            <w:noProof/>
            <w:webHidden/>
          </w:rPr>
          <w:tab/>
        </w:r>
        <w:r>
          <w:rPr>
            <w:noProof/>
            <w:webHidden/>
          </w:rPr>
          <w:fldChar w:fldCharType="begin"/>
        </w:r>
        <w:r>
          <w:rPr>
            <w:noProof/>
            <w:webHidden/>
          </w:rPr>
          <w:instrText xml:space="preserve"> PAGEREF _Toc16768002 \h </w:instrText>
        </w:r>
        <w:r>
          <w:rPr>
            <w:noProof/>
            <w:webHidden/>
          </w:rPr>
        </w:r>
        <w:r>
          <w:rPr>
            <w:noProof/>
            <w:webHidden/>
          </w:rPr>
          <w:fldChar w:fldCharType="separate"/>
        </w:r>
        <w:r>
          <w:rPr>
            <w:noProof/>
            <w:webHidden/>
          </w:rPr>
          <w:t>13</w:t>
        </w:r>
        <w:r>
          <w:rPr>
            <w:noProof/>
            <w:webHidden/>
          </w:rPr>
          <w:fldChar w:fldCharType="end"/>
        </w:r>
      </w:hyperlink>
    </w:p>
    <w:p w14:paraId="41A855D7" w14:textId="77777777" w:rsidR="00BC67A0" w:rsidRDefault="00BC67A0">
      <w:pPr>
        <w:pStyle w:val="TOC3"/>
        <w:rPr>
          <w:rFonts w:cstheme="minorBidi"/>
          <w:b w:val="0"/>
          <w:noProof/>
          <w:sz w:val="22"/>
          <w:szCs w:val="22"/>
          <w:lang w:eastAsia="en-GB"/>
        </w:rPr>
      </w:pPr>
      <w:hyperlink w:anchor="_Toc16768003" w:history="1">
        <w:r w:rsidRPr="0060741F">
          <w:rPr>
            <w:rStyle w:val="Hyperlink"/>
            <w:noProof/>
          </w:rPr>
          <w:t>3</w:t>
        </w:r>
        <w:r>
          <w:rPr>
            <w:rFonts w:cstheme="minorBidi"/>
            <w:b w:val="0"/>
            <w:noProof/>
            <w:sz w:val="22"/>
            <w:szCs w:val="22"/>
            <w:lang w:eastAsia="en-GB"/>
          </w:rPr>
          <w:tab/>
        </w:r>
        <w:r w:rsidRPr="0060741F">
          <w:rPr>
            <w:rStyle w:val="Hyperlink"/>
            <w:noProof/>
          </w:rPr>
          <w:t>The direct economic impact of the Maritime Sector in Scotland</w:t>
        </w:r>
        <w:r>
          <w:rPr>
            <w:noProof/>
            <w:webHidden/>
          </w:rPr>
          <w:tab/>
        </w:r>
        <w:r>
          <w:rPr>
            <w:noProof/>
            <w:webHidden/>
          </w:rPr>
          <w:fldChar w:fldCharType="begin"/>
        </w:r>
        <w:r>
          <w:rPr>
            <w:noProof/>
            <w:webHidden/>
          </w:rPr>
          <w:instrText xml:space="preserve"> PAGEREF _Toc16768003 \h </w:instrText>
        </w:r>
        <w:r>
          <w:rPr>
            <w:noProof/>
            <w:webHidden/>
          </w:rPr>
        </w:r>
        <w:r>
          <w:rPr>
            <w:noProof/>
            <w:webHidden/>
          </w:rPr>
          <w:fldChar w:fldCharType="separate"/>
        </w:r>
        <w:r>
          <w:rPr>
            <w:noProof/>
            <w:webHidden/>
          </w:rPr>
          <w:t>18</w:t>
        </w:r>
        <w:r>
          <w:rPr>
            <w:noProof/>
            <w:webHidden/>
          </w:rPr>
          <w:fldChar w:fldCharType="end"/>
        </w:r>
      </w:hyperlink>
    </w:p>
    <w:p w14:paraId="71F20141" w14:textId="77777777" w:rsidR="00BC67A0" w:rsidRDefault="00BC67A0">
      <w:pPr>
        <w:pStyle w:val="TOC4"/>
        <w:rPr>
          <w:rFonts w:cstheme="minorBidi"/>
          <w:noProof/>
          <w:color w:val="auto"/>
          <w:sz w:val="22"/>
          <w:szCs w:val="22"/>
          <w:lang w:eastAsia="en-GB"/>
        </w:rPr>
      </w:pPr>
      <w:hyperlink w:anchor="_Toc16768004" w:history="1">
        <w:r w:rsidRPr="0060741F">
          <w:rPr>
            <w:rStyle w:val="Hyperlink"/>
            <w:noProof/>
          </w:rPr>
          <w:t>3.1</w:t>
        </w:r>
        <w:r>
          <w:rPr>
            <w:rFonts w:cstheme="minorBidi"/>
            <w:noProof/>
            <w:color w:val="auto"/>
            <w:sz w:val="22"/>
            <w:szCs w:val="22"/>
            <w:lang w:eastAsia="en-GB"/>
          </w:rPr>
          <w:tab/>
        </w:r>
        <w:r w:rsidRPr="0060741F">
          <w:rPr>
            <w:rStyle w:val="Hyperlink"/>
            <w:noProof/>
          </w:rPr>
          <w:t>The direct impact through turnover</w:t>
        </w:r>
        <w:r>
          <w:rPr>
            <w:noProof/>
            <w:webHidden/>
          </w:rPr>
          <w:tab/>
        </w:r>
        <w:r>
          <w:rPr>
            <w:noProof/>
            <w:webHidden/>
          </w:rPr>
          <w:fldChar w:fldCharType="begin"/>
        </w:r>
        <w:r>
          <w:rPr>
            <w:noProof/>
            <w:webHidden/>
          </w:rPr>
          <w:instrText xml:space="preserve"> PAGEREF _Toc16768004 \h </w:instrText>
        </w:r>
        <w:r>
          <w:rPr>
            <w:noProof/>
            <w:webHidden/>
          </w:rPr>
        </w:r>
        <w:r>
          <w:rPr>
            <w:noProof/>
            <w:webHidden/>
          </w:rPr>
          <w:fldChar w:fldCharType="separate"/>
        </w:r>
        <w:r>
          <w:rPr>
            <w:noProof/>
            <w:webHidden/>
          </w:rPr>
          <w:t>18</w:t>
        </w:r>
        <w:r>
          <w:rPr>
            <w:noProof/>
            <w:webHidden/>
          </w:rPr>
          <w:fldChar w:fldCharType="end"/>
        </w:r>
      </w:hyperlink>
    </w:p>
    <w:p w14:paraId="6C2706E2" w14:textId="77777777" w:rsidR="00BC67A0" w:rsidRDefault="00BC67A0">
      <w:pPr>
        <w:pStyle w:val="TOC4"/>
        <w:rPr>
          <w:rFonts w:cstheme="minorBidi"/>
          <w:noProof/>
          <w:color w:val="auto"/>
          <w:sz w:val="22"/>
          <w:szCs w:val="22"/>
          <w:lang w:eastAsia="en-GB"/>
        </w:rPr>
      </w:pPr>
      <w:hyperlink w:anchor="_Toc16768005" w:history="1">
        <w:r w:rsidRPr="0060741F">
          <w:rPr>
            <w:rStyle w:val="Hyperlink"/>
            <w:noProof/>
          </w:rPr>
          <w:t>3.2</w:t>
        </w:r>
        <w:r>
          <w:rPr>
            <w:rFonts w:cstheme="minorBidi"/>
            <w:noProof/>
            <w:color w:val="auto"/>
            <w:sz w:val="22"/>
            <w:szCs w:val="22"/>
            <w:lang w:eastAsia="en-GB"/>
          </w:rPr>
          <w:tab/>
        </w:r>
        <w:r w:rsidRPr="0060741F">
          <w:rPr>
            <w:rStyle w:val="Hyperlink"/>
            <w:noProof/>
          </w:rPr>
          <w:t>The direct impact through GVA</w:t>
        </w:r>
        <w:r>
          <w:rPr>
            <w:noProof/>
            <w:webHidden/>
          </w:rPr>
          <w:tab/>
        </w:r>
        <w:r>
          <w:rPr>
            <w:noProof/>
            <w:webHidden/>
          </w:rPr>
          <w:fldChar w:fldCharType="begin"/>
        </w:r>
        <w:r>
          <w:rPr>
            <w:noProof/>
            <w:webHidden/>
          </w:rPr>
          <w:instrText xml:space="preserve"> PAGEREF _Toc16768005 \h </w:instrText>
        </w:r>
        <w:r>
          <w:rPr>
            <w:noProof/>
            <w:webHidden/>
          </w:rPr>
        </w:r>
        <w:r>
          <w:rPr>
            <w:noProof/>
            <w:webHidden/>
          </w:rPr>
          <w:fldChar w:fldCharType="separate"/>
        </w:r>
        <w:r>
          <w:rPr>
            <w:noProof/>
            <w:webHidden/>
          </w:rPr>
          <w:t>19</w:t>
        </w:r>
        <w:r>
          <w:rPr>
            <w:noProof/>
            <w:webHidden/>
          </w:rPr>
          <w:fldChar w:fldCharType="end"/>
        </w:r>
      </w:hyperlink>
    </w:p>
    <w:p w14:paraId="303FF813" w14:textId="77777777" w:rsidR="00BC67A0" w:rsidRDefault="00BC67A0">
      <w:pPr>
        <w:pStyle w:val="TOC4"/>
        <w:rPr>
          <w:rFonts w:cstheme="minorBidi"/>
          <w:noProof/>
          <w:color w:val="auto"/>
          <w:sz w:val="22"/>
          <w:szCs w:val="22"/>
          <w:lang w:eastAsia="en-GB"/>
        </w:rPr>
      </w:pPr>
      <w:hyperlink w:anchor="_Toc16768006" w:history="1">
        <w:r w:rsidRPr="0060741F">
          <w:rPr>
            <w:rStyle w:val="Hyperlink"/>
            <w:noProof/>
          </w:rPr>
          <w:t>3.3</w:t>
        </w:r>
        <w:r>
          <w:rPr>
            <w:rFonts w:cstheme="minorBidi"/>
            <w:noProof/>
            <w:color w:val="auto"/>
            <w:sz w:val="22"/>
            <w:szCs w:val="22"/>
            <w:lang w:eastAsia="en-GB"/>
          </w:rPr>
          <w:tab/>
        </w:r>
        <w:r w:rsidRPr="0060741F">
          <w:rPr>
            <w:rStyle w:val="Hyperlink"/>
            <w:noProof/>
          </w:rPr>
          <w:t>The direct impact through employment</w:t>
        </w:r>
        <w:r>
          <w:rPr>
            <w:noProof/>
            <w:webHidden/>
          </w:rPr>
          <w:tab/>
        </w:r>
        <w:r>
          <w:rPr>
            <w:noProof/>
            <w:webHidden/>
          </w:rPr>
          <w:fldChar w:fldCharType="begin"/>
        </w:r>
        <w:r>
          <w:rPr>
            <w:noProof/>
            <w:webHidden/>
          </w:rPr>
          <w:instrText xml:space="preserve"> PAGEREF _Toc16768006 \h </w:instrText>
        </w:r>
        <w:r>
          <w:rPr>
            <w:noProof/>
            <w:webHidden/>
          </w:rPr>
        </w:r>
        <w:r>
          <w:rPr>
            <w:noProof/>
            <w:webHidden/>
          </w:rPr>
          <w:fldChar w:fldCharType="separate"/>
        </w:r>
        <w:r>
          <w:rPr>
            <w:noProof/>
            <w:webHidden/>
          </w:rPr>
          <w:t>21</w:t>
        </w:r>
        <w:r>
          <w:rPr>
            <w:noProof/>
            <w:webHidden/>
          </w:rPr>
          <w:fldChar w:fldCharType="end"/>
        </w:r>
      </w:hyperlink>
    </w:p>
    <w:p w14:paraId="211CC101" w14:textId="77777777" w:rsidR="00BC67A0" w:rsidRDefault="00BC67A0">
      <w:pPr>
        <w:pStyle w:val="TOC4"/>
        <w:rPr>
          <w:rFonts w:cstheme="minorBidi"/>
          <w:noProof/>
          <w:color w:val="auto"/>
          <w:sz w:val="22"/>
          <w:szCs w:val="22"/>
          <w:lang w:eastAsia="en-GB"/>
        </w:rPr>
      </w:pPr>
      <w:hyperlink w:anchor="_Toc16768007" w:history="1">
        <w:r w:rsidRPr="0060741F">
          <w:rPr>
            <w:rStyle w:val="Hyperlink"/>
            <w:noProof/>
          </w:rPr>
          <w:t>3.4</w:t>
        </w:r>
        <w:r>
          <w:rPr>
            <w:rFonts w:cstheme="minorBidi"/>
            <w:noProof/>
            <w:color w:val="auto"/>
            <w:sz w:val="22"/>
            <w:szCs w:val="22"/>
            <w:lang w:eastAsia="en-GB"/>
          </w:rPr>
          <w:tab/>
        </w:r>
        <w:r w:rsidRPr="0060741F">
          <w:rPr>
            <w:rStyle w:val="Hyperlink"/>
            <w:noProof/>
          </w:rPr>
          <w:t>The direct impact through the compensation of employees</w:t>
        </w:r>
        <w:r>
          <w:rPr>
            <w:noProof/>
            <w:webHidden/>
          </w:rPr>
          <w:tab/>
        </w:r>
        <w:r>
          <w:rPr>
            <w:noProof/>
            <w:webHidden/>
          </w:rPr>
          <w:fldChar w:fldCharType="begin"/>
        </w:r>
        <w:r>
          <w:rPr>
            <w:noProof/>
            <w:webHidden/>
          </w:rPr>
          <w:instrText xml:space="preserve"> PAGEREF _Toc16768007 \h </w:instrText>
        </w:r>
        <w:r>
          <w:rPr>
            <w:noProof/>
            <w:webHidden/>
          </w:rPr>
        </w:r>
        <w:r>
          <w:rPr>
            <w:noProof/>
            <w:webHidden/>
          </w:rPr>
          <w:fldChar w:fldCharType="separate"/>
        </w:r>
        <w:r>
          <w:rPr>
            <w:noProof/>
            <w:webHidden/>
          </w:rPr>
          <w:t>23</w:t>
        </w:r>
        <w:r>
          <w:rPr>
            <w:noProof/>
            <w:webHidden/>
          </w:rPr>
          <w:fldChar w:fldCharType="end"/>
        </w:r>
      </w:hyperlink>
    </w:p>
    <w:p w14:paraId="6724FD81" w14:textId="77777777" w:rsidR="00BC67A0" w:rsidRDefault="00BC67A0">
      <w:pPr>
        <w:pStyle w:val="TOC4"/>
        <w:rPr>
          <w:rFonts w:cstheme="minorBidi"/>
          <w:noProof/>
          <w:color w:val="auto"/>
          <w:sz w:val="22"/>
          <w:szCs w:val="22"/>
          <w:lang w:eastAsia="en-GB"/>
        </w:rPr>
      </w:pPr>
      <w:hyperlink w:anchor="_Toc16768008" w:history="1">
        <w:r w:rsidRPr="0060741F">
          <w:rPr>
            <w:rStyle w:val="Hyperlink"/>
            <w:noProof/>
          </w:rPr>
          <w:t>3.5</w:t>
        </w:r>
        <w:r>
          <w:rPr>
            <w:rFonts w:cstheme="minorBidi"/>
            <w:noProof/>
            <w:color w:val="auto"/>
            <w:sz w:val="22"/>
            <w:szCs w:val="22"/>
            <w:lang w:eastAsia="en-GB"/>
          </w:rPr>
          <w:tab/>
        </w:r>
        <w:r w:rsidRPr="0060741F">
          <w:rPr>
            <w:rStyle w:val="Hyperlink"/>
            <w:noProof/>
          </w:rPr>
          <w:t>The direct Exchequer contribution in Scotland</w:t>
        </w:r>
        <w:r>
          <w:rPr>
            <w:noProof/>
            <w:webHidden/>
          </w:rPr>
          <w:tab/>
        </w:r>
        <w:r>
          <w:rPr>
            <w:noProof/>
            <w:webHidden/>
          </w:rPr>
          <w:fldChar w:fldCharType="begin"/>
        </w:r>
        <w:r>
          <w:rPr>
            <w:noProof/>
            <w:webHidden/>
          </w:rPr>
          <w:instrText xml:space="preserve"> PAGEREF _Toc16768008 \h </w:instrText>
        </w:r>
        <w:r>
          <w:rPr>
            <w:noProof/>
            <w:webHidden/>
          </w:rPr>
        </w:r>
        <w:r>
          <w:rPr>
            <w:noProof/>
            <w:webHidden/>
          </w:rPr>
          <w:fldChar w:fldCharType="separate"/>
        </w:r>
        <w:r>
          <w:rPr>
            <w:noProof/>
            <w:webHidden/>
          </w:rPr>
          <w:t>24</w:t>
        </w:r>
        <w:r>
          <w:rPr>
            <w:noProof/>
            <w:webHidden/>
          </w:rPr>
          <w:fldChar w:fldCharType="end"/>
        </w:r>
      </w:hyperlink>
    </w:p>
    <w:p w14:paraId="111E3C45" w14:textId="77777777" w:rsidR="00BC67A0" w:rsidRDefault="00BC67A0">
      <w:pPr>
        <w:pStyle w:val="TOC4"/>
        <w:rPr>
          <w:rFonts w:cstheme="minorBidi"/>
          <w:noProof/>
          <w:color w:val="auto"/>
          <w:sz w:val="22"/>
          <w:szCs w:val="22"/>
          <w:lang w:eastAsia="en-GB"/>
        </w:rPr>
      </w:pPr>
      <w:hyperlink w:anchor="_Toc16768009" w:history="1">
        <w:r w:rsidRPr="0060741F">
          <w:rPr>
            <w:rStyle w:val="Hyperlink"/>
            <w:noProof/>
          </w:rPr>
          <w:t>3.6</w:t>
        </w:r>
        <w:r>
          <w:rPr>
            <w:rFonts w:cstheme="minorBidi"/>
            <w:noProof/>
            <w:color w:val="auto"/>
            <w:sz w:val="22"/>
            <w:szCs w:val="22"/>
            <w:lang w:eastAsia="en-GB"/>
          </w:rPr>
          <w:tab/>
        </w:r>
        <w:r w:rsidRPr="0060741F">
          <w:rPr>
            <w:rStyle w:val="Hyperlink"/>
            <w:noProof/>
          </w:rPr>
          <w:t>The direct contribution through exports</w:t>
        </w:r>
        <w:r>
          <w:rPr>
            <w:noProof/>
            <w:webHidden/>
          </w:rPr>
          <w:tab/>
        </w:r>
        <w:r>
          <w:rPr>
            <w:noProof/>
            <w:webHidden/>
          </w:rPr>
          <w:fldChar w:fldCharType="begin"/>
        </w:r>
        <w:r>
          <w:rPr>
            <w:noProof/>
            <w:webHidden/>
          </w:rPr>
          <w:instrText xml:space="preserve"> PAGEREF _Toc16768009 \h </w:instrText>
        </w:r>
        <w:r>
          <w:rPr>
            <w:noProof/>
            <w:webHidden/>
          </w:rPr>
        </w:r>
        <w:r>
          <w:rPr>
            <w:noProof/>
            <w:webHidden/>
          </w:rPr>
          <w:fldChar w:fldCharType="separate"/>
        </w:r>
        <w:r>
          <w:rPr>
            <w:noProof/>
            <w:webHidden/>
          </w:rPr>
          <w:t>25</w:t>
        </w:r>
        <w:r>
          <w:rPr>
            <w:noProof/>
            <w:webHidden/>
          </w:rPr>
          <w:fldChar w:fldCharType="end"/>
        </w:r>
      </w:hyperlink>
    </w:p>
    <w:p w14:paraId="4FFAE6F3" w14:textId="77777777" w:rsidR="00BC67A0" w:rsidRDefault="00BC67A0">
      <w:pPr>
        <w:pStyle w:val="TOC3"/>
        <w:rPr>
          <w:rFonts w:cstheme="minorBidi"/>
          <w:b w:val="0"/>
          <w:noProof/>
          <w:sz w:val="22"/>
          <w:szCs w:val="22"/>
          <w:lang w:eastAsia="en-GB"/>
        </w:rPr>
      </w:pPr>
      <w:hyperlink w:anchor="_Toc16768010" w:history="1">
        <w:r w:rsidRPr="0060741F">
          <w:rPr>
            <w:rStyle w:val="Hyperlink"/>
            <w:noProof/>
          </w:rPr>
          <w:t>4</w:t>
        </w:r>
        <w:r>
          <w:rPr>
            <w:rFonts w:cstheme="minorBidi"/>
            <w:b w:val="0"/>
            <w:noProof/>
            <w:sz w:val="22"/>
            <w:szCs w:val="22"/>
            <w:lang w:eastAsia="en-GB"/>
          </w:rPr>
          <w:tab/>
        </w:r>
        <w:r w:rsidRPr="0060741F">
          <w:rPr>
            <w:rStyle w:val="Hyperlink"/>
            <w:noProof/>
          </w:rPr>
          <w:t>The aggregate economic impact of the Maritime Sector in Scotland</w:t>
        </w:r>
        <w:r>
          <w:rPr>
            <w:noProof/>
            <w:webHidden/>
          </w:rPr>
          <w:tab/>
        </w:r>
        <w:r>
          <w:rPr>
            <w:noProof/>
            <w:webHidden/>
          </w:rPr>
          <w:fldChar w:fldCharType="begin"/>
        </w:r>
        <w:r>
          <w:rPr>
            <w:noProof/>
            <w:webHidden/>
          </w:rPr>
          <w:instrText xml:space="preserve"> PAGEREF _Toc16768010 \h </w:instrText>
        </w:r>
        <w:r>
          <w:rPr>
            <w:noProof/>
            <w:webHidden/>
          </w:rPr>
        </w:r>
        <w:r>
          <w:rPr>
            <w:noProof/>
            <w:webHidden/>
          </w:rPr>
          <w:fldChar w:fldCharType="separate"/>
        </w:r>
        <w:r>
          <w:rPr>
            <w:noProof/>
            <w:webHidden/>
          </w:rPr>
          <w:t>27</w:t>
        </w:r>
        <w:r>
          <w:rPr>
            <w:noProof/>
            <w:webHidden/>
          </w:rPr>
          <w:fldChar w:fldCharType="end"/>
        </w:r>
      </w:hyperlink>
    </w:p>
    <w:p w14:paraId="677AE7D8" w14:textId="77777777" w:rsidR="00BC67A0" w:rsidRDefault="00BC67A0">
      <w:pPr>
        <w:pStyle w:val="TOC4"/>
        <w:rPr>
          <w:rFonts w:cstheme="minorBidi"/>
          <w:noProof/>
          <w:color w:val="auto"/>
          <w:sz w:val="22"/>
          <w:szCs w:val="22"/>
          <w:lang w:eastAsia="en-GB"/>
        </w:rPr>
      </w:pPr>
      <w:hyperlink w:anchor="_Toc16768011" w:history="1">
        <w:r w:rsidRPr="0060741F">
          <w:rPr>
            <w:rStyle w:val="Hyperlink"/>
            <w:noProof/>
          </w:rPr>
          <w:t>4.1</w:t>
        </w:r>
        <w:r>
          <w:rPr>
            <w:rFonts w:cstheme="minorBidi"/>
            <w:noProof/>
            <w:color w:val="auto"/>
            <w:sz w:val="22"/>
            <w:szCs w:val="22"/>
            <w:lang w:eastAsia="en-GB"/>
          </w:rPr>
          <w:tab/>
        </w:r>
        <w:r w:rsidRPr="0060741F">
          <w:rPr>
            <w:rStyle w:val="Hyperlink"/>
            <w:noProof/>
          </w:rPr>
          <w:t>The aggregate economic impacts through turnover</w:t>
        </w:r>
        <w:r>
          <w:rPr>
            <w:noProof/>
            <w:webHidden/>
          </w:rPr>
          <w:tab/>
        </w:r>
        <w:r>
          <w:rPr>
            <w:noProof/>
            <w:webHidden/>
          </w:rPr>
          <w:fldChar w:fldCharType="begin"/>
        </w:r>
        <w:r>
          <w:rPr>
            <w:noProof/>
            <w:webHidden/>
          </w:rPr>
          <w:instrText xml:space="preserve"> PAGEREF _Toc16768011 \h </w:instrText>
        </w:r>
        <w:r>
          <w:rPr>
            <w:noProof/>
            <w:webHidden/>
          </w:rPr>
        </w:r>
        <w:r>
          <w:rPr>
            <w:noProof/>
            <w:webHidden/>
          </w:rPr>
          <w:fldChar w:fldCharType="separate"/>
        </w:r>
        <w:r>
          <w:rPr>
            <w:noProof/>
            <w:webHidden/>
          </w:rPr>
          <w:t>27</w:t>
        </w:r>
        <w:r>
          <w:rPr>
            <w:noProof/>
            <w:webHidden/>
          </w:rPr>
          <w:fldChar w:fldCharType="end"/>
        </w:r>
      </w:hyperlink>
    </w:p>
    <w:p w14:paraId="711D3510" w14:textId="77777777" w:rsidR="00BC67A0" w:rsidRDefault="00BC67A0">
      <w:pPr>
        <w:pStyle w:val="TOC4"/>
        <w:rPr>
          <w:rFonts w:cstheme="minorBidi"/>
          <w:noProof/>
          <w:color w:val="auto"/>
          <w:sz w:val="22"/>
          <w:szCs w:val="22"/>
          <w:lang w:eastAsia="en-GB"/>
        </w:rPr>
      </w:pPr>
      <w:hyperlink w:anchor="_Toc16768012" w:history="1">
        <w:r w:rsidRPr="0060741F">
          <w:rPr>
            <w:rStyle w:val="Hyperlink"/>
            <w:noProof/>
          </w:rPr>
          <w:t>4.2</w:t>
        </w:r>
        <w:r>
          <w:rPr>
            <w:rFonts w:cstheme="minorBidi"/>
            <w:noProof/>
            <w:color w:val="auto"/>
            <w:sz w:val="22"/>
            <w:szCs w:val="22"/>
            <w:lang w:eastAsia="en-GB"/>
          </w:rPr>
          <w:tab/>
        </w:r>
        <w:r w:rsidRPr="0060741F">
          <w:rPr>
            <w:rStyle w:val="Hyperlink"/>
            <w:noProof/>
          </w:rPr>
          <w:t>The aggregate economic impacts through GVA</w:t>
        </w:r>
        <w:r>
          <w:rPr>
            <w:noProof/>
            <w:webHidden/>
          </w:rPr>
          <w:tab/>
        </w:r>
        <w:r>
          <w:rPr>
            <w:noProof/>
            <w:webHidden/>
          </w:rPr>
          <w:fldChar w:fldCharType="begin"/>
        </w:r>
        <w:r>
          <w:rPr>
            <w:noProof/>
            <w:webHidden/>
          </w:rPr>
          <w:instrText xml:space="preserve"> PAGEREF _Toc16768012 \h </w:instrText>
        </w:r>
        <w:r>
          <w:rPr>
            <w:noProof/>
            <w:webHidden/>
          </w:rPr>
        </w:r>
        <w:r>
          <w:rPr>
            <w:noProof/>
            <w:webHidden/>
          </w:rPr>
          <w:fldChar w:fldCharType="separate"/>
        </w:r>
        <w:r>
          <w:rPr>
            <w:noProof/>
            <w:webHidden/>
          </w:rPr>
          <w:t>28</w:t>
        </w:r>
        <w:r>
          <w:rPr>
            <w:noProof/>
            <w:webHidden/>
          </w:rPr>
          <w:fldChar w:fldCharType="end"/>
        </w:r>
      </w:hyperlink>
    </w:p>
    <w:p w14:paraId="0889A0B9" w14:textId="77777777" w:rsidR="00BC67A0" w:rsidRDefault="00BC67A0">
      <w:pPr>
        <w:pStyle w:val="TOC4"/>
        <w:rPr>
          <w:rFonts w:cstheme="minorBidi"/>
          <w:noProof/>
          <w:color w:val="auto"/>
          <w:sz w:val="22"/>
          <w:szCs w:val="22"/>
          <w:lang w:eastAsia="en-GB"/>
        </w:rPr>
      </w:pPr>
      <w:hyperlink w:anchor="_Toc16768013" w:history="1">
        <w:r w:rsidRPr="0060741F">
          <w:rPr>
            <w:rStyle w:val="Hyperlink"/>
            <w:noProof/>
          </w:rPr>
          <w:t>4.3</w:t>
        </w:r>
        <w:r>
          <w:rPr>
            <w:rFonts w:cstheme="minorBidi"/>
            <w:noProof/>
            <w:color w:val="auto"/>
            <w:sz w:val="22"/>
            <w:szCs w:val="22"/>
            <w:lang w:eastAsia="en-GB"/>
          </w:rPr>
          <w:tab/>
        </w:r>
        <w:r w:rsidRPr="0060741F">
          <w:rPr>
            <w:rStyle w:val="Hyperlink"/>
            <w:noProof/>
          </w:rPr>
          <w:t>The aggregate economic impacts through employment</w:t>
        </w:r>
        <w:r>
          <w:rPr>
            <w:noProof/>
            <w:webHidden/>
          </w:rPr>
          <w:tab/>
        </w:r>
        <w:r>
          <w:rPr>
            <w:noProof/>
            <w:webHidden/>
          </w:rPr>
          <w:fldChar w:fldCharType="begin"/>
        </w:r>
        <w:r>
          <w:rPr>
            <w:noProof/>
            <w:webHidden/>
          </w:rPr>
          <w:instrText xml:space="preserve"> PAGEREF _Toc16768013 \h </w:instrText>
        </w:r>
        <w:r>
          <w:rPr>
            <w:noProof/>
            <w:webHidden/>
          </w:rPr>
        </w:r>
        <w:r>
          <w:rPr>
            <w:noProof/>
            <w:webHidden/>
          </w:rPr>
          <w:fldChar w:fldCharType="separate"/>
        </w:r>
        <w:r>
          <w:rPr>
            <w:noProof/>
            <w:webHidden/>
          </w:rPr>
          <w:t>30</w:t>
        </w:r>
        <w:r>
          <w:rPr>
            <w:noProof/>
            <w:webHidden/>
          </w:rPr>
          <w:fldChar w:fldCharType="end"/>
        </w:r>
      </w:hyperlink>
    </w:p>
    <w:p w14:paraId="22E7A111" w14:textId="77777777" w:rsidR="00BC67A0" w:rsidRDefault="00BC67A0">
      <w:pPr>
        <w:pStyle w:val="TOC4"/>
        <w:rPr>
          <w:rFonts w:cstheme="minorBidi"/>
          <w:noProof/>
          <w:color w:val="auto"/>
          <w:sz w:val="22"/>
          <w:szCs w:val="22"/>
          <w:lang w:eastAsia="en-GB"/>
        </w:rPr>
      </w:pPr>
      <w:hyperlink w:anchor="_Toc16768014" w:history="1">
        <w:r w:rsidRPr="0060741F">
          <w:rPr>
            <w:rStyle w:val="Hyperlink"/>
            <w:noProof/>
          </w:rPr>
          <w:t>4.4</w:t>
        </w:r>
        <w:r>
          <w:rPr>
            <w:rFonts w:cstheme="minorBidi"/>
            <w:noProof/>
            <w:color w:val="auto"/>
            <w:sz w:val="22"/>
            <w:szCs w:val="22"/>
            <w:lang w:eastAsia="en-GB"/>
          </w:rPr>
          <w:tab/>
        </w:r>
        <w:r w:rsidRPr="0060741F">
          <w:rPr>
            <w:rStyle w:val="Hyperlink"/>
            <w:noProof/>
          </w:rPr>
          <w:t>The aggregate economic impacts through the compensation of employees</w:t>
        </w:r>
        <w:r>
          <w:rPr>
            <w:noProof/>
            <w:webHidden/>
          </w:rPr>
          <w:tab/>
        </w:r>
        <w:r>
          <w:rPr>
            <w:noProof/>
            <w:webHidden/>
          </w:rPr>
          <w:fldChar w:fldCharType="begin"/>
        </w:r>
        <w:r>
          <w:rPr>
            <w:noProof/>
            <w:webHidden/>
          </w:rPr>
          <w:instrText xml:space="preserve"> PAGEREF _Toc16768014 \h </w:instrText>
        </w:r>
        <w:r>
          <w:rPr>
            <w:noProof/>
            <w:webHidden/>
          </w:rPr>
        </w:r>
        <w:r>
          <w:rPr>
            <w:noProof/>
            <w:webHidden/>
          </w:rPr>
          <w:fldChar w:fldCharType="separate"/>
        </w:r>
        <w:r>
          <w:rPr>
            <w:noProof/>
            <w:webHidden/>
          </w:rPr>
          <w:t>31</w:t>
        </w:r>
        <w:r>
          <w:rPr>
            <w:noProof/>
            <w:webHidden/>
          </w:rPr>
          <w:fldChar w:fldCharType="end"/>
        </w:r>
      </w:hyperlink>
    </w:p>
    <w:p w14:paraId="2B1AC412" w14:textId="77777777" w:rsidR="00BC67A0" w:rsidRDefault="00BC67A0">
      <w:pPr>
        <w:pStyle w:val="TOC3"/>
        <w:rPr>
          <w:rFonts w:cstheme="minorBidi"/>
          <w:b w:val="0"/>
          <w:noProof/>
          <w:sz w:val="22"/>
          <w:szCs w:val="22"/>
          <w:lang w:eastAsia="en-GB"/>
        </w:rPr>
      </w:pPr>
      <w:hyperlink w:anchor="_Toc16768015" w:history="1">
        <w:r w:rsidRPr="0060741F">
          <w:rPr>
            <w:rStyle w:val="Hyperlink"/>
            <w:noProof/>
          </w:rPr>
          <w:t>5</w:t>
        </w:r>
        <w:r>
          <w:rPr>
            <w:rFonts w:cstheme="minorBidi"/>
            <w:b w:val="0"/>
            <w:noProof/>
            <w:sz w:val="22"/>
            <w:szCs w:val="22"/>
            <w:lang w:eastAsia="en-GB"/>
          </w:rPr>
          <w:tab/>
        </w:r>
        <w:r w:rsidRPr="0060741F">
          <w:rPr>
            <w:rStyle w:val="Hyperlink"/>
            <w:noProof/>
          </w:rPr>
          <w:t>Maritime Sector in Scotland: A Forward Look</w:t>
        </w:r>
        <w:r>
          <w:rPr>
            <w:noProof/>
            <w:webHidden/>
          </w:rPr>
          <w:tab/>
        </w:r>
        <w:r>
          <w:rPr>
            <w:noProof/>
            <w:webHidden/>
          </w:rPr>
          <w:fldChar w:fldCharType="begin"/>
        </w:r>
        <w:r>
          <w:rPr>
            <w:noProof/>
            <w:webHidden/>
          </w:rPr>
          <w:instrText xml:space="preserve"> PAGEREF _Toc16768015 \h </w:instrText>
        </w:r>
        <w:r>
          <w:rPr>
            <w:noProof/>
            <w:webHidden/>
          </w:rPr>
        </w:r>
        <w:r>
          <w:rPr>
            <w:noProof/>
            <w:webHidden/>
          </w:rPr>
          <w:fldChar w:fldCharType="separate"/>
        </w:r>
        <w:r>
          <w:rPr>
            <w:noProof/>
            <w:webHidden/>
          </w:rPr>
          <w:t>33</w:t>
        </w:r>
        <w:r>
          <w:rPr>
            <w:noProof/>
            <w:webHidden/>
          </w:rPr>
          <w:fldChar w:fldCharType="end"/>
        </w:r>
      </w:hyperlink>
    </w:p>
    <w:p w14:paraId="3CE0B789" w14:textId="77777777" w:rsidR="00BC67A0" w:rsidRDefault="00BC67A0">
      <w:pPr>
        <w:pStyle w:val="TOC3"/>
        <w:rPr>
          <w:rFonts w:cstheme="minorBidi"/>
          <w:b w:val="0"/>
          <w:noProof/>
          <w:sz w:val="22"/>
          <w:szCs w:val="22"/>
          <w:lang w:eastAsia="en-GB"/>
        </w:rPr>
      </w:pPr>
      <w:hyperlink w:anchor="_Toc16768016" w:history="1">
        <w:r w:rsidRPr="0060741F">
          <w:rPr>
            <w:rStyle w:val="Hyperlink"/>
            <w:noProof/>
          </w:rPr>
          <w:t>6</w:t>
        </w:r>
        <w:r>
          <w:rPr>
            <w:rFonts w:cstheme="minorBidi"/>
            <w:b w:val="0"/>
            <w:noProof/>
            <w:sz w:val="22"/>
            <w:szCs w:val="22"/>
            <w:lang w:eastAsia="en-GB"/>
          </w:rPr>
          <w:tab/>
        </w:r>
        <w:r w:rsidRPr="0060741F">
          <w:rPr>
            <w:rStyle w:val="Hyperlink"/>
            <w:iCs/>
            <w:noProof/>
          </w:rPr>
          <w:t xml:space="preserve">Case Study: </w:t>
        </w:r>
        <w:r w:rsidRPr="0060741F">
          <w:rPr>
            <w:rStyle w:val="Hyperlink"/>
            <w:noProof/>
          </w:rPr>
          <w:t>Anglo Eastern and the Scottish Maritime Cluster</w:t>
        </w:r>
        <w:r>
          <w:rPr>
            <w:noProof/>
            <w:webHidden/>
          </w:rPr>
          <w:tab/>
        </w:r>
        <w:r>
          <w:rPr>
            <w:noProof/>
            <w:webHidden/>
          </w:rPr>
          <w:fldChar w:fldCharType="begin"/>
        </w:r>
        <w:r>
          <w:rPr>
            <w:noProof/>
            <w:webHidden/>
          </w:rPr>
          <w:instrText xml:space="preserve"> PAGEREF _Toc16768016 \h </w:instrText>
        </w:r>
        <w:r>
          <w:rPr>
            <w:noProof/>
            <w:webHidden/>
          </w:rPr>
        </w:r>
        <w:r>
          <w:rPr>
            <w:noProof/>
            <w:webHidden/>
          </w:rPr>
          <w:fldChar w:fldCharType="separate"/>
        </w:r>
        <w:r>
          <w:rPr>
            <w:noProof/>
            <w:webHidden/>
          </w:rPr>
          <w:t>37</w:t>
        </w:r>
        <w:r>
          <w:rPr>
            <w:noProof/>
            <w:webHidden/>
          </w:rPr>
          <w:fldChar w:fldCharType="end"/>
        </w:r>
      </w:hyperlink>
    </w:p>
    <w:p w14:paraId="13EDEA2C" w14:textId="77777777" w:rsidR="00BC67A0" w:rsidRDefault="00BC67A0">
      <w:pPr>
        <w:pStyle w:val="TOC3"/>
        <w:rPr>
          <w:rFonts w:cstheme="minorBidi"/>
          <w:b w:val="0"/>
          <w:noProof/>
          <w:sz w:val="22"/>
          <w:szCs w:val="22"/>
          <w:lang w:eastAsia="en-GB"/>
        </w:rPr>
      </w:pPr>
      <w:hyperlink w:anchor="_Toc16768017" w:history="1">
        <w:r w:rsidRPr="0060741F">
          <w:rPr>
            <w:rStyle w:val="Hyperlink"/>
            <w:noProof/>
          </w:rPr>
          <w:t>7</w:t>
        </w:r>
        <w:r>
          <w:rPr>
            <w:rFonts w:cstheme="minorBidi"/>
            <w:b w:val="0"/>
            <w:noProof/>
            <w:sz w:val="22"/>
            <w:szCs w:val="22"/>
            <w:lang w:eastAsia="en-GB"/>
          </w:rPr>
          <w:tab/>
        </w:r>
        <w:r w:rsidRPr="0060741F">
          <w:rPr>
            <w:rStyle w:val="Hyperlink"/>
            <w:noProof/>
          </w:rPr>
          <w:t>Annex: List of Scottish ports</w:t>
        </w:r>
        <w:r>
          <w:rPr>
            <w:noProof/>
            <w:webHidden/>
          </w:rPr>
          <w:tab/>
        </w:r>
        <w:r>
          <w:rPr>
            <w:noProof/>
            <w:webHidden/>
          </w:rPr>
          <w:fldChar w:fldCharType="begin"/>
        </w:r>
        <w:r>
          <w:rPr>
            <w:noProof/>
            <w:webHidden/>
          </w:rPr>
          <w:instrText xml:space="preserve"> PAGEREF _Toc16768017 \h </w:instrText>
        </w:r>
        <w:r>
          <w:rPr>
            <w:noProof/>
            <w:webHidden/>
          </w:rPr>
        </w:r>
        <w:r>
          <w:rPr>
            <w:noProof/>
            <w:webHidden/>
          </w:rPr>
          <w:fldChar w:fldCharType="separate"/>
        </w:r>
        <w:r>
          <w:rPr>
            <w:noProof/>
            <w:webHidden/>
          </w:rPr>
          <w:t>39</w:t>
        </w:r>
        <w:r>
          <w:rPr>
            <w:noProof/>
            <w:webHidden/>
          </w:rPr>
          <w:fldChar w:fldCharType="end"/>
        </w:r>
      </w:hyperlink>
    </w:p>
    <w:p w14:paraId="099742C4" w14:textId="77777777" w:rsidR="00773CE3" w:rsidRDefault="00F6094A" w:rsidP="00613918">
      <w:r>
        <w:fldChar w:fldCharType="end"/>
      </w:r>
    </w:p>
    <w:p w14:paraId="2FB6A33B" w14:textId="78B09BF0" w:rsidR="003874F3" w:rsidRDefault="003874F3" w:rsidP="00BC67A0">
      <w:pPr>
        <w:pStyle w:val="Sectiontitle"/>
      </w:pPr>
      <w:bookmarkStart w:id="0" w:name="_Toc485302000"/>
      <w:bookmarkStart w:id="1" w:name="_Toc16767993"/>
      <w:r>
        <w:lastRenderedPageBreak/>
        <w:t>Executive Summary</w:t>
      </w:r>
      <w:bookmarkEnd w:id="0"/>
      <w:bookmarkEnd w:id="1"/>
    </w:p>
    <w:p w14:paraId="01DE54BB" w14:textId="0CCD0344" w:rsidR="0037414A" w:rsidRDefault="003874F3" w:rsidP="003A57C7">
      <w:pPr>
        <w:pStyle w:val="ListBullet"/>
        <w:numPr>
          <w:ilvl w:val="0"/>
          <w:numId w:val="20"/>
        </w:numPr>
        <w:spacing w:after="120"/>
        <w:ind w:left="360"/>
        <w:rPr>
          <w:rFonts w:ascii="Calibri" w:eastAsia="Microsoft JhengHei" w:hAnsi="Calibri"/>
        </w:rPr>
      </w:pPr>
      <w:r w:rsidRPr="00334A14">
        <w:rPr>
          <w:rFonts w:ascii="Calibri" w:eastAsia="Microsoft JhengHei" w:hAnsi="Calibri"/>
        </w:rPr>
        <w:t xml:space="preserve">The Centre for Economics and Business Research (Cebr) has been commissioned by Maritime UK to quantify the </w:t>
      </w:r>
      <w:r w:rsidR="00CB4618">
        <w:rPr>
          <w:rFonts w:ascii="Calibri" w:eastAsia="Microsoft JhengHei" w:hAnsi="Calibri"/>
        </w:rPr>
        <w:t xml:space="preserve">economic </w:t>
      </w:r>
      <w:r w:rsidRPr="00334A14">
        <w:rPr>
          <w:rFonts w:ascii="Calibri" w:eastAsia="Microsoft JhengHei" w:hAnsi="Calibri"/>
        </w:rPr>
        <w:t xml:space="preserve">contribution of the Maritime </w:t>
      </w:r>
      <w:r w:rsidR="00271D83">
        <w:rPr>
          <w:rFonts w:ascii="Calibri" w:eastAsia="Microsoft JhengHei" w:hAnsi="Calibri"/>
        </w:rPr>
        <w:t>S</w:t>
      </w:r>
      <w:r w:rsidR="00E37563">
        <w:rPr>
          <w:rFonts w:ascii="Calibri" w:eastAsia="Microsoft JhengHei" w:hAnsi="Calibri"/>
        </w:rPr>
        <w:t>ector</w:t>
      </w:r>
      <w:r w:rsidR="00E37563" w:rsidRPr="00334A14">
        <w:rPr>
          <w:rFonts w:ascii="Calibri" w:eastAsia="Microsoft JhengHei" w:hAnsi="Calibri"/>
        </w:rPr>
        <w:t xml:space="preserve"> </w:t>
      </w:r>
      <w:r w:rsidR="00F0216E">
        <w:rPr>
          <w:rFonts w:ascii="Calibri" w:eastAsia="Microsoft JhengHei" w:hAnsi="Calibri"/>
        </w:rPr>
        <w:t>in Scotland</w:t>
      </w:r>
      <w:r w:rsidRPr="00334A14">
        <w:rPr>
          <w:rFonts w:ascii="Calibri" w:eastAsia="Microsoft JhengHei" w:hAnsi="Calibri"/>
        </w:rPr>
        <w:t xml:space="preserve">. </w:t>
      </w:r>
      <w:r w:rsidRPr="00CB4618">
        <w:rPr>
          <w:rFonts w:ascii="Calibri" w:eastAsia="Microsoft JhengHei" w:hAnsi="Calibri"/>
        </w:rPr>
        <w:t xml:space="preserve">This report forms one of </w:t>
      </w:r>
      <w:r w:rsidR="007F32CC">
        <w:rPr>
          <w:rFonts w:ascii="Calibri" w:eastAsia="Microsoft JhengHei" w:hAnsi="Calibri"/>
        </w:rPr>
        <w:t xml:space="preserve">ten </w:t>
      </w:r>
      <w:r w:rsidRPr="00CB4618">
        <w:rPr>
          <w:rFonts w:ascii="Calibri" w:eastAsia="Microsoft JhengHei" w:hAnsi="Calibri"/>
        </w:rPr>
        <w:t xml:space="preserve">reports which </w:t>
      </w:r>
      <w:r w:rsidR="002C2495">
        <w:rPr>
          <w:rFonts w:ascii="Calibri" w:eastAsia="Microsoft JhengHei" w:hAnsi="Calibri"/>
        </w:rPr>
        <w:t xml:space="preserve">also </w:t>
      </w:r>
      <w:r w:rsidRPr="00CB4618">
        <w:rPr>
          <w:rFonts w:ascii="Calibri" w:eastAsia="Microsoft JhengHei" w:hAnsi="Calibri"/>
        </w:rPr>
        <w:t xml:space="preserve">assess the contribution of the Maritime </w:t>
      </w:r>
      <w:r w:rsidR="007F32CC">
        <w:rPr>
          <w:rFonts w:ascii="Calibri" w:eastAsia="Microsoft JhengHei" w:hAnsi="Calibri"/>
        </w:rPr>
        <w:t>S</w:t>
      </w:r>
      <w:r w:rsidR="00E37563" w:rsidRPr="00CB4618">
        <w:rPr>
          <w:rFonts w:ascii="Calibri" w:eastAsia="Microsoft JhengHei" w:hAnsi="Calibri"/>
        </w:rPr>
        <w:t>ector</w:t>
      </w:r>
      <w:r w:rsidRPr="00CB4618">
        <w:rPr>
          <w:rFonts w:ascii="Calibri" w:eastAsia="Microsoft JhengHei" w:hAnsi="Calibri"/>
        </w:rPr>
        <w:t>, as a whole, at industry</w:t>
      </w:r>
      <w:r w:rsidR="00E37563" w:rsidRPr="00CB4618">
        <w:rPr>
          <w:rFonts w:ascii="Calibri" w:eastAsia="Microsoft JhengHei" w:hAnsi="Calibri"/>
        </w:rPr>
        <w:t>-level</w:t>
      </w:r>
      <w:r w:rsidRPr="00CB4618">
        <w:rPr>
          <w:rFonts w:ascii="Calibri" w:eastAsia="Microsoft JhengHei" w:hAnsi="Calibri"/>
        </w:rPr>
        <w:t xml:space="preserve"> and i</w:t>
      </w:r>
      <w:r w:rsidR="00070F23">
        <w:rPr>
          <w:rFonts w:ascii="Calibri" w:eastAsia="Microsoft JhengHei" w:hAnsi="Calibri"/>
        </w:rPr>
        <w:t xml:space="preserve">n </w:t>
      </w:r>
      <w:r w:rsidR="007F32CC">
        <w:rPr>
          <w:rFonts w:ascii="Calibri" w:eastAsia="Microsoft JhengHei" w:hAnsi="Calibri"/>
        </w:rPr>
        <w:t>Wales, Liverpool City Region and</w:t>
      </w:r>
      <w:r w:rsidR="00070F23">
        <w:rPr>
          <w:rFonts w:ascii="Calibri" w:eastAsia="Microsoft JhengHei" w:hAnsi="Calibri"/>
        </w:rPr>
        <w:t xml:space="preserve"> Solent Local Enterpris</w:t>
      </w:r>
      <w:bookmarkStart w:id="2" w:name="_GoBack"/>
      <w:bookmarkEnd w:id="2"/>
      <w:r w:rsidR="00070F23">
        <w:rPr>
          <w:rFonts w:ascii="Calibri" w:eastAsia="Microsoft JhengHei" w:hAnsi="Calibri"/>
        </w:rPr>
        <w:t>e Partnership (LEP)</w:t>
      </w:r>
      <w:r w:rsidR="001A14E7">
        <w:rPr>
          <w:rFonts w:ascii="Calibri" w:eastAsia="Microsoft JhengHei" w:hAnsi="Calibri"/>
        </w:rPr>
        <w:t>.</w:t>
      </w:r>
      <w:r w:rsidR="003A57C7">
        <w:rPr>
          <w:rFonts w:ascii="Calibri" w:eastAsia="Microsoft JhengHei" w:hAnsi="Calibri"/>
        </w:rPr>
        <w:t xml:space="preserve"> </w:t>
      </w:r>
    </w:p>
    <w:p w14:paraId="736CB921" w14:textId="0988C903" w:rsidR="003A57C7" w:rsidRPr="003A57C7" w:rsidRDefault="007F32CC" w:rsidP="003A57C7">
      <w:pPr>
        <w:pStyle w:val="ListBullet"/>
        <w:numPr>
          <w:ilvl w:val="0"/>
          <w:numId w:val="20"/>
        </w:numPr>
        <w:spacing w:after="120"/>
        <w:ind w:left="360"/>
        <w:rPr>
          <w:rFonts w:ascii="Calibri" w:eastAsia="Microsoft JhengHei" w:hAnsi="Calibri"/>
        </w:rPr>
      </w:pPr>
      <w:r>
        <w:rPr>
          <w:b/>
        </w:rPr>
        <w:t>In this context, the Maritime S</w:t>
      </w:r>
      <w:r w:rsidR="003A57C7" w:rsidRPr="003A57C7">
        <w:rPr>
          <w:b/>
        </w:rPr>
        <w:t>ector has bee</w:t>
      </w:r>
      <w:r>
        <w:rPr>
          <w:b/>
        </w:rPr>
        <w:t>n defined as consisting of the shipping, p</w:t>
      </w:r>
      <w:r w:rsidR="003A57C7" w:rsidRPr="003A57C7">
        <w:rPr>
          <w:b/>
        </w:rPr>
        <w:t>orts,</w:t>
      </w:r>
      <w:r>
        <w:rPr>
          <w:b/>
        </w:rPr>
        <w:t xml:space="preserve"> leisure m</w:t>
      </w:r>
      <w:r w:rsidR="003A57C7" w:rsidRPr="003A57C7">
        <w:rPr>
          <w:b/>
        </w:rPr>
        <w:t>arine</w:t>
      </w:r>
      <w:r>
        <w:rPr>
          <w:b/>
        </w:rPr>
        <w:t xml:space="preserve">, marine engineering </w:t>
      </w:r>
      <w:r w:rsidR="00271D83">
        <w:rPr>
          <w:b/>
        </w:rPr>
        <w:t xml:space="preserve">and scientific </w:t>
      </w:r>
      <w:r w:rsidR="003A57C7" w:rsidRPr="003A57C7">
        <w:rPr>
          <w:b/>
        </w:rPr>
        <w:t>and Maritime Business Services industries.</w:t>
      </w:r>
      <w:r w:rsidR="003A57C7">
        <w:t xml:space="preserve"> Each of these entities comprises a multitude of different activities, data for which has been aligned against the national accounts framework</w:t>
      </w:r>
      <w:r w:rsidR="00BC67A0">
        <w:t>.</w:t>
      </w:r>
    </w:p>
    <w:p w14:paraId="52B36E10" w14:textId="0AD59E0F" w:rsidR="00F239D1" w:rsidRPr="00F239D1" w:rsidRDefault="001A14E7" w:rsidP="003A57C7">
      <w:pPr>
        <w:pStyle w:val="ListBullet"/>
        <w:numPr>
          <w:ilvl w:val="0"/>
          <w:numId w:val="20"/>
        </w:numPr>
        <w:spacing w:after="120"/>
        <w:ind w:left="360"/>
        <w:rPr>
          <w:rFonts w:ascii="Calibri" w:eastAsia="Microsoft JhengHei" w:hAnsi="Calibri"/>
        </w:rPr>
      </w:pPr>
      <w:r>
        <w:t xml:space="preserve">The Maritime </w:t>
      </w:r>
      <w:r w:rsidR="007F32CC">
        <w:t>S</w:t>
      </w:r>
      <w:r w:rsidR="001A14D3">
        <w:t>ector in Scotland</w:t>
      </w:r>
      <w:r>
        <w:t xml:space="preserve"> makes a substantive macroeconomic contribution to the </w:t>
      </w:r>
      <w:r w:rsidR="0037414A">
        <w:t xml:space="preserve">Scottish and UK economies </w:t>
      </w:r>
      <w:r>
        <w:t xml:space="preserve">through business turnover, Gross Value Added (GVA), employment and through the compensation of employees. </w:t>
      </w:r>
      <w:r w:rsidRPr="00B65044">
        <w:rPr>
          <w:b/>
        </w:rPr>
        <w:t xml:space="preserve">It is estimated </w:t>
      </w:r>
      <w:r>
        <w:rPr>
          <w:b/>
        </w:rPr>
        <w:t xml:space="preserve">that the </w:t>
      </w:r>
      <w:r w:rsidR="00442609">
        <w:rPr>
          <w:b/>
        </w:rPr>
        <w:t xml:space="preserve">Maritime </w:t>
      </w:r>
      <w:r w:rsidR="007F32CC">
        <w:rPr>
          <w:b/>
        </w:rPr>
        <w:t>S</w:t>
      </w:r>
      <w:r w:rsidR="001A14D3">
        <w:rPr>
          <w:b/>
        </w:rPr>
        <w:t xml:space="preserve">ector </w:t>
      </w:r>
      <w:r>
        <w:rPr>
          <w:b/>
        </w:rPr>
        <w:t>directly supported just under £</w:t>
      </w:r>
      <w:r w:rsidR="00DA1C24">
        <w:rPr>
          <w:b/>
        </w:rPr>
        <w:t>9</w:t>
      </w:r>
      <w:r>
        <w:rPr>
          <w:b/>
        </w:rPr>
        <w:t>.</w:t>
      </w:r>
      <w:r w:rsidR="005F7143">
        <w:rPr>
          <w:b/>
        </w:rPr>
        <w:t>9</w:t>
      </w:r>
      <w:r>
        <w:rPr>
          <w:b/>
        </w:rPr>
        <w:t xml:space="preserve"> billion in </w:t>
      </w:r>
      <w:r w:rsidR="00AD0985">
        <w:rPr>
          <w:b/>
        </w:rPr>
        <w:t>turnover</w:t>
      </w:r>
      <w:r>
        <w:rPr>
          <w:b/>
        </w:rPr>
        <w:t>, £</w:t>
      </w:r>
      <w:r w:rsidR="005F7143">
        <w:rPr>
          <w:b/>
        </w:rPr>
        <w:t>3.7</w:t>
      </w:r>
      <w:r w:rsidR="00442609">
        <w:rPr>
          <w:b/>
        </w:rPr>
        <w:t xml:space="preserve"> </w:t>
      </w:r>
      <w:r>
        <w:rPr>
          <w:b/>
        </w:rPr>
        <w:t>billion in GVA and</w:t>
      </w:r>
      <w:r w:rsidR="00DA1C24">
        <w:rPr>
          <w:b/>
        </w:rPr>
        <w:t xml:space="preserve"> </w:t>
      </w:r>
      <w:r w:rsidR="005F7143">
        <w:rPr>
          <w:b/>
        </w:rPr>
        <w:t>41,0</w:t>
      </w:r>
      <w:r w:rsidR="00442609">
        <w:rPr>
          <w:b/>
        </w:rPr>
        <w:t>00</w:t>
      </w:r>
      <w:r w:rsidR="00DA1C24">
        <w:rPr>
          <w:b/>
        </w:rPr>
        <w:t xml:space="preserve"> </w:t>
      </w:r>
      <w:r>
        <w:rPr>
          <w:b/>
        </w:rPr>
        <w:t xml:space="preserve">jobs in </w:t>
      </w:r>
      <w:r w:rsidR="001A14D3">
        <w:rPr>
          <w:b/>
        </w:rPr>
        <w:t xml:space="preserve">Scotland in </w:t>
      </w:r>
      <w:r w:rsidR="005F7143">
        <w:rPr>
          <w:b/>
        </w:rPr>
        <w:t>2017</w:t>
      </w:r>
      <w:r w:rsidRPr="00B65044">
        <w:rPr>
          <w:b/>
        </w:rPr>
        <w:t>.</w:t>
      </w:r>
      <w:r>
        <w:t xml:space="preserve"> This respectively equates to </w:t>
      </w:r>
      <w:r w:rsidR="00DA1C24">
        <w:t xml:space="preserve">approximately </w:t>
      </w:r>
      <w:r w:rsidR="00442609">
        <w:t>2</w:t>
      </w:r>
      <w:r w:rsidR="005F7143">
        <w:t>1</w:t>
      </w:r>
      <w:r>
        <w:t xml:space="preserve">% of </w:t>
      </w:r>
      <w:r w:rsidR="00AD0985">
        <w:t>turnover</w:t>
      </w:r>
      <w:r>
        <w:t xml:space="preserve">, </w:t>
      </w:r>
      <w:r w:rsidR="00442609">
        <w:t>2</w:t>
      </w:r>
      <w:r w:rsidR="005F7143">
        <w:t>7</w:t>
      </w:r>
      <w:r>
        <w:t xml:space="preserve">% of GVA and </w:t>
      </w:r>
      <w:r w:rsidR="005F7143">
        <w:t>19</w:t>
      </w:r>
      <w:r>
        <w:t xml:space="preserve">% of employment directly supported by the </w:t>
      </w:r>
      <w:r w:rsidR="001A14D3">
        <w:t xml:space="preserve">UK-wide </w:t>
      </w:r>
      <w:r w:rsidR="00271D83">
        <w:t>Maritime S</w:t>
      </w:r>
      <w:r w:rsidR="005F7143">
        <w:t>ector in 2017</w:t>
      </w:r>
      <w:r>
        <w:t>.</w:t>
      </w:r>
      <w:r w:rsidR="002B7C5D">
        <w:t xml:space="preserve"> </w:t>
      </w:r>
      <w:r w:rsidR="00F239D1">
        <w:t xml:space="preserve"> </w:t>
      </w:r>
    </w:p>
    <w:p w14:paraId="24A1A35A" w14:textId="5D75FE66" w:rsidR="001A14E7" w:rsidRPr="00DA1C24" w:rsidRDefault="00DA1C24" w:rsidP="00DA1C24">
      <w:pPr>
        <w:pStyle w:val="ListBullet"/>
        <w:numPr>
          <w:ilvl w:val="0"/>
          <w:numId w:val="20"/>
        </w:numPr>
        <w:spacing w:after="120"/>
        <w:ind w:left="360"/>
        <w:rPr>
          <w:rFonts w:ascii="Calibri" w:eastAsia="Microsoft JhengHei" w:hAnsi="Calibri"/>
        </w:rPr>
      </w:pPr>
      <w:r>
        <w:rPr>
          <w:rFonts w:ascii="Calibri" w:eastAsia="Microsoft JhengHei" w:hAnsi="Calibri"/>
        </w:rPr>
        <w:t xml:space="preserve">With a large proportion of employment in the Marine Oil and Gas activities concentrated in Scotland, </w:t>
      </w:r>
      <w:r w:rsidRPr="00DC597B">
        <w:rPr>
          <w:rFonts w:ascii="Calibri" w:eastAsia="Microsoft JhengHei" w:hAnsi="Calibri"/>
          <w:b/>
        </w:rPr>
        <w:t>the</w:t>
      </w:r>
      <w:r>
        <w:rPr>
          <w:rFonts w:ascii="Calibri" w:eastAsia="Microsoft JhengHei" w:hAnsi="Calibri"/>
        </w:rPr>
        <w:t xml:space="preserve"> </w:t>
      </w:r>
      <w:r w:rsidR="00271D83">
        <w:rPr>
          <w:b/>
        </w:rPr>
        <w:t>m</w:t>
      </w:r>
      <w:r w:rsidRPr="00DA1C24">
        <w:rPr>
          <w:b/>
        </w:rPr>
        <w:t xml:space="preserve">arine </w:t>
      </w:r>
      <w:r w:rsidR="00271D83">
        <w:rPr>
          <w:b/>
        </w:rPr>
        <w:t xml:space="preserve">engineering and scientific </w:t>
      </w:r>
      <w:r w:rsidRPr="00DA1C24">
        <w:rPr>
          <w:b/>
        </w:rPr>
        <w:t xml:space="preserve">industry </w:t>
      </w:r>
      <w:r w:rsidR="001A14E7" w:rsidRPr="00DA1C24">
        <w:rPr>
          <w:b/>
        </w:rPr>
        <w:t xml:space="preserve">is the largest constituent </w:t>
      </w:r>
      <w:r w:rsidRPr="00DA1C24">
        <w:rPr>
          <w:b/>
        </w:rPr>
        <w:t xml:space="preserve">industry </w:t>
      </w:r>
      <w:r w:rsidR="001A14E7" w:rsidRPr="00DA1C24">
        <w:rPr>
          <w:b/>
        </w:rPr>
        <w:t xml:space="preserve">within the </w:t>
      </w:r>
      <w:r w:rsidR="00271D83">
        <w:rPr>
          <w:b/>
        </w:rPr>
        <w:t>Scottish Maritime S</w:t>
      </w:r>
      <w:r w:rsidRPr="00DA1C24">
        <w:rPr>
          <w:b/>
        </w:rPr>
        <w:t xml:space="preserve">ector </w:t>
      </w:r>
      <w:r w:rsidR="001A14E7" w:rsidRPr="00DA1C24">
        <w:rPr>
          <w:b/>
        </w:rPr>
        <w:t>in terms of economic activity</w:t>
      </w:r>
      <w:r w:rsidR="001A14E7">
        <w:t xml:space="preserve">, </w:t>
      </w:r>
      <w:r w:rsidR="001A14E7" w:rsidRPr="00DA1C24">
        <w:rPr>
          <w:b/>
        </w:rPr>
        <w:t>directly contributing £</w:t>
      </w:r>
      <w:r w:rsidR="00271D83">
        <w:rPr>
          <w:b/>
        </w:rPr>
        <w:t>2.5</w:t>
      </w:r>
      <w:r w:rsidR="000E3CEB">
        <w:rPr>
          <w:b/>
        </w:rPr>
        <w:t xml:space="preserve"> </w:t>
      </w:r>
      <w:r w:rsidR="001A14E7" w:rsidRPr="00DA1C24">
        <w:rPr>
          <w:b/>
        </w:rPr>
        <w:t xml:space="preserve">billion in GVA and directly supporting around </w:t>
      </w:r>
      <w:r w:rsidR="00271D83">
        <w:rPr>
          <w:b/>
        </w:rPr>
        <w:t>29,000 jobs in 2017</w:t>
      </w:r>
      <w:r w:rsidR="001A14E7" w:rsidRPr="00DA1C24">
        <w:rPr>
          <w:b/>
        </w:rPr>
        <w:t>.</w:t>
      </w:r>
      <w:r w:rsidR="001A14E7">
        <w:t xml:space="preserve"> </w:t>
      </w:r>
      <w:r>
        <w:t>This compares to £</w:t>
      </w:r>
      <w:r w:rsidR="00271D83">
        <w:t>860</w:t>
      </w:r>
      <w:r>
        <w:t xml:space="preserve"> million and £</w:t>
      </w:r>
      <w:r w:rsidR="00271D83">
        <w:t>240</w:t>
      </w:r>
      <w:r>
        <w:t xml:space="preserve"> million in GVA directly contributed by the </w:t>
      </w:r>
      <w:r w:rsidR="00BC67A0">
        <w:t>shipping and p</w:t>
      </w:r>
      <w:r>
        <w:t>orts industries respectively in Scotland.</w:t>
      </w:r>
    </w:p>
    <w:p w14:paraId="68046D50" w14:textId="269191D5" w:rsidR="001A14E7" w:rsidRPr="00B41214" w:rsidRDefault="00123894" w:rsidP="003A57C7">
      <w:pPr>
        <w:pStyle w:val="ListBullet"/>
        <w:numPr>
          <w:ilvl w:val="0"/>
          <w:numId w:val="20"/>
        </w:numPr>
        <w:spacing w:after="120"/>
        <w:ind w:left="360"/>
        <w:rPr>
          <w:rFonts w:ascii="Calibri" w:eastAsia="Microsoft JhengHei" w:hAnsi="Calibri"/>
        </w:rPr>
      </w:pPr>
      <w:r>
        <w:rPr>
          <w:b/>
        </w:rPr>
        <w:t>E</w:t>
      </w:r>
      <w:r w:rsidR="001A14E7" w:rsidRPr="00B41214">
        <w:rPr>
          <w:b/>
        </w:rPr>
        <w:t xml:space="preserve">mployees in the </w:t>
      </w:r>
      <w:r w:rsidR="00F27993">
        <w:rPr>
          <w:b/>
        </w:rPr>
        <w:t>Scottish Mari</w:t>
      </w:r>
      <w:r>
        <w:rPr>
          <w:b/>
        </w:rPr>
        <w:t>time S</w:t>
      </w:r>
      <w:r w:rsidR="00F27993">
        <w:rPr>
          <w:b/>
        </w:rPr>
        <w:t>ector</w:t>
      </w:r>
      <w:r w:rsidR="00F27993" w:rsidRPr="00B41214">
        <w:rPr>
          <w:b/>
        </w:rPr>
        <w:t xml:space="preserve"> </w:t>
      </w:r>
      <w:r w:rsidR="001A14E7" w:rsidRPr="00B41214">
        <w:rPr>
          <w:b/>
        </w:rPr>
        <w:t xml:space="preserve">are found to be highly productive in </w:t>
      </w:r>
      <w:r w:rsidR="00F27993">
        <w:rPr>
          <w:b/>
        </w:rPr>
        <w:t xml:space="preserve">the </w:t>
      </w:r>
      <w:r>
        <w:rPr>
          <w:b/>
        </w:rPr>
        <w:t>eight</w:t>
      </w:r>
      <w:r w:rsidR="00F27993" w:rsidRPr="00B41214">
        <w:rPr>
          <w:b/>
        </w:rPr>
        <w:t xml:space="preserve"> </w:t>
      </w:r>
      <w:r w:rsidR="001A14E7" w:rsidRPr="00B41214">
        <w:rPr>
          <w:b/>
        </w:rPr>
        <w:t>year</w:t>
      </w:r>
      <w:r w:rsidR="00F27993">
        <w:rPr>
          <w:b/>
        </w:rPr>
        <w:t>s considered in this study</w:t>
      </w:r>
      <w:r w:rsidR="00F27993">
        <w:t>.</w:t>
      </w:r>
      <w:r w:rsidR="001A14E7">
        <w:t xml:space="preserve"> </w:t>
      </w:r>
      <w:r w:rsidR="00F27993">
        <w:t>T</w:t>
      </w:r>
      <w:r w:rsidR="001A14E7">
        <w:t xml:space="preserve">he average </w:t>
      </w:r>
      <w:r w:rsidR="00F27993">
        <w:t xml:space="preserve">job </w:t>
      </w:r>
      <w:r w:rsidR="001A14E7">
        <w:t>is estimated to</w:t>
      </w:r>
      <w:r w:rsidR="00F239D1">
        <w:t xml:space="preserve"> have</w:t>
      </w:r>
      <w:r w:rsidR="001A14E7">
        <w:t xml:space="preserve"> contribute</w:t>
      </w:r>
      <w:r w:rsidR="00F239D1">
        <w:t>d</w:t>
      </w:r>
      <w:r w:rsidR="001A14E7">
        <w:t xml:space="preserve"> </w:t>
      </w:r>
      <w:r w:rsidR="000E3CEB">
        <w:t xml:space="preserve">around </w:t>
      </w:r>
      <w:r w:rsidR="001A14E7">
        <w:t>£</w:t>
      </w:r>
      <w:r w:rsidR="000E3CEB">
        <w:t>9</w:t>
      </w:r>
      <w:r>
        <w:t>0</w:t>
      </w:r>
      <w:r w:rsidR="001A14E7">
        <w:t>,</w:t>
      </w:r>
      <w:r>
        <w:t>600 in GVA in 2017</w:t>
      </w:r>
      <w:r w:rsidR="001A14E7">
        <w:t xml:space="preserve">; this compares favourably to </w:t>
      </w:r>
      <w:r w:rsidR="00F16924">
        <w:t xml:space="preserve">productivity in </w:t>
      </w:r>
      <w:r w:rsidR="001A14E7">
        <w:t xml:space="preserve">the </w:t>
      </w:r>
      <w:r w:rsidR="00F27993">
        <w:t xml:space="preserve">UK </w:t>
      </w:r>
      <w:r w:rsidR="001A14E7">
        <w:t xml:space="preserve">Maritime sector </w:t>
      </w:r>
      <w:r w:rsidR="00F16924">
        <w:t xml:space="preserve">of </w:t>
      </w:r>
      <w:r w:rsidR="000E3CEB">
        <w:t>£</w:t>
      </w:r>
      <w:r w:rsidR="0061026A">
        <w:t>77</w:t>
      </w:r>
      <w:r w:rsidR="000E3CEB">
        <w:t>,</w:t>
      </w:r>
      <w:r>
        <w:t>4</w:t>
      </w:r>
      <w:r w:rsidR="000E3CEB">
        <w:t xml:space="preserve">00 </w:t>
      </w:r>
      <w:r w:rsidR="00471123" w:rsidRPr="00471123">
        <w:t xml:space="preserve">and </w:t>
      </w:r>
      <w:r w:rsidR="00471123" w:rsidRPr="00471123">
        <w:rPr>
          <w:rFonts w:ascii="Calibri" w:eastAsia="Times New Roman" w:hAnsi="Calibri"/>
          <w:color w:val="000000"/>
          <w:lang w:eastAsia="en-GB"/>
        </w:rPr>
        <w:t xml:space="preserve">£54,330 </w:t>
      </w:r>
      <w:r w:rsidR="00F16924" w:rsidRPr="00471123">
        <w:t xml:space="preserve">across </w:t>
      </w:r>
      <w:r w:rsidR="00471123" w:rsidRPr="00471123">
        <w:t>the UK</w:t>
      </w:r>
      <w:r w:rsidR="00F16924" w:rsidRPr="00471123">
        <w:t xml:space="preserve"> in general</w:t>
      </w:r>
      <w:r w:rsidR="001A14E7" w:rsidRPr="00471123">
        <w:t xml:space="preserve">. </w:t>
      </w:r>
      <w:r w:rsidR="00BF3089" w:rsidRPr="00471123">
        <w:t xml:space="preserve">There is thus a large proportion of high value jobs </w:t>
      </w:r>
      <w:r w:rsidR="00BC67A0">
        <w:t>in the Scottish Maritime S</w:t>
      </w:r>
      <w:r w:rsidR="00BF3089" w:rsidRPr="00471123">
        <w:t>ector.</w:t>
      </w:r>
    </w:p>
    <w:p w14:paraId="0CE28A0E" w14:textId="54820CA0" w:rsidR="001A14E7" w:rsidRPr="00B41214" w:rsidRDefault="001A14E7" w:rsidP="003A57C7">
      <w:pPr>
        <w:pStyle w:val="ListBullet"/>
        <w:numPr>
          <w:ilvl w:val="0"/>
          <w:numId w:val="20"/>
        </w:numPr>
        <w:spacing w:after="120"/>
        <w:ind w:left="360"/>
        <w:rPr>
          <w:rFonts w:ascii="Calibri" w:eastAsia="Microsoft JhengHei" w:hAnsi="Calibri"/>
          <w:b/>
        </w:rPr>
      </w:pPr>
      <w:r>
        <w:t xml:space="preserve">By extension of its significant direct contributions to GVA and employment, the Maritime </w:t>
      </w:r>
      <w:r w:rsidR="00271D83">
        <w:t>S</w:t>
      </w:r>
      <w:r w:rsidR="0061026A">
        <w:t>ector in Scotland also helps</w:t>
      </w:r>
      <w:r>
        <w:t xml:space="preserve"> to raise </w:t>
      </w:r>
      <w:r w:rsidR="0061026A">
        <w:t>a significant</w:t>
      </w:r>
      <w:r w:rsidR="00D5548E">
        <w:t xml:space="preserve"> amount of tax revenue </w:t>
      </w:r>
      <w:r>
        <w:t xml:space="preserve">each year </w:t>
      </w:r>
      <w:r w:rsidR="00D5548E">
        <w:t xml:space="preserve">for </w:t>
      </w:r>
      <w:r>
        <w:t xml:space="preserve">the UK Exchequer. </w:t>
      </w:r>
      <w:r w:rsidRPr="00DC597B">
        <w:rPr>
          <w:b/>
        </w:rPr>
        <w:t>T</w:t>
      </w:r>
      <w:r w:rsidRPr="00B41214">
        <w:rPr>
          <w:b/>
        </w:rPr>
        <w:t xml:space="preserve">he </w:t>
      </w:r>
      <w:r w:rsidR="00271D83">
        <w:rPr>
          <w:b/>
        </w:rPr>
        <w:t>Maritime S</w:t>
      </w:r>
      <w:r w:rsidR="00D5548E">
        <w:rPr>
          <w:b/>
        </w:rPr>
        <w:t>ector</w:t>
      </w:r>
      <w:r w:rsidR="00D5548E" w:rsidRPr="00B41214">
        <w:rPr>
          <w:b/>
        </w:rPr>
        <w:t xml:space="preserve"> </w:t>
      </w:r>
      <w:r w:rsidRPr="00B41214">
        <w:rPr>
          <w:b/>
        </w:rPr>
        <w:t xml:space="preserve">contributed an estimated total of </w:t>
      </w:r>
      <w:r w:rsidR="00FA07FC">
        <w:rPr>
          <w:b/>
        </w:rPr>
        <w:t>£900 m</w:t>
      </w:r>
      <w:r w:rsidR="00D5548E">
        <w:rPr>
          <w:b/>
        </w:rPr>
        <w:t>illion</w:t>
      </w:r>
      <w:r w:rsidR="00D5548E" w:rsidRPr="00B41214">
        <w:rPr>
          <w:b/>
        </w:rPr>
        <w:t xml:space="preserve"> </w:t>
      </w:r>
      <w:r w:rsidR="00FA07FC">
        <w:rPr>
          <w:b/>
        </w:rPr>
        <w:t>in tax revenues in 2017</w:t>
      </w:r>
      <w:r w:rsidRPr="00B41214">
        <w:rPr>
          <w:b/>
        </w:rPr>
        <w:t xml:space="preserve">, spread across VAT, Corporation Tax, Income Tax, </w:t>
      </w:r>
      <w:r>
        <w:rPr>
          <w:b/>
        </w:rPr>
        <w:t>National Insurance Contributions (NICs)</w:t>
      </w:r>
      <w:r w:rsidRPr="00B41214">
        <w:rPr>
          <w:b/>
        </w:rPr>
        <w:t xml:space="preserve"> and Business Rates</w:t>
      </w:r>
      <w:r w:rsidR="00FA07FC">
        <w:t xml:space="preserve">.  </w:t>
      </w:r>
    </w:p>
    <w:p w14:paraId="69D6F574" w14:textId="232D2056" w:rsidR="001A14E7" w:rsidRDefault="001A14E7" w:rsidP="003A57C7">
      <w:pPr>
        <w:pStyle w:val="ListBullet"/>
        <w:numPr>
          <w:ilvl w:val="0"/>
          <w:numId w:val="20"/>
        </w:numPr>
        <w:spacing w:after="120"/>
        <w:ind w:left="360"/>
      </w:pPr>
      <w:r>
        <w:t xml:space="preserve">After quantifying the </w:t>
      </w:r>
      <w:r w:rsidR="00CC6B0B">
        <w:t>aggregate economic</w:t>
      </w:r>
      <w:r>
        <w:t xml:space="preserve"> impacts through the industry supply chains and induced effects on expenditures, </w:t>
      </w:r>
      <w:r w:rsidRPr="008810CD">
        <w:rPr>
          <w:b/>
        </w:rPr>
        <w:t xml:space="preserve">it is estimated that </w:t>
      </w:r>
      <w:r>
        <w:rPr>
          <w:b/>
        </w:rPr>
        <w:t xml:space="preserve">the Maritime </w:t>
      </w:r>
      <w:r w:rsidR="00FA07FC">
        <w:rPr>
          <w:b/>
        </w:rPr>
        <w:t>S</w:t>
      </w:r>
      <w:r w:rsidR="00986F48">
        <w:rPr>
          <w:b/>
        </w:rPr>
        <w:t xml:space="preserve">ector in Scotland </w:t>
      </w:r>
      <w:r>
        <w:rPr>
          <w:b/>
        </w:rPr>
        <w:t>helped to support</w:t>
      </w:r>
      <w:r w:rsidRPr="008810CD">
        <w:rPr>
          <w:b/>
        </w:rPr>
        <w:t xml:space="preserve"> a total of £</w:t>
      </w:r>
      <w:r w:rsidR="0061026A">
        <w:rPr>
          <w:b/>
        </w:rPr>
        <w:t>7</w:t>
      </w:r>
      <w:r w:rsidR="00FA07FC">
        <w:rPr>
          <w:b/>
        </w:rPr>
        <w:t>.8</w:t>
      </w:r>
      <w:r w:rsidRPr="008810CD">
        <w:rPr>
          <w:b/>
        </w:rPr>
        <w:t xml:space="preserve"> </w:t>
      </w:r>
      <w:r w:rsidR="00FA07FC">
        <w:rPr>
          <w:b/>
        </w:rPr>
        <w:t>billion of GVA in 2017</w:t>
      </w:r>
      <w:r w:rsidR="00F2506F">
        <w:rPr>
          <w:b/>
        </w:rPr>
        <w:t xml:space="preserve">, </w:t>
      </w:r>
      <w:r w:rsidR="00F2506F" w:rsidRPr="00DC597B">
        <w:t>an increase from £6.</w:t>
      </w:r>
      <w:r w:rsidR="00FA07FC">
        <w:t>8</w:t>
      </w:r>
      <w:r w:rsidR="00F2506F" w:rsidRPr="00DC597B">
        <w:t xml:space="preserve"> billion in 2010</w:t>
      </w:r>
      <w:r w:rsidRPr="008810CD">
        <w:rPr>
          <w:b/>
        </w:rPr>
        <w:t xml:space="preserve">. </w:t>
      </w:r>
    </w:p>
    <w:p w14:paraId="76935015" w14:textId="4414B7C7" w:rsidR="001A14E7" w:rsidRPr="007515A7" w:rsidRDefault="001A14E7" w:rsidP="003A57C7">
      <w:pPr>
        <w:pStyle w:val="ListBullet"/>
        <w:numPr>
          <w:ilvl w:val="0"/>
          <w:numId w:val="20"/>
        </w:numPr>
        <w:spacing w:after="120"/>
        <w:ind w:left="360"/>
      </w:pPr>
      <w:r>
        <w:t xml:space="preserve">These </w:t>
      </w:r>
      <w:r w:rsidR="00CC6B0B">
        <w:t>aggregate economic</w:t>
      </w:r>
      <w:r>
        <w:t xml:space="preserve"> impacts associated with the </w:t>
      </w:r>
      <w:r w:rsidR="00F2506F">
        <w:t xml:space="preserve">Scottish </w:t>
      </w:r>
      <w:r>
        <w:t xml:space="preserve">Maritime </w:t>
      </w:r>
      <w:r w:rsidR="00271D83">
        <w:t>S</w:t>
      </w:r>
      <w:r w:rsidR="00F2506F">
        <w:t>ector</w:t>
      </w:r>
      <w:r>
        <w:t xml:space="preserve"> also extend to business turnover, employment and the compensation of employees. </w:t>
      </w:r>
      <w:r w:rsidRPr="00445385">
        <w:rPr>
          <w:b/>
        </w:rPr>
        <w:t>I</w:t>
      </w:r>
      <w:r w:rsidRPr="008810CD">
        <w:rPr>
          <w:b/>
        </w:rPr>
        <w:t xml:space="preserve">t is estimated that </w:t>
      </w:r>
      <w:r>
        <w:rPr>
          <w:b/>
        </w:rPr>
        <w:t xml:space="preserve">the Maritime </w:t>
      </w:r>
      <w:r w:rsidR="00FA07FC">
        <w:rPr>
          <w:b/>
        </w:rPr>
        <w:t>S</w:t>
      </w:r>
      <w:r w:rsidR="00B769F9">
        <w:rPr>
          <w:b/>
        </w:rPr>
        <w:t>ector in Scotland</w:t>
      </w:r>
      <w:r w:rsidRPr="008810CD">
        <w:rPr>
          <w:b/>
        </w:rPr>
        <w:t xml:space="preserve"> </w:t>
      </w:r>
      <w:r>
        <w:rPr>
          <w:b/>
        </w:rPr>
        <w:t>helped to support</w:t>
      </w:r>
      <w:r w:rsidRPr="008810CD">
        <w:rPr>
          <w:b/>
        </w:rPr>
        <w:t xml:space="preserve"> </w:t>
      </w:r>
      <w:r>
        <w:rPr>
          <w:b/>
        </w:rPr>
        <w:t>a total of £</w:t>
      </w:r>
      <w:r w:rsidR="00FA07FC">
        <w:rPr>
          <w:b/>
        </w:rPr>
        <w:t>19.5</w:t>
      </w:r>
      <w:r w:rsidR="001C6F2B">
        <w:rPr>
          <w:b/>
        </w:rPr>
        <w:t xml:space="preserve"> </w:t>
      </w:r>
      <w:r>
        <w:rPr>
          <w:b/>
        </w:rPr>
        <w:t xml:space="preserve">billion in </w:t>
      </w:r>
      <w:r w:rsidR="00AD0985">
        <w:rPr>
          <w:b/>
        </w:rPr>
        <w:t>turnover</w:t>
      </w:r>
      <w:r>
        <w:rPr>
          <w:b/>
        </w:rPr>
        <w:t xml:space="preserve"> </w:t>
      </w:r>
      <w:r w:rsidRPr="00DC597B">
        <w:t xml:space="preserve">(through </w:t>
      </w:r>
      <w:r w:rsidR="004425ED" w:rsidRPr="00DC597B">
        <w:t xml:space="preserve">business </w:t>
      </w:r>
      <w:r w:rsidRPr="00DC597B">
        <w:t>turnover),</w:t>
      </w:r>
      <w:r>
        <w:rPr>
          <w:b/>
        </w:rPr>
        <w:t xml:space="preserve"> </w:t>
      </w:r>
      <w:r w:rsidR="00FA07FC">
        <w:rPr>
          <w:b/>
        </w:rPr>
        <w:t>155</w:t>
      </w:r>
      <w:r w:rsidR="004425ED">
        <w:rPr>
          <w:b/>
        </w:rPr>
        <w:t>,</w:t>
      </w:r>
      <w:r w:rsidR="0061026A">
        <w:rPr>
          <w:b/>
        </w:rPr>
        <w:t>0</w:t>
      </w:r>
      <w:r w:rsidR="001C6F2B">
        <w:rPr>
          <w:b/>
        </w:rPr>
        <w:t xml:space="preserve">00 </w:t>
      </w:r>
      <w:r>
        <w:rPr>
          <w:b/>
        </w:rPr>
        <w:t>jobs and £</w:t>
      </w:r>
      <w:r w:rsidR="00FA07FC">
        <w:rPr>
          <w:b/>
        </w:rPr>
        <w:t>5.1</w:t>
      </w:r>
      <w:r>
        <w:rPr>
          <w:b/>
        </w:rPr>
        <w:t xml:space="preserve"> billion </w:t>
      </w:r>
      <w:r w:rsidR="004425ED">
        <w:rPr>
          <w:b/>
        </w:rPr>
        <w:t xml:space="preserve">through </w:t>
      </w:r>
      <w:r>
        <w:rPr>
          <w:b/>
        </w:rPr>
        <w:t>the c</w:t>
      </w:r>
      <w:r w:rsidR="00FA07FC">
        <w:rPr>
          <w:b/>
        </w:rPr>
        <w:t>ompensation of employees in 2017</w:t>
      </w:r>
      <w:r>
        <w:rPr>
          <w:b/>
        </w:rPr>
        <w:t>.</w:t>
      </w:r>
    </w:p>
    <w:p w14:paraId="17BDB998" w14:textId="1B9FB129" w:rsidR="007515A7" w:rsidRPr="00DC597B" w:rsidRDefault="007515A7" w:rsidP="003A57C7">
      <w:pPr>
        <w:pStyle w:val="ListBullet"/>
        <w:numPr>
          <w:ilvl w:val="0"/>
          <w:numId w:val="20"/>
        </w:numPr>
        <w:spacing w:after="120"/>
        <w:ind w:left="360"/>
      </w:pPr>
      <w:r w:rsidRPr="00D8750F">
        <w:rPr>
          <w:rFonts w:ascii="Calibri" w:eastAsia="Microsoft JhengHei" w:hAnsi="Calibri"/>
        </w:rPr>
        <w:t xml:space="preserve">Our forecast indicates that </w:t>
      </w:r>
      <w:r>
        <w:rPr>
          <w:rFonts w:ascii="Calibri" w:eastAsia="Microsoft JhengHei" w:hAnsi="Calibri"/>
        </w:rPr>
        <w:t>Scottish-based M</w:t>
      </w:r>
      <w:r w:rsidRPr="00D8750F">
        <w:rPr>
          <w:rFonts w:ascii="Calibri" w:eastAsia="Microsoft JhengHei" w:hAnsi="Calibri"/>
        </w:rPr>
        <w:t xml:space="preserve">aritime </w:t>
      </w:r>
      <w:r w:rsidRPr="007515A7">
        <w:rPr>
          <w:rFonts w:ascii="Calibri" w:eastAsia="Microsoft JhengHei" w:hAnsi="Calibri"/>
          <w:b/>
        </w:rPr>
        <w:t xml:space="preserve">turnover and GVA are set to grow at a Compounded Annual Growth rate of 2.6% over </w:t>
      </w:r>
      <w:r w:rsidRPr="007515A7">
        <w:rPr>
          <w:rFonts w:ascii="Calibri" w:eastAsia="Microsoft JhengHei" w:hAnsi="Calibri"/>
          <w:b/>
        </w:rPr>
        <w:t>period 2017 to 2023</w:t>
      </w:r>
      <w:r w:rsidRPr="00D8750F">
        <w:rPr>
          <w:rFonts w:ascii="Calibri" w:eastAsia="Microsoft JhengHei" w:hAnsi="Calibri"/>
        </w:rPr>
        <w:t xml:space="preserve">. This translates into a cumulative </w:t>
      </w:r>
      <w:r>
        <w:rPr>
          <w:rFonts w:ascii="Calibri" w:eastAsia="Microsoft JhengHei" w:hAnsi="Calibri"/>
        </w:rPr>
        <w:t xml:space="preserve">nominal </w:t>
      </w:r>
      <w:r w:rsidRPr="00D8750F">
        <w:rPr>
          <w:rFonts w:ascii="Calibri" w:eastAsia="Microsoft JhengHei" w:hAnsi="Calibri"/>
        </w:rPr>
        <w:t>growth of 1</w:t>
      </w:r>
      <w:r>
        <w:rPr>
          <w:rFonts w:ascii="Calibri" w:eastAsia="Microsoft JhengHei" w:hAnsi="Calibri"/>
        </w:rPr>
        <w:t>4</w:t>
      </w:r>
      <w:r w:rsidRPr="00D8750F">
        <w:rPr>
          <w:rFonts w:ascii="Calibri" w:eastAsia="Microsoft JhengHei" w:hAnsi="Calibri"/>
        </w:rPr>
        <w:t>% for 2019-2023</w:t>
      </w:r>
      <w:r>
        <w:rPr>
          <w:rFonts w:ascii="Calibri" w:eastAsia="Microsoft JhengHei" w:hAnsi="Calibri"/>
        </w:rPr>
        <w:t>.</w:t>
      </w:r>
    </w:p>
    <w:p w14:paraId="668555BA" w14:textId="75316EDD" w:rsidR="00F01551" w:rsidRDefault="00F01551" w:rsidP="00F01551">
      <w:pPr>
        <w:pStyle w:val="Heading1"/>
      </w:pPr>
      <w:bookmarkStart w:id="3" w:name="_Toc487015943"/>
      <w:bookmarkStart w:id="4" w:name="_Toc16767994"/>
      <w:bookmarkEnd w:id="3"/>
      <w:r>
        <w:t>Introduction</w:t>
      </w:r>
      <w:bookmarkEnd w:id="4"/>
    </w:p>
    <w:p w14:paraId="722AE0DE" w14:textId="138BAB85" w:rsidR="00C15B6B" w:rsidRDefault="00F01551" w:rsidP="00F01551">
      <w:r>
        <w:t>Cebr is pleased to present this report to</w:t>
      </w:r>
      <w:r w:rsidR="00B6563F">
        <w:t xml:space="preserve"> </w:t>
      </w:r>
      <w:r w:rsidR="00EA44AA">
        <w:t>Maritime</w:t>
      </w:r>
      <w:r>
        <w:t xml:space="preserve"> UK </w:t>
      </w:r>
      <w:r w:rsidR="00CB6F41">
        <w:t xml:space="preserve">and Scottish Enterprise </w:t>
      </w:r>
      <w:r>
        <w:t xml:space="preserve">on the economic impact of the </w:t>
      </w:r>
      <w:r w:rsidR="00C15B6B">
        <w:t>M</w:t>
      </w:r>
      <w:r>
        <w:t xml:space="preserve">aritime </w:t>
      </w:r>
      <w:r w:rsidR="00807DCB">
        <w:t>S</w:t>
      </w:r>
      <w:r w:rsidR="00732B47">
        <w:t>ector</w:t>
      </w:r>
      <w:r w:rsidR="00371BC9">
        <w:t xml:space="preserve"> </w:t>
      </w:r>
      <w:r w:rsidR="006E05F7">
        <w:t>in Scotland</w:t>
      </w:r>
      <w:r>
        <w:t xml:space="preserve">. </w:t>
      </w:r>
      <w:r w:rsidR="00AC0528">
        <w:t>In this context</w:t>
      </w:r>
      <w:r w:rsidR="00DB02D9">
        <w:t xml:space="preserve"> and henceforth</w:t>
      </w:r>
      <w:r w:rsidR="00AC0528">
        <w:t xml:space="preserve">, the </w:t>
      </w:r>
      <w:r w:rsidR="00DB02D9">
        <w:t>“</w:t>
      </w:r>
      <w:r w:rsidR="00CF0495">
        <w:t xml:space="preserve">Maritime </w:t>
      </w:r>
      <w:r w:rsidR="00807DCB">
        <w:t>S</w:t>
      </w:r>
      <w:r w:rsidR="00732B47">
        <w:t>ector</w:t>
      </w:r>
      <w:r w:rsidR="00DB02D9">
        <w:t>”</w:t>
      </w:r>
      <w:r w:rsidR="00732B47">
        <w:t xml:space="preserve"> </w:t>
      </w:r>
      <w:r w:rsidR="00AC0528">
        <w:t xml:space="preserve">is defined as </w:t>
      </w:r>
      <w:r w:rsidR="00732B47">
        <w:t xml:space="preserve">comprising </w:t>
      </w:r>
      <w:r w:rsidR="00AC0528">
        <w:t xml:space="preserve">the </w:t>
      </w:r>
      <w:r w:rsidR="00807DCB">
        <w:t>s</w:t>
      </w:r>
      <w:r w:rsidR="00732B47">
        <w:t>hipping</w:t>
      </w:r>
      <w:r w:rsidR="00AC0528">
        <w:t xml:space="preserve">, </w:t>
      </w:r>
      <w:r w:rsidR="00807DCB">
        <w:t>p</w:t>
      </w:r>
      <w:r w:rsidR="00732B47">
        <w:t>o</w:t>
      </w:r>
      <w:r w:rsidR="00AC0528">
        <w:t>rts,</w:t>
      </w:r>
      <w:r w:rsidR="00807DCB">
        <w:t xml:space="preserve"> leisure</w:t>
      </w:r>
      <w:r w:rsidR="00AC0528">
        <w:t xml:space="preserve"> </w:t>
      </w:r>
      <w:r w:rsidR="00807DCB">
        <w:t>m</w:t>
      </w:r>
      <w:r w:rsidR="00AC0528">
        <w:t>arine</w:t>
      </w:r>
      <w:r w:rsidR="00807DCB">
        <w:t>, marine engineering</w:t>
      </w:r>
      <w:r w:rsidR="00AC0528">
        <w:t xml:space="preserve"> </w:t>
      </w:r>
      <w:r w:rsidR="009F2F3A">
        <w:t xml:space="preserve">and </w:t>
      </w:r>
      <w:r w:rsidR="00807DCB">
        <w:t xml:space="preserve">scientific (MES) </w:t>
      </w:r>
      <w:r w:rsidR="00AC0528">
        <w:t xml:space="preserve">and </w:t>
      </w:r>
      <w:r w:rsidR="001210F0">
        <w:t>Maritime Business S</w:t>
      </w:r>
      <w:r w:rsidR="00732B47">
        <w:t>ervices</w:t>
      </w:r>
      <w:r w:rsidR="00807DCB">
        <w:t xml:space="preserve"> (MBS)</w:t>
      </w:r>
      <w:r w:rsidR="00732B47">
        <w:t xml:space="preserve"> </w:t>
      </w:r>
      <w:r w:rsidR="00AC0528">
        <w:t xml:space="preserve">industries. </w:t>
      </w:r>
    </w:p>
    <w:p w14:paraId="50461E88" w14:textId="703FD073" w:rsidR="00AC0528" w:rsidRDefault="00F01551" w:rsidP="00F01551">
      <w:r>
        <w:t>This report form</w:t>
      </w:r>
      <w:r w:rsidR="00E97B2D">
        <w:t xml:space="preserve">s one </w:t>
      </w:r>
      <w:r w:rsidR="00AC0528">
        <w:t xml:space="preserve">of </w:t>
      </w:r>
      <w:r w:rsidR="00807DCB">
        <w:t>ten</w:t>
      </w:r>
      <w:r w:rsidR="00AC0528">
        <w:t xml:space="preserve"> reports focusing on </w:t>
      </w:r>
      <w:r>
        <w:t xml:space="preserve">the economic contribution of </w:t>
      </w:r>
      <w:r w:rsidR="00AC0528">
        <w:t xml:space="preserve">the UK </w:t>
      </w:r>
      <w:r w:rsidR="002F114F">
        <w:t xml:space="preserve">Maritime </w:t>
      </w:r>
      <w:r w:rsidR="00807DCB">
        <w:t>S</w:t>
      </w:r>
      <w:r w:rsidR="00732B47">
        <w:t>ector</w:t>
      </w:r>
      <w:r w:rsidR="00AC0528">
        <w:t xml:space="preserve">, with the other reports focusing on the economic </w:t>
      </w:r>
      <w:r w:rsidR="00807DCB">
        <w:t>contribution of each of the five</w:t>
      </w:r>
      <w:r w:rsidR="00AC0528">
        <w:t xml:space="preserve"> industries at UK level, the economic contribution of the </w:t>
      </w:r>
      <w:r w:rsidR="005445A6">
        <w:t xml:space="preserve">sector </w:t>
      </w:r>
      <w:r w:rsidR="00AC0528">
        <w:t>in</w:t>
      </w:r>
      <w:r w:rsidR="00EE6972">
        <w:t xml:space="preserve"> </w:t>
      </w:r>
      <w:r w:rsidR="00807DCB">
        <w:t>Wales, Liverpool City Region</w:t>
      </w:r>
      <w:r w:rsidR="001210F0">
        <w:t>, Solent LEP</w:t>
      </w:r>
      <w:r w:rsidR="00AC0528">
        <w:t xml:space="preserve"> and </w:t>
      </w:r>
      <w:r w:rsidR="00372219">
        <w:t xml:space="preserve">the sector </w:t>
      </w:r>
      <w:r w:rsidR="00AC0528">
        <w:t>at UK-level.</w:t>
      </w:r>
      <w:r w:rsidR="00464B2E" w:rsidRPr="00464B2E">
        <w:t xml:space="preserve"> </w:t>
      </w:r>
      <w:r w:rsidR="00464B2E">
        <w:t xml:space="preserve">It is therefore important to consider this report as part of the wider framework set out in the </w:t>
      </w:r>
      <w:r w:rsidR="00F813E4">
        <w:t xml:space="preserve">ten </w:t>
      </w:r>
      <w:r w:rsidR="00464B2E">
        <w:t xml:space="preserve">reports, which set out the impact of the </w:t>
      </w:r>
      <w:r w:rsidR="002F114F">
        <w:t>M</w:t>
      </w:r>
      <w:r w:rsidR="00464B2E">
        <w:t xml:space="preserve">aritime </w:t>
      </w:r>
      <w:r w:rsidR="00F813E4">
        <w:t>S</w:t>
      </w:r>
      <w:r w:rsidR="005445A6">
        <w:t xml:space="preserve">ector </w:t>
      </w:r>
      <w:r w:rsidR="00464B2E">
        <w:t>both at a national and regional level.</w:t>
      </w:r>
      <w:r w:rsidR="00E55D49">
        <w:t xml:space="preserve"> </w:t>
      </w:r>
      <w:r w:rsidR="00AC0528">
        <w:t>Our examination spans the period from 2010</w:t>
      </w:r>
      <w:r w:rsidR="00F813E4">
        <w:t xml:space="preserve"> to 2017</w:t>
      </w:r>
      <w:r w:rsidR="00C25A8D">
        <w:t xml:space="preserve"> inclusive, </w:t>
      </w:r>
      <w:r w:rsidR="00CF0495">
        <w:t xml:space="preserve">with </w:t>
      </w:r>
      <w:r w:rsidR="00AC0528">
        <w:t xml:space="preserve">the </w:t>
      </w:r>
      <w:r w:rsidR="00C25A8D">
        <w:t xml:space="preserve">latter being </w:t>
      </w:r>
      <w:r w:rsidR="002F114F">
        <w:t xml:space="preserve">the </w:t>
      </w:r>
      <w:r w:rsidR="00AC0528">
        <w:t xml:space="preserve">latest year for which full </w:t>
      </w:r>
      <w:r w:rsidR="00C25A8D">
        <w:t xml:space="preserve">data </w:t>
      </w:r>
      <w:r w:rsidR="00AC0528">
        <w:t>are available</w:t>
      </w:r>
      <w:r w:rsidR="00C25A8D">
        <w:t xml:space="preserve">, </w:t>
      </w:r>
      <w:r w:rsidR="00AC0528">
        <w:t xml:space="preserve">and endeavours to capture the full economic ‘footprint’ of the </w:t>
      </w:r>
      <w:r w:rsidR="002F114F">
        <w:t>M</w:t>
      </w:r>
      <w:r w:rsidR="00AC0528">
        <w:t xml:space="preserve">aritime </w:t>
      </w:r>
      <w:r w:rsidR="00F813E4">
        <w:t>S</w:t>
      </w:r>
      <w:r w:rsidR="003E62D4">
        <w:t>ector</w:t>
      </w:r>
      <w:r w:rsidR="0045723B">
        <w:t xml:space="preserve"> </w:t>
      </w:r>
      <w:r w:rsidR="002F69DF">
        <w:t>in Scotland</w:t>
      </w:r>
      <w:r w:rsidR="00AC0528">
        <w:t xml:space="preserve">. As such, our report is not confined to direct ongoing contributions to GDP and employment through </w:t>
      </w:r>
      <w:r w:rsidR="00AD6F62">
        <w:t xml:space="preserve">operations and activity </w:t>
      </w:r>
      <w:r w:rsidR="00AC0528">
        <w:t xml:space="preserve">in </w:t>
      </w:r>
      <w:r w:rsidR="002F69DF">
        <w:t>Scotland</w:t>
      </w:r>
      <w:r w:rsidR="00AC0528">
        <w:t>, but also provides assessments of the associated indirect and induced multiplier impacts.</w:t>
      </w:r>
      <w:r w:rsidR="00CF0495">
        <w:t xml:space="preserve"> </w:t>
      </w:r>
    </w:p>
    <w:p w14:paraId="600D65F3" w14:textId="77777777" w:rsidR="00E96CB1" w:rsidRDefault="00E96CB1" w:rsidP="00E96CB1">
      <w:pPr>
        <w:pStyle w:val="Heading2"/>
      </w:pPr>
      <w:bookmarkStart w:id="5" w:name="_Toc16767995"/>
      <w:r>
        <w:t>About Maritime UK</w:t>
      </w:r>
      <w:bookmarkEnd w:id="5"/>
    </w:p>
    <w:p w14:paraId="2359C3C6" w14:textId="5B2CC263" w:rsidR="00EA4053" w:rsidRPr="00EA4053" w:rsidRDefault="00EA4053" w:rsidP="00EA4053">
      <w:r w:rsidRPr="00EA4053">
        <w:t>Maritime UK is the</w:t>
      </w:r>
      <w:r w:rsidR="00F813E4">
        <w:t xml:space="preserve"> promotional body for the UK’s Maritime S</w:t>
      </w:r>
      <w:r w:rsidRPr="00EA4053">
        <w:t xml:space="preserve">ector, representing companies and partner organisations in the shipping, ports, </w:t>
      </w:r>
      <w:r w:rsidR="00F813E4">
        <w:t xml:space="preserve">leisure marine, </w:t>
      </w:r>
      <w:r w:rsidRPr="00EA4053">
        <w:t>marine</w:t>
      </w:r>
      <w:r w:rsidR="00F813E4">
        <w:t xml:space="preserve"> engineering </w:t>
      </w:r>
      <w:r w:rsidR="009F2F3A">
        <w:t xml:space="preserve">and </w:t>
      </w:r>
      <w:r w:rsidR="00F813E4">
        <w:t>scientific</w:t>
      </w:r>
      <w:r w:rsidR="001210F0">
        <w:t xml:space="preserve"> and Maritime Business S</w:t>
      </w:r>
      <w:r w:rsidRPr="00EA4053">
        <w:t>ervices industries. It acts to promote the sector, influence government and drive growth.</w:t>
      </w:r>
    </w:p>
    <w:p w14:paraId="3C3EAEA6" w14:textId="2070815C" w:rsidR="00F01551" w:rsidRDefault="00F01551" w:rsidP="00F01551">
      <w:pPr>
        <w:pStyle w:val="Heading2"/>
      </w:pPr>
      <w:bookmarkStart w:id="6" w:name="_Toc488396642"/>
      <w:bookmarkStart w:id="7" w:name="_Toc488396643"/>
      <w:bookmarkStart w:id="8" w:name="_Toc16767996"/>
      <w:bookmarkEnd w:id="6"/>
      <w:bookmarkEnd w:id="7"/>
      <w:r>
        <w:t>Purpose of th</w:t>
      </w:r>
      <w:r w:rsidR="0091385C">
        <w:t>is report</w:t>
      </w:r>
      <w:bookmarkEnd w:id="8"/>
    </w:p>
    <w:p w14:paraId="1C41A6F0" w14:textId="4E0A8431" w:rsidR="007F123A" w:rsidRDefault="0091385C" w:rsidP="00276037">
      <w:r>
        <w:t xml:space="preserve">This report provides an in-depth assessment of the economic contribution that the </w:t>
      </w:r>
      <w:r w:rsidR="00164BB5">
        <w:t xml:space="preserve">Maritime </w:t>
      </w:r>
      <w:r w:rsidR="00F813E4">
        <w:t>S</w:t>
      </w:r>
      <w:r w:rsidR="00992110">
        <w:t xml:space="preserve">ector </w:t>
      </w:r>
      <w:r>
        <w:t xml:space="preserve">makes to </w:t>
      </w:r>
      <w:r w:rsidR="003236D3">
        <w:t>Scotland’s economy.</w:t>
      </w:r>
      <w:r>
        <w:t xml:space="preserve"> </w:t>
      </w:r>
      <w:r w:rsidR="007F123A">
        <w:t>As such, our analysis combines Cebr’s estimates for the economi</w:t>
      </w:r>
      <w:r w:rsidR="00F813E4">
        <w:t>c contribution of the Maritime S</w:t>
      </w:r>
      <w:r w:rsidR="007F123A">
        <w:t>ector at UK-level with regional analysis and insights in order to produce estimates for Scotland.</w:t>
      </w:r>
      <w:r w:rsidR="00372219">
        <w:t xml:space="preserve"> Scotland is a lead</w:t>
      </w:r>
      <w:r w:rsidR="00F813E4">
        <w:t>ing region for the UK Maritime S</w:t>
      </w:r>
      <w:r w:rsidR="00372219">
        <w:t xml:space="preserve">ector, hosting a number of both major and minor ports, in addition to substantial marine activity supporting the Oil and Gas industry in the North Sea. </w:t>
      </w:r>
    </w:p>
    <w:p w14:paraId="5DDEF80C" w14:textId="5F278648" w:rsidR="007F123A" w:rsidRDefault="007F123A" w:rsidP="00850081">
      <w:pPr>
        <w:rPr>
          <w:rFonts w:eastAsiaTheme="majorEastAsia" w:cstheme="majorBidi"/>
          <w:b/>
          <w:bCs/>
          <w:color w:val="7F7F7F" w:themeColor="text1" w:themeTint="80"/>
          <w:sz w:val="28"/>
          <w:szCs w:val="26"/>
        </w:rPr>
      </w:pPr>
      <w:r>
        <w:t>This study seeks to equip Maritime UK and Scottish Enterprise with statistics and figure</w:t>
      </w:r>
      <w:r w:rsidR="00F813E4">
        <w:t>s on the value of the Maritime S</w:t>
      </w:r>
      <w:r>
        <w:t xml:space="preserve">ector to the Scottish economy. As such, Cebr has focused on the following key economic indicators: </w:t>
      </w:r>
      <w:r w:rsidR="00F813E4">
        <w:t xml:space="preserve">turnover; </w:t>
      </w:r>
      <w:r>
        <w:t xml:space="preserve">Gross Value Added (GVA); </w:t>
      </w:r>
      <w:r w:rsidR="00F813E4">
        <w:t xml:space="preserve">employment; </w:t>
      </w:r>
      <w:r>
        <w:t>the compensation of employees and the Exchequer contribution (through tax revenues raised).</w:t>
      </w:r>
    </w:p>
    <w:p w14:paraId="1C1C1763" w14:textId="7B9534D9" w:rsidR="00CF5DE1" w:rsidRDefault="00CF5DE1" w:rsidP="00CF5DE1">
      <w:pPr>
        <w:pStyle w:val="Heading2"/>
      </w:pPr>
      <w:bookmarkStart w:id="9" w:name="_Toc16767997"/>
      <w:r>
        <w:t>Overview of the study and methodology</w:t>
      </w:r>
      <w:bookmarkEnd w:id="9"/>
    </w:p>
    <w:p w14:paraId="386F3267" w14:textId="2580275B" w:rsidR="00807B19" w:rsidRPr="00A63933" w:rsidRDefault="00807B19" w:rsidP="00D03E97">
      <w:pPr>
        <w:spacing w:after="120"/>
        <w:rPr>
          <w:b/>
        </w:rPr>
      </w:pPr>
      <w:r>
        <w:rPr>
          <w:b/>
        </w:rPr>
        <w:t>Purpose of the study</w:t>
      </w:r>
    </w:p>
    <w:p w14:paraId="11801EC6" w14:textId="36F80F1B" w:rsidR="00C94E19" w:rsidRDefault="00C94E19" w:rsidP="00C94E19">
      <w:r>
        <w:t>This report provides</w:t>
      </w:r>
      <w:r w:rsidRPr="00395486">
        <w:t xml:space="preserve"> </w:t>
      </w:r>
      <w:r>
        <w:t xml:space="preserve">a thorough and comprehensive examination of the role of the </w:t>
      </w:r>
      <w:r w:rsidR="00B327B6">
        <w:t>M</w:t>
      </w:r>
      <w:r>
        <w:t xml:space="preserve">aritime </w:t>
      </w:r>
      <w:r w:rsidR="00F813E4">
        <w:t>S</w:t>
      </w:r>
      <w:r w:rsidR="00B327B6">
        <w:t xml:space="preserve">ector </w:t>
      </w:r>
      <w:r w:rsidR="00F813E4">
        <w:t>in</w:t>
      </w:r>
      <w:r w:rsidR="00A63933">
        <w:t xml:space="preserve"> </w:t>
      </w:r>
      <w:r w:rsidR="008A2611">
        <w:t>Scotland</w:t>
      </w:r>
      <w:r>
        <w:t xml:space="preserve">. It presents a range of analyses demonstrating different aspects of the value contributed by </w:t>
      </w:r>
      <w:r w:rsidR="00313D48">
        <w:t xml:space="preserve">the </w:t>
      </w:r>
      <w:r w:rsidR="00A63933">
        <w:t>M</w:t>
      </w:r>
      <w:r w:rsidR="00313D48">
        <w:t xml:space="preserve">aritime </w:t>
      </w:r>
      <w:r w:rsidR="00F813E4">
        <w:t>S</w:t>
      </w:r>
      <w:r w:rsidR="00DB02D9">
        <w:t>ector</w:t>
      </w:r>
      <w:r>
        <w:t xml:space="preserve">, including direct contributions to GDP and employment, indirect and induced multiplier impacts and </w:t>
      </w:r>
      <w:r w:rsidR="00313D48">
        <w:t>the</w:t>
      </w:r>
      <w:r w:rsidR="00974388">
        <w:t xml:space="preserve"> </w:t>
      </w:r>
      <w:r w:rsidR="00F813E4">
        <w:t>Maritime S</w:t>
      </w:r>
      <w:r w:rsidR="001407F0">
        <w:t xml:space="preserve">ector’s </w:t>
      </w:r>
      <w:r w:rsidR="00313D48">
        <w:t>contribution to the Exchequer through tax revenues</w:t>
      </w:r>
      <w:r w:rsidR="004E588A">
        <w:t xml:space="preserve"> raised</w:t>
      </w:r>
      <w:r w:rsidR="00313D48">
        <w:t xml:space="preserve">. </w:t>
      </w:r>
    </w:p>
    <w:p w14:paraId="053B70E6" w14:textId="7F2FEED1" w:rsidR="00B704F8" w:rsidRDefault="00B704F8" w:rsidP="00930CB8">
      <w:r>
        <w:t xml:space="preserve">An important task has been to develop an in-depth understanding of the </w:t>
      </w:r>
      <w:r w:rsidR="00DB02D9">
        <w:t>M</w:t>
      </w:r>
      <w:r>
        <w:t xml:space="preserve">aritime </w:t>
      </w:r>
      <w:r w:rsidR="00F813E4">
        <w:t>S</w:t>
      </w:r>
      <w:r w:rsidR="001E3A18">
        <w:t xml:space="preserve">ector </w:t>
      </w:r>
      <w:r>
        <w:t xml:space="preserve">both in the UK and </w:t>
      </w:r>
      <w:r w:rsidR="008A2611">
        <w:t>in Scotland</w:t>
      </w:r>
      <w:r>
        <w:t xml:space="preserve">. </w:t>
      </w:r>
      <w:r w:rsidR="00353C19" w:rsidRPr="00353C19">
        <w:t xml:space="preserve">To produce a robust study, it is necessary to interrogate the </w:t>
      </w:r>
      <w:r w:rsidR="00353C19">
        <w:t xml:space="preserve">available </w:t>
      </w:r>
      <w:r w:rsidR="00353C19" w:rsidRPr="00353C19">
        <w:t xml:space="preserve">data to ensure that it captures the full range of activities that should be included in establishing the </w:t>
      </w:r>
      <w:r w:rsidR="00CC6B0B">
        <w:t>aggregate economic</w:t>
      </w:r>
      <w:r w:rsidR="00353C19" w:rsidRPr="00353C19">
        <w:t xml:space="preserve"> ‘footprint’ </w:t>
      </w:r>
      <w:r w:rsidR="00353C19">
        <w:t xml:space="preserve">of the </w:t>
      </w:r>
      <w:r w:rsidR="00DB02D9">
        <w:t>M</w:t>
      </w:r>
      <w:r w:rsidR="00353C19">
        <w:t xml:space="preserve">aritime </w:t>
      </w:r>
      <w:r w:rsidR="00F813E4">
        <w:t>S</w:t>
      </w:r>
      <w:r w:rsidR="00DB02D9">
        <w:t>ector</w:t>
      </w:r>
      <w:r w:rsidR="00353C19">
        <w:t xml:space="preserve"> in </w:t>
      </w:r>
      <w:r w:rsidR="008A2611">
        <w:t>Scotland</w:t>
      </w:r>
      <w:r w:rsidR="00353C19" w:rsidRPr="00353C19">
        <w:t>.</w:t>
      </w:r>
      <w:r w:rsidR="00B7255E">
        <w:t xml:space="preserve"> </w:t>
      </w:r>
      <w:r w:rsidR="00FB3E52">
        <w:t>Following the collation of</w:t>
      </w:r>
      <w:r w:rsidR="00353C19" w:rsidRPr="00353C19">
        <w:t xml:space="preserve"> the necessary data </w:t>
      </w:r>
      <w:r w:rsidR="00FB3E52">
        <w:t>capturing these activities</w:t>
      </w:r>
      <w:r w:rsidR="00353C19" w:rsidRPr="00353C19">
        <w:t xml:space="preserve">, the values of key economic indicators were established to demonstrate the impact of </w:t>
      </w:r>
      <w:r w:rsidR="00353C19">
        <w:t xml:space="preserve">the </w:t>
      </w:r>
      <w:r w:rsidR="00DB02D9">
        <w:t>M</w:t>
      </w:r>
      <w:r w:rsidR="00353C19">
        <w:t xml:space="preserve">aritime </w:t>
      </w:r>
      <w:r w:rsidR="00F813E4">
        <w:t>S</w:t>
      </w:r>
      <w:r w:rsidR="00DB02D9">
        <w:t>ector</w:t>
      </w:r>
      <w:r w:rsidR="00DB02D9" w:rsidRPr="00353C19">
        <w:t xml:space="preserve"> </w:t>
      </w:r>
      <w:r w:rsidR="00353C19">
        <w:t xml:space="preserve">in </w:t>
      </w:r>
      <w:r w:rsidR="008A2611">
        <w:t>Scotland</w:t>
      </w:r>
      <w:r w:rsidR="00353C19" w:rsidRPr="00353C19">
        <w:t xml:space="preserve">. The key </w:t>
      </w:r>
      <w:r w:rsidR="00B36121">
        <w:t xml:space="preserve">macroeconomic </w:t>
      </w:r>
      <w:r w:rsidR="00353C19" w:rsidRPr="00353C19">
        <w:t>indicators include:</w:t>
      </w:r>
    </w:p>
    <w:p w14:paraId="783EDC64" w14:textId="4F40707F" w:rsidR="00F813E4" w:rsidRDefault="00F813E4" w:rsidP="00D27C56">
      <w:pPr>
        <w:pStyle w:val="ListBullet"/>
        <w:numPr>
          <w:ilvl w:val="0"/>
          <w:numId w:val="20"/>
        </w:numPr>
        <w:spacing w:after="120"/>
        <w:ind w:left="360"/>
        <w:rPr>
          <w:rFonts w:ascii="Calibri" w:eastAsia="Microsoft JhengHei" w:hAnsi="Calibri"/>
        </w:rPr>
      </w:pPr>
      <w:r>
        <w:rPr>
          <w:rFonts w:ascii="Calibri" w:eastAsia="Microsoft JhengHei" w:hAnsi="Calibri"/>
        </w:rPr>
        <w:t xml:space="preserve">The value of the turnover of the Scottish Maritime Sector, and the turnover supported in the UK economy through multiplier impacts. </w:t>
      </w:r>
    </w:p>
    <w:p w14:paraId="36682E45" w14:textId="0E552B68" w:rsidR="000043CD" w:rsidRDefault="00353C19" w:rsidP="00D27C56">
      <w:pPr>
        <w:pStyle w:val="ListBullet"/>
        <w:numPr>
          <w:ilvl w:val="0"/>
          <w:numId w:val="20"/>
        </w:numPr>
        <w:spacing w:after="120"/>
        <w:ind w:left="360"/>
        <w:rPr>
          <w:rFonts w:ascii="Calibri" w:eastAsia="Microsoft JhengHei" w:hAnsi="Calibri"/>
        </w:rPr>
      </w:pPr>
      <w:r w:rsidRPr="000043CD">
        <w:rPr>
          <w:rFonts w:ascii="Calibri" w:eastAsia="Microsoft JhengHei" w:hAnsi="Calibri"/>
        </w:rPr>
        <w:lastRenderedPageBreak/>
        <w:t>GVA</w:t>
      </w:r>
      <w:r w:rsidR="00143397" w:rsidRPr="008314E4">
        <w:rPr>
          <w:vertAlign w:val="superscript"/>
        </w:rPr>
        <w:footnoteReference w:id="1"/>
      </w:r>
      <w:r w:rsidRPr="000043CD">
        <w:t xml:space="preserve"> </w:t>
      </w:r>
      <w:r w:rsidRPr="000043CD">
        <w:rPr>
          <w:rFonts w:ascii="Calibri" w:eastAsia="Microsoft JhengHei" w:hAnsi="Calibri"/>
        </w:rPr>
        <w:t xml:space="preserve">contributions to </w:t>
      </w:r>
      <w:r w:rsidR="00CB6F41">
        <w:rPr>
          <w:rFonts w:ascii="Calibri" w:eastAsia="Microsoft JhengHei" w:hAnsi="Calibri"/>
        </w:rPr>
        <w:t>Scottish and</w:t>
      </w:r>
      <w:r w:rsidRPr="000043CD">
        <w:rPr>
          <w:rFonts w:ascii="Calibri" w:eastAsia="Microsoft JhengHei" w:hAnsi="Calibri"/>
        </w:rPr>
        <w:t xml:space="preserve"> UK GDP generated by the </w:t>
      </w:r>
      <w:r w:rsidR="008F5CC3">
        <w:rPr>
          <w:rFonts w:ascii="Calibri" w:eastAsia="Microsoft JhengHei" w:hAnsi="Calibri"/>
        </w:rPr>
        <w:t>M</w:t>
      </w:r>
      <w:r w:rsidR="008F5CC3" w:rsidRPr="000043CD">
        <w:rPr>
          <w:rFonts w:ascii="Calibri" w:eastAsia="Microsoft JhengHei" w:hAnsi="Calibri"/>
        </w:rPr>
        <w:t xml:space="preserve">aritime </w:t>
      </w:r>
      <w:r w:rsidR="00F813E4">
        <w:rPr>
          <w:rFonts w:ascii="Calibri" w:eastAsia="Microsoft JhengHei" w:hAnsi="Calibri"/>
        </w:rPr>
        <w:t>S</w:t>
      </w:r>
      <w:r w:rsidR="002029F8">
        <w:rPr>
          <w:rFonts w:ascii="Calibri" w:eastAsia="Microsoft JhengHei" w:hAnsi="Calibri"/>
        </w:rPr>
        <w:t>ector</w:t>
      </w:r>
      <w:r w:rsidR="00077F62">
        <w:rPr>
          <w:rFonts w:ascii="Calibri" w:eastAsia="Microsoft JhengHei" w:hAnsi="Calibri"/>
        </w:rPr>
        <w:t xml:space="preserve"> </w:t>
      </w:r>
      <w:r w:rsidR="006B33CF">
        <w:rPr>
          <w:rFonts w:ascii="Calibri" w:eastAsia="Microsoft JhengHei" w:hAnsi="Calibri"/>
        </w:rPr>
        <w:t>in Scotland</w:t>
      </w:r>
      <w:r w:rsidRPr="000043CD">
        <w:rPr>
          <w:rFonts w:ascii="Calibri" w:eastAsia="Microsoft JhengHei" w:hAnsi="Calibri"/>
        </w:rPr>
        <w:t xml:space="preserve">, directly and through indirect and induced multiplier impacts. </w:t>
      </w:r>
    </w:p>
    <w:p w14:paraId="5DF70565" w14:textId="6151D54C" w:rsidR="00077F62" w:rsidRPr="00077F62" w:rsidRDefault="00077F62" w:rsidP="00B36121">
      <w:pPr>
        <w:pStyle w:val="ListBullet"/>
        <w:numPr>
          <w:ilvl w:val="0"/>
          <w:numId w:val="20"/>
        </w:numPr>
        <w:spacing w:after="120"/>
        <w:ind w:left="360"/>
        <w:rPr>
          <w:rFonts w:ascii="Calibri" w:eastAsia="Microsoft JhengHei" w:hAnsi="Calibri"/>
        </w:rPr>
      </w:pPr>
      <w:r w:rsidRPr="000043CD">
        <w:rPr>
          <w:rFonts w:ascii="Calibri" w:eastAsia="Microsoft JhengHei" w:hAnsi="Calibri"/>
        </w:rPr>
        <w:t xml:space="preserve">Jobs supported by the </w:t>
      </w:r>
      <w:r w:rsidR="00F813E4">
        <w:rPr>
          <w:rFonts w:ascii="Calibri" w:eastAsia="Microsoft JhengHei" w:hAnsi="Calibri"/>
        </w:rPr>
        <w:t>Scottish Maritime S</w:t>
      </w:r>
      <w:r w:rsidR="006B33CF">
        <w:rPr>
          <w:rFonts w:ascii="Calibri" w:eastAsia="Microsoft JhengHei" w:hAnsi="Calibri"/>
        </w:rPr>
        <w:t>ector</w:t>
      </w:r>
      <w:r w:rsidRPr="000043CD">
        <w:rPr>
          <w:rFonts w:ascii="Calibri" w:eastAsia="Microsoft JhengHei" w:hAnsi="Calibri"/>
        </w:rPr>
        <w:t xml:space="preserve">, including direct, indirect and induced jobs through </w:t>
      </w:r>
      <w:r w:rsidR="006B33CF">
        <w:rPr>
          <w:rFonts w:ascii="Calibri" w:eastAsia="Microsoft JhengHei" w:hAnsi="Calibri"/>
        </w:rPr>
        <w:t>regional</w:t>
      </w:r>
      <w:r>
        <w:rPr>
          <w:rFonts w:ascii="Calibri" w:eastAsia="Microsoft JhengHei" w:hAnsi="Calibri"/>
        </w:rPr>
        <w:t xml:space="preserve"> </w:t>
      </w:r>
      <w:r w:rsidRPr="000043CD">
        <w:rPr>
          <w:rFonts w:ascii="Calibri" w:eastAsia="Microsoft JhengHei" w:hAnsi="Calibri"/>
        </w:rPr>
        <w:t>multiplier impacts.</w:t>
      </w:r>
    </w:p>
    <w:p w14:paraId="35C95EF3" w14:textId="334CC226" w:rsidR="000043CD" w:rsidRPr="000043CD" w:rsidRDefault="00143397" w:rsidP="00B36121">
      <w:pPr>
        <w:pStyle w:val="ListBullet"/>
        <w:numPr>
          <w:ilvl w:val="0"/>
          <w:numId w:val="20"/>
        </w:numPr>
        <w:spacing w:after="120"/>
        <w:ind w:left="360"/>
        <w:rPr>
          <w:rFonts w:ascii="Calibri" w:eastAsia="Microsoft JhengHei" w:hAnsi="Calibri"/>
        </w:rPr>
      </w:pPr>
      <w:r>
        <w:t>The value of employee compensation</w:t>
      </w:r>
      <w:r w:rsidR="00B36121" w:rsidRPr="00B36121">
        <w:rPr>
          <w:vertAlign w:val="superscript"/>
        </w:rPr>
        <w:footnoteReference w:id="2"/>
      </w:r>
      <w:r w:rsidRPr="00B36121">
        <w:rPr>
          <w:vertAlign w:val="superscript"/>
        </w:rPr>
        <w:t xml:space="preserve"> </w:t>
      </w:r>
      <w:r w:rsidR="00930CB8">
        <w:t>supported</w:t>
      </w:r>
      <w:r>
        <w:t xml:space="preserve"> by the </w:t>
      </w:r>
      <w:r w:rsidR="00F813E4">
        <w:t>Scottish Maritime S</w:t>
      </w:r>
      <w:r w:rsidR="006B33CF">
        <w:t>ector</w:t>
      </w:r>
      <w:r w:rsidR="000235FB">
        <w:t xml:space="preserve">, representing the </w:t>
      </w:r>
      <w:r w:rsidR="000C451B">
        <w:t>total remuneration of employees</w:t>
      </w:r>
      <w:r w:rsidR="000235FB">
        <w:t xml:space="preserve">. </w:t>
      </w:r>
    </w:p>
    <w:p w14:paraId="54F65884" w14:textId="7CAF9D51" w:rsidR="00E96786" w:rsidRPr="00077F62" w:rsidRDefault="00E96786" w:rsidP="00B36121">
      <w:pPr>
        <w:pStyle w:val="ListBullet"/>
        <w:numPr>
          <w:ilvl w:val="0"/>
          <w:numId w:val="20"/>
        </w:numPr>
        <w:spacing w:after="120"/>
        <w:ind w:left="360"/>
        <w:rPr>
          <w:rFonts w:ascii="Calibri" w:eastAsia="Microsoft JhengHei" w:hAnsi="Calibri"/>
        </w:rPr>
      </w:pPr>
      <w:r>
        <w:t>The Exchequer co</w:t>
      </w:r>
      <w:r w:rsidR="00077F62">
        <w:t xml:space="preserve">ntribution of </w:t>
      </w:r>
      <w:r w:rsidR="00F813E4">
        <w:t>Scotland’s Maritime S</w:t>
      </w:r>
      <w:r w:rsidR="006B33CF">
        <w:t>ector</w:t>
      </w:r>
      <w:r w:rsidR="00611291">
        <w:t xml:space="preserve"> </w:t>
      </w:r>
      <w:r>
        <w:t>through tax revenues raised</w:t>
      </w:r>
      <w:r w:rsidR="00A63933">
        <w:t>.</w:t>
      </w:r>
    </w:p>
    <w:p w14:paraId="10D816AD" w14:textId="5F9CDEB7" w:rsidR="00077F62" w:rsidRPr="000043CD" w:rsidRDefault="0060705D" w:rsidP="00D27C56">
      <w:pPr>
        <w:pStyle w:val="ListBullet"/>
        <w:numPr>
          <w:ilvl w:val="0"/>
          <w:numId w:val="20"/>
        </w:numPr>
        <w:ind w:left="360"/>
        <w:rPr>
          <w:rFonts w:ascii="Calibri" w:eastAsia="Microsoft JhengHei" w:hAnsi="Calibri"/>
        </w:rPr>
      </w:pPr>
      <w:r>
        <w:rPr>
          <w:rFonts w:ascii="Calibri" w:eastAsia="Microsoft JhengHei" w:hAnsi="Calibri"/>
        </w:rPr>
        <w:t xml:space="preserve">The direct contribution made </w:t>
      </w:r>
      <w:r w:rsidR="00F813E4">
        <w:rPr>
          <w:rFonts w:ascii="Calibri" w:eastAsia="Microsoft JhengHei" w:hAnsi="Calibri"/>
        </w:rPr>
        <w:t>by the Maritime S</w:t>
      </w:r>
      <w:r w:rsidR="006B33CF">
        <w:rPr>
          <w:rFonts w:ascii="Calibri" w:eastAsia="Microsoft JhengHei" w:hAnsi="Calibri"/>
        </w:rPr>
        <w:t xml:space="preserve">ector </w:t>
      </w:r>
      <w:r>
        <w:rPr>
          <w:rFonts w:ascii="Calibri" w:eastAsia="Microsoft JhengHei" w:hAnsi="Calibri"/>
        </w:rPr>
        <w:t xml:space="preserve">through </w:t>
      </w:r>
      <w:r w:rsidR="006B33CF">
        <w:rPr>
          <w:rFonts w:ascii="Calibri" w:eastAsia="Microsoft JhengHei" w:hAnsi="Calibri"/>
        </w:rPr>
        <w:t xml:space="preserve">Scottish </w:t>
      </w:r>
      <w:r>
        <w:rPr>
          <w:rFonts w:ascii="Calibri" w:eastAsia="Microsoft JhengHei" w:hAnsi="Calibri"/>
        </w:rPr>
        <w:t>exports of goods and services.</w:t>
      </w:r>
    </w:p>
    <w:p w14:paraId="79D3B2D4" w14:textId="78CCC4D6" w:rsidR="008C1849" w:rsidRPr="00B137F4" w:rsidRDefault="0010557C" w:rsidP="00930CB8">
      <w:pPr>
        <w:pStyle w:val="Heading3"/>
      </w:pPr>
      <w:r>
        <w:t xml:space="preserve">Mapping the </w:t>
      </w:r>
      <w:r w:rsidR="00FA5B12">
        <w:t xml:space="preserve">UK </w:t>
      </w:r>
      <w:r w:rsidR="00F813E4">
        <w:t>Maritime S</w:t>
      </w:r>
      <w:r>
        <w:t>ector</w:t>
      </w:r>
      <w:r w:rsidR="00D63F2C">
        <w:t xml:space="preserve"> in </w:t>
      </w:r>
      <w:r w:rsidR="00B32685">
        <w:t xml:space="preserve">the UK and </w:t>
      </w:r>
      <w:r w:rsidR="00D63F2C">
        <w:t>Scotland</w:t>
      </w:r>
    </w:p>
    <w:p w14:paraId="2FD26EA6" w14:textId="72ABF1D0" w:rsidR="00685C49" w:rsidRDefault="0010557C" w:rsidP="00384832">
      <w:r>
        <w:t>The first</w:t>
      </w:r>
      <w:r w:rsidR="00245DD9">
        <w:t xml:space="preserve"> st</w:t>
      </w:r>
      <w:r>
        <w:t>age</w:t>
      </w:r>
      <w:r w:rsidR="00245DD9">
        <w:t xml:space="preserve"> of the study has involved mapping </w:t>
      </w:r>
      <w:r w:rsidR="00F813E4">
        <w:t>the activities of the Maritime S</w:t>
      </w:r>
      <w:r w:rsidR="00245DD9">
        <w:t xml:space="preserve">ector against the national accounts framework, in order </w:t>
      </w:r>
      <w:r w:rsidR="00245DD9" w:rsidRPr="00245DD9">
        <w:t>to establish clarity on</w:t>
      </w:r>
      <w:r w:rsidR="00245DD9">
        <w:t xml:space="preserve"> the precise definition of the M</w:t>
      </w:r>
      <w:r w:rsidR="00245DD9" w:rsidRPr="00245DD9">
        <w:t xml:space="preserve">aritime </w:t>
      </w:r>
      <w:r w:rsidR="00F813E4">
        <w:t>S</w:t>
      </w:r>
      <w:r w:rsidR="00245DD9">
        <w:t>ector</w:t>
      </w:r>
      <w:r w:rsidR="00245DD9" w:rsidRPr="00245DD9">
        <w:t xml:space="preserve"> as </w:t>
      </w:r>
      <w:r w:rsidR="00245DD9">
        <w:t>it</w:t>
      </w:r>
      <w:r w:rsidR="00245DD9" w:rsidRPr="00245DD9">
        <w:t xml:space="preserve"> map</w:t>
      </w:r>
      <w:r w:rsidR="00245DD9">
        <w:t>s</w:t>
      </w:r>
      <w:r w:rsidR="00245DD9" w:rsidRPr="00245DD9">
        <w:t xml:space="preserve"> against the Standard Industrial Classification (SIC) framework.</w:t>
      </w:r>
      <w:r w:rsidR="00245DD9" w:rsidRPr="00B137F4">
        <w:rPr>
          <w:vertAlign w:val="superscript"/>
        </w:rPr>
        <w:footnoteReference w:id="3"/>
      </w:r>
      <w:r w:rsidR="005647A6">
        <w:t xml:space="preserve"> </w:t>
      </w:r>
      <w:r w:rsidR="00C202C1">
        <w:t>For most activit</w:t>
      </w:r>
      <w:r w:rsidR="009F2F3A">
        <w:t>ies, particularly those of the s</w:t>
      </w:r>
      <w:r w:rsidR="00C202C1">
        <w:t xml:space="preserve">hipping industry, economic activity can be captured through a particular 3, 4 or 5-digit SIC code. </w:t>
      </w:r>
    </w:p>
    <w:p w14:paraId="135BAF44" w14:textId="61AF005D" w:rsidR="00AC6E58" w:rsidRDefault="00173DF9" w:rsidP="00514A79">
      <w:pPr>
        <w:rPr>
          <w:b/>
        </w:rPr>
      </w:pPr>
      <w:r>
        <w:t>In essence therefore, this involves taking each of the f</w:t>
      </w:r>
      <w:r w:rsidR="00F813E4">
        <w:t xml:space="preserve">ive </w:t>
      </w:r>
      <w:r>
        <w:t>Maritime industries and their constituent activities, and mapping these to the most relevant Standard Industrial Classification (SIC) code in order to identify the activity’s economic data.</w:t>
      </w:r>
      <w:r w:rsidR="00D03E97">
        <w:t xml:space="preserve"> </w:t>
      </w:r>
      <w:r w:rsidR="00C202C1">
        <w:t>For example, “</w:t>
      </w:r>
      <w:r w:rsidR="00C202C1" w:rsidRPr="00C202C1">
        <w:t>Transpor</w:t>
      </w:r>
      <w:r w:rsidR="00C202C1">
        <w:t xml:space="preserve">t of Passengers and International </w:t>
      </w:r>
      <w:r w:rsidR="00C202C1" w:rsidRPr="00C202C1">
        <w:t>Sea Faring</w:t>
      </w:r>
      <w:r w:rsidR="00C202C1">
        <w:t>”, id</w:t>
      </w:r>
      <w:r w:rsidR="00930CB8">
        <w:t>entified as an activity of the s</w:t>
      </w:r>
      <w:r w:rsidR="00C202C1">
        <w:t>hipping industry, can be identified through SIC code 50100</w:t>
      </w:r>
      <w:r w:rsidR="00067329">
        <w:t xml:space="preserve"> within the National Accounts framework</w:t>
      </w:r>
      <w:r w:rsidR="00C202C1">
        <w:t>.</w:t>
      </w:r>
      <w:r w:rsidR="00E85A5B">
        <w:t xml:space="preserve"> However, </w:t>
      </w:r>
      <w:r w:rsidR="00B137F4">
        <w:t>s</w:t>
      </w:r>
      <w:r w:rsidR="00F813E4">
        <w:t>ome Maritime S</w:t>
      </w:r>
      <w:r w:rsidR="005647A6">
        <w:t xml:space="preserve">ector activities </w:t>
      </w:r>
      <w:r w:rsidR="005647A6" w:rsidRPr="005647A6">
        <w:t>do not ma</w:t>
      </w:r>
      <w:r w:rsidR="005647A6">
        <w:t xml:space="preserve">p neatly onto the SIC framework; </w:t>
      </w:r>
      <w:r w:rsidR="00C202C1">
        <w:t xml:space="preserve">this has required Cebr to </w:t>
      </w:r>
      <w:r w:rsidR="005647A6">
        <w:t>draw upon government or industry sources to quantify the contributions made through these activities.</w:t>
      </w:r>
    </w:p>
    <w:p w14:paraId="31E9966E" w14:textId="74FFC5FF" w:rsidR="00AC502A" w:rsidRPr="000A2222" w:rsidRDefault="00AC502A" w:rsidP="00930CB8">
      <w:pPr>
        <w:pStyle w:val="Heading3"/>
      </w:pPr>
      <w:r w:rsidRPr="000A2222">
        <w:t>Data Sources</w:t>
      </w:r>
    </w:p>
    <w:p w14:paraId="0E84EC78" w14:textId="0C4EC2CD" w:rsidR="00C30063" w:rsidRDefault="005647A6" w:rsidP="00384832">
      <w:r>
        <w:t xml:space="preserve">After </w:t>
      </w:r>
      <w:r w:rsidR="00D53342">
        <w:t>completing the mapping of</w:t>
      </w:r>
      <w:r>
        <w:t xml:space="preserve"> </w:t>
      </w:r>
      <w:r w:rsidR="00F813E4">
        <w:t>Maritime S</w:t>
      </w:r>
      <w:r w:rsidR="00D53342">
        <w:t>ector activities, d</w:t>
      </w:r>
      <w:r w:rsidR="0010557C">
        <w:t>ata for the</w:t>
      </w:r>
      <w:r w:rsidR="00FC1297">
        <w:t xml:space="preserve"> </w:t>
      </w:r>
      <w:r w:rsidR="0010557C">
        <w:t xml:space="preserve">macroeconomic </w:t>
      </w:r>
      <w:r w:rsidR="00FC1297">
        <w:t xml:space="preserve">indicators </w:t>
      </w:r>
      <w:r w:rsidR="0010557C">
        <w:t xml:space="preserve">listed above </w:t>
      </w:r>
      <w:r w:rsidR="00FC1297">
        <w:t xml:space="preserve">have been obtained and collated by firstly interrogating the indicators gathered at UK level for the </w:t>
      </w:r>
      <w:r w:rsidR="00F813E4">
        <w:t>Maritime S</w:t>
      </w:r>
      <w:r w:rsidR="00C711C8">
        <w:t>ector</w:t>
      </w:r>
      <w:r w:rsidR="00FC1297">
        <w:t>, and disaggregating this at S</w:t>
      </w:r>
      <w:r w:rsidR="005F43C6">
        <w:t>cottish-</w:t>
      </w:r>
      <w:r w:rsidR="00FC1297">
        <w:t>level using a combination of publicly-available data sources</w:t>
      </w:r>
      <w:r w:rsidR="003E0C81">
        <w:t>, industry sources</w:t>
      </w:r>
      <w:r w:rsidR="00FC1297">
        <w:t xml:space="preserve"> and local estimates. </w:t>
      </w:r>
    </w:p>
    <w:p w14:paraId="2C18F6F7" w14:textId="4DB974A9" w:rsidR="00173DF9" w:rsidRDefault="00F813E4" w:rsidP="00930CB8">
      <w:r>
        <w:t>For those Maritime S</w:t>
      </w:r>
      <w:r w:rsidR="005647A6">
        <w:t>ector activities which are in alignment with the SIC framework and are available on a disaggregated basis, t</w:t>
      </w:r>
      <w:r w:rsidR="0010557C">
        <w:t xml:space="preserve">he main source of information </w:t>
      </w:r>
      <w:r w:rsidR="005647A6">
        <w:t>used in</w:t>
      </w:r>
      <w:r w:rsidR="0010557C">
        <w:t xml:space="preserve"> this study is Bureau van Dijk’s Financial Accounts </w:t>
      </w:r>
      <w:r w:rsidR="0010557C" w:rsidRPr="00930CB8">
        <w:t>Made Easy (FAME) database. FAME provides detailed</w:t>
      </w:r>
      <w:r w:rsidR="0010557C">
        <w:t xml:space="preserve"> information on UK and Irish companies as taken from annual reports and other sources up to the latest available year. FAME has </w:t>
      </w:r>
      <w:r w:rsidR="00173DF9">
        <w:t>been used</w:t>
      </w:r>
      <w:r w:rsidR="0010557C">
        <w:t xml:space="preserve"> to</w:t>
      </w:r>
      <w:r w:rsidR="0010557C" w:rsidRPr="0010557C">
        <w:t xml:space="preserve"> establish the aggregated contribution of </w:t>
      </w:r>
      <w:r w:rsidR="00C30063">
        <w:t xml:space="preserve">businesses in the </w:t>
      </w:r>
      <w:r w:rsidR="0010557C">
        <w:t>Maritime</w:t>
      </w:r>
      <w:r w:rsidR="009F2F3A">
        <w:t xml:space="preserve"> S</w:t>
      </w:r>
      <w:r w:rsidR="00C30063">
        <w:t>ector</w:t>
      </w:r>
      <w:r w:rsidR="0010557C">
        <w:t xml:space="preserve"> </w:t>
      </w:r>
      <w:r w:rsidR="0010557C" w:rsidRPr="0010557C">
        <w:t>to the UK economy in terms of turnov</w:t>
      </w:r>
      <w:r w:rsidR="001140FA">
        <w:t xml:space="preserve">er, employee numbers and </w:t>
      </w:r>
      <w:r w:rsidR="0010557C">
        <w:t>GVA</w:t>
      </w:r>
      <w:r w:rsidR="0010557C" w:rsidRPr="0010557C">
        <w:t xml:space="preserve">. We also evaluate the breakdown of these </w:t>
      </w:r>
      <w:r w:rsidR="005647A6">
        <w:t xml:space="preserve">business </w:t>
      </w:r>
      <w:r w:rsidR="0010557C" w:rsidRPr="0010557C">
        <w:t xml:space="preserve">contributions by SIC industrial sector, using the </w:t>
      </w:r>
      <w:r w:rsidR="00C30063">
        <w:t xml:space="preserve">primary and secondary </w:t>
      </w:r>
      <w:r w:rsidR="0010557C" w:rsidRPr="0010557C">
        <w:t>five-digit UK SIC (2007) code</w:t>
      </w:r>
      <w:r w:rsidR="00C30063">
        <w:t>s</w:t>
      </w:r>
      <w:r w:rsidR="0010557C" w:rsidRPr="0010557C">
        <w:t xml:space="preserve"> </w:t>
      </w:r>
      <w:r w:rsidR="00C30063">
        <w:t>associated with</w:t>
      </w:r>
      <w:r w:rsidR="0010557C" w:rsidRPr="0010557C">
        <w:t xml:space="preserve"> for each company in </w:t>
      </w:r>
      <w:r w:rsidR="0010557C" w:rsidRPr="00930CB8">
        <w:t>FAME</w:t>
      </w:r>
      <w:r w:rsidR="0010557C" w:rsidRPr="0010557C">
        <w:t xml:space="preserve">. </w:t>
      </w:r>
    </w:p>
    <w:p w14:paraId="560BAB75" w14:textId="5674FAC2" w:rsidR="00433556" w:rsidRDefault="00A33947" w:rsidP="00384832">
      <w:r>
        <w:lastRenderedPageBreak/>
        <w:t>To capture the contribution of</w:t>
      </w:r>
      <w:r w:rsidR="006F1701">
        <w:t xml:space="preserve"> those Maritime S</w:t>
      </w:r>
      <w:r w:rsidR="00173DF9">
        <w:t xml:space="preserve">ector activities which do not map neatly across the SIC framework, </w:t>
      </w:r>
      <w:r>
        <w:t xml:space="preserve">and in order to disaggregate the economic contribution of the sector </w:t>
      </w:r>
      <w:r w:rsidR="005F43C6">
        <w:t>in Scotland</w:t>
      </w:r>
      <w:r>
        <w:t xml:space="preserve">, </w:t>
      </w:r>
      <w:r w:rsidR="00173DF9">
        <w:t>a variety of</w:t>
      </w:r>
      <w:r>
        <w:t xml:space="preserve"> other sources have been used</w:t>
      </w:r>
      <w:r w:rsidR="00173DF9">
        <w:t xml:space="preserve">. </w:t>
      </w:r>
      <w:r w:rsidR="00A27132">
        <w:t xml:space="preserve">For the former, the study draws upon insight from </w:t>
      </w:r>
      <w:r w:rsidR="0027436F">
        <w:t>sector bodies</w:t>
      </w:r>
      <w:r w:rsidR="00A27132">
        <w:t xml:space="preserve"> </w:t>
      </w:r>
      <w:r w:rsidR="0027436F">
        <w:t>included</w:t>
      </w:r>
      <w:r w:rsidR="00A27132">
        <w:t xml:space="preserve"> (but not limited to) British Marine, the Society of Maritime Industries (SMI), BEIS and the UK Chamber of Shipping. A full list of identified Marit</w:t>
      </w:r>
      <w:r w:rsidR="004E4364">
        <w:t>ime S</w:t>
      </w:r>
      <w:r w:rsidR="00A27132">
        <w:t>ector activities and</w:t>
      </w:r>
      <w:r w:rsidR="00173DF9">
        <w:t xml:space="preserve"> sources is </w:t>
      </w:r>
      <w:r w:rsidR="005642DD">
        <w:t>set out</w:t>
      </w:r>
      <w:r w:rsidR="000F3E57">
        <w:t xml:space="preserve"> in Section </w:t>
      </w:r>
      <w:r w:rsidR="005F43C6">
        <w:t xml:space="preserve">2 </w:t>
      </w:r>
      <w:r w:rsidR="000F3E57">
        <w:t>of the report.</w:t>
      </w:r>
    </w:p>
    <w:p w14:paraId="487A4B1A" w14:textId="4EC93B83" w:rsidR="009069BE" w:rsidRPr="004A631A" w:rsidRDefault="009069BE" w:rsidP="00930CB8">
      <w:pPr>
        <w:pStyle w:val="Heading3"/>
      </w:pPr>
      <w:r>
        <w:t xml:space="preserve">Quantifying the </w:t>
      </w:r>
      <w:r w:rsidR="00CC6B0B">
        <w:t>aggregate economic</w:t>
      </w:r>
      <w:r w:rsidRPr="004A631A">
        <w:t xml:space="preserve"> impacts</w:t>
      </w:r>
    </w:p>
    <w:p w14:paraId="682C6F13" w14:textId="751B8A83" w:rsidR="005F4464" w:rsidRDefault="009069BE" w:rsidP="006A49B2">
      <w:r>
        <w:t xml:space="preserve">After collation and interrogation, </w:t>
      </w:r>
      <w:r w:rsidR="005F43C6">
        <w:t>the resulting Scottish direct economic impacts</w:t>
      </w:r>
      <w:r w:rsidR="006A49B2">
        <w:t xml:space="preserve"> </w:t>
      </w:r>
      <w:r w:rsidR="00DA7DEB">
        <w:t xml:space="preserve">have </w:t>
      </w:r>
      <w:r w:rsidR="006A49B2">
        <w:t>then been embedded within</w:t>
      </w:r>
      <w:r w:rsidR="006A49B2" w:rsidRPr="006A49B2">
        <w:t xml:space="preserve"> </w:t>
      </w:r>
      <w:r w:rsidR="003E0C81">
        <w:t xml:space="preserve">Cebr’s </w:t>
      </w:r>
      <w:r w:rsidR="006A49B2">
        <w:t xml:space="preserve">regional </w:t>
      </w:r>
      <w:r w:rsidR="003E0C81">
        <w:t xml:space="preserve">economic impacts </w:t>
      </w:r>
      <w:r w:rsidR="006A49B2" w:rsidRPr="006A49B2">
        <w:t xml:space="preserve">models of the UK economy that we use to assess the kinds of impacts that can be associated </w:t>
      </w:r>
      <w:r w:rsidR="006A49B2">
        <w:t xml:space="preserve">with </w:t>
      </w:r>
      <w:r w:rsidR="003E0C81">
        <w:t xml:space="preserve">an entity such as the </w:t>
      </w:r>
      <w:r w:rsidR="005F43C6">
        <w:t xml:space="preserve">Scottish </w:t>
      </w:r>
      <w:r w:rsidR="006F1701">
        <w:t>Maritime S</w:t>
      </w:r>
      <w:r w:rsidR="005F43C6">
        <w:t>ector.</w:t>
      </w:r>
      <w:r w:rsidR="009D7036">
        <w:t xml:space="preserve"> </w:t>
      </w:r>
    </w:p>
    <w:p w14:paraId="430001D3" w14:textId="59F75FE3" w:rsidR="006A49B2" w:rsidRDefault="005F4464" w:rsidP="007C729A">
      <w:r>
        <w:t>Cebr’s</w:t>
      </w:r>
      <w:r w:rsidR="006A49B2">
        <w:t xml:space="preserve"> models establish the relationships between industries through supply chain linkages, as well as industries’ linkages with government, capital investors and the rest of the world (through trade). The models produce three types of impact for four indicators – </w:t>
      </w:r>
      <w:r w:rsidR="00AD0985">
        <w:t>turnover</w:t>
      </w:r>
      <w:r w:rsidR="006A49B2">
        <w:t xml:space="preserve">, GVA, </w:t>
      </w:r>
      <w:r w:rsidR="00674664">
        <w:t xml:space="preserve">the compensation of </w:t>
      </w:r>
      <w:r w:rsidR="006A49B2">
        <w:t>employee</w:t>
      </w:r>
      <w:r w:rsidR="00674664">
        <w:t>s,</w:t>
      </w:r>
      <w:r w:rsidR="006A49B2">
        <w:t xml:space="preserve"> and employment. The three types of impact are:</w:t>
      </w:r>
    </w:p>
    <w:p w14:paraId="60CCEB0C" w14:textId="6A323DBE" w:rsidR="009D7036" w:rsidRPr="00AE687E" w:rsidRDefault="009D7036" w:rsidP="007C729A">
      <w:pPr>
        <w:pStyle w:val="ListBullet"/>
        <w:numPr>
          <w:ilvl w:val="0"/>
          <w:numId w:val="20"/>
        </w:numPr>
        <w:spacing w:after="120"/>
        <w:ind w:left="360"/>
        <w:rPr>
          <w:rFonts w:ascii="Calibri" w:eastAsia="Microsoft JhengHei" w:hAnsi="Calibri"/>
        </w:rPr>
      </w:pPr>
      <w:r w:rsidRPr="00AE687E">
        <w:rPr>
          <w:rFonts w:ascii="Calibri" w:eastAsia="Microsoft JhengHei" w:hAnsi="Calibri"/>
        </w:rPr>
        <w:t>D</w:t>
      </w:r>
      <w:r w:rsidRPr="00AE687E">
        <w:rPr>
          <w:rFonts w:ascii="Calibri" w:eastAsia="Microsoft JhengHei" w:hAnsi="Calibri" w:hint="eastAsia"/>
        </w:rPr>
        <w:t>irect</w:t>
      </w:r>
      <w:r w:rsidR="00346B61">
        <w:rPr>
          <w:rFonts w:ascii="Calibri" w:eastAsia="Microsoft JhengHei" w:hAnsi="Calibri"/>
        </w:rPr>
        <w:t xml:space="preserve"> impact</w:t>
      </w:r>
      <w:r w:rsidRPr="00AE687E">
        <w:rPr>
          <w:rFonts w:ascii="Calibri" w:eastAsia="Microsoft JhengHei" w:hAnsi="Calibri"/>
        </w:rPr>
        <w:t xml:space="preserve">: </w:t>
      </w:r>
      <w:r w:rsidR="00346B61">
        <w:rPr>
          <w:rFonts w:ascii="Calibri" w:eastAsia="Microsoft JhengHei" w:hAnsi="Calibri"/>
        </w:rPr>
        <w:t xml:space="preserve">this is </w:t>
      </w:r>
      <w:r w:rsidRPr="00AE687E">
        <w:rPr>
          <w:rFonts w:ascii="Calibri" w:eastAsia="Microsoft JhengHei" w:hAnsi="Calibri" w:hint="eastAsia"/>
        </w:rPr>
        <w:t xml:space="preserve">the </w:t>
      </w:r>
      <w:r w:rsidRPr="00AE687E">
        <w:rPr>
          <w:rFonts w:ascii="Calibri" w:eastAsia="Microsoft JhengHei" w:hAnsi="Calibri"/>
        </w:rPr>
        <w:t xml:space="preserve">value and jobs supported directly by the economic activities of the </w:t>
      </w:r>
      <w:r w:rsidR="004B7075">
        <w:rPr>
          <w:rFonts w:ascii="Calibri" w:eastAsia="Microsoft JhengHei" w:hAnsi="Calibri"/>
        </w:rPr>
        <w:t>M</w:t>
      </w:r>
      <w:r w:rsidR="004B7075" w:rsidRPr="00AE687E">
        <w:rPr>
          <w:rFonts w:ascii="Calibri" w:eastAsia="Microsoft JhengHei" w:hAnsi="Calibri"/>
        </w:rPr>
        <w:t xml:space="preserve">aritime </w:t>
      </w:r>
      <w:r w:rsidR="006F1701">
        <w:rPr>
          <w:rFonts w:ascii="Calibri" w:eastAsia="Microsoft JhengHei" w:hAnsi="Calibri"/>
        </w:rPr>
        <w:t>S</w:t>
      </w:r>
      <w:r w:rsidR="00AE236F">
        <w:rPr>
          <w:rFonts w:ascii="Calibri" w:eastAsia="Microsoft JhengHei" w:hAnsi="Calibri"/>
        </w:rPr>
        <w:t>ector</w:t>
      </w:r>
      <w:r w:rsidR="00AE236F" w:rsidRPr="00AE687E">
        <w:rPr>
          <w:rFonts w:ascii="Calibri" w:eastAsia="Microsoft JhengHei" w:hAnsi="Calibri"/>
        </w:rPr>
        <w:t xml:space="preserve"> </w:t>
      </w:r>
      <w:r w:rsidRPr="00AE687E">
        <w:rPr>
          <w:rFonts w:ascii="Calibri" w:eastAsia="Microsoft JhengHei" w:hAnsi="Calibri"/>
        </w:rPr>
        <w:t xml:space="preserve">in </w:t>
      </w:r>
      <w:r w:rsidR="00A7214B">
        <w:rPr>
          <w:rFonts w:ascii="Calibri" w:eastAsia="Microsoft JhengHei" w:hAnsi="Calibri"/>
        </w:rPr>
        <w:t>Scotland</w:t>
      </w:r>
      <w:r w:rsidRPr="00AE687E">
        <w:rPr>
          <w:rFonts w:ascii="Calibri" w:eastAsia="Microsoft JhengHei" w:hAnsi="Calibri"/>
        </w:rPr>
        <w:t>.</w:t>
      </w:r>
    </w:p>
    <w:p w14:paraId="04B58C6A" w14:textId="24778F59" w:rsidR="009D7036" w:rsidRPr="00AE687E" w:rsidRDefault="009D7036" w:rsidP="007C729A">
      <w:pPr>
        <w:pStyle w:val="ListBullet"/>
        <w:numPr>
          <w:ilvl w:val="0"/>
          <w:numId w:val="20"/>
        </w:numPr>
        <w:spacing w:after="120"/>
        <w:ind w:left="360"/>
        <w:rPr>
          <w:rFonts w:ascii="Calibri" w:eastAsia="Microsoft JhengHei" w:hAnsi="Calibri"/>
        </w:rPr>
      </w:pPr>
      <w:r w:rsidRPr="00AE687E">
        <w:rPr>
          <w:rFonts w:ascii="Calibri" w:eastAsia="Microsoft JhengHei" w:hAnsi="Calibri"/>
        </w:rPr>
        <w:t>I</w:t>
      </w:r>
      <w:r w:rsidRPr="00AE687E">
        <w:rPr>
          <w:rFonts w:ascii="Calibri" w:eastAsia="Microsoft JhengHei" w:hAnsi="Calibri" w:hint="eastAsia"/>
        </w:rPr>
        <w:t>ndirect</w:t>
      </w:r>
      <w:r w:rsidR="00346B61">
        <w:rPr>
          <w:rFonts w:ascii="Calibri" w:eastAsia="Microsoft JhengHei" w:hAnsi="Calibri"/>
        </w:rPr>
        <w:t xml:space="preserve"> impact</w:t>
      </w:r>
      <w:r w:rsidRPr="00AE687E">
        <w:rPr>
          <w:rFonts w:ascii="Calibri" w:eastAsia="Microsoft JhengHei" w:hAnsi="Calibri"/>
        </w:rPr>
        <w:t>:</w:t>
      </w:r>
      <w:r w:rsidRPr="00AE687E">
        <w:rPr>
          <w:rFonts w:ascii="Calibri" w:eastAsia="Microsoft JhengHei" w:hAnsi="Calibri" w:hint="eastAsia"/>
        </w:rPr>
        <w:t xml:space="preserve"> </w:t>
      </w:r>
      <w:r w:rsidR="00346B61">
        <w:rPr>
          <w:rFonts w:ascii="Calibri" w:eastAsia="Microsoft JhengHei" w:hAnsi="Calibri"/>
        </w:rPr>
        <w:t xml:space="preserve">this is </w:t>
      </w:r>
      <w:r w:rsidRPr="00AE687E">
        <w:rPr>
          <w:rFonts w:ascii="Calibri" w:eastAsia="Microsoft JhengHei" w:hAnsi="Calibri"/>
        </w:rPr>
        <w:t xml:space="preserve">the value and jobs supported in industries that supply inputs to </w:t>
      </w:r>
      <w:r w:rsidR="006F1701">
        <w:rPr>
          <w:rFonts w:ascii="Calibri" w:eastAsia="Microsoft JhengHei" w:hAnsi="Calibri"/>
        </w:rPr>
        <w:t>Scotland’s Maritime S</w:t>
      </w:r>
      <w:r w:rsidR="00A7214B">
        <w:rPr>
          <w:rFonts w:ascii="Calibri" w:eastAsia="Microsoft JhengHei" w:hAnsi="Calibri"/>
        </w:rPr>
        <w:t>ector</w:t>
      </w:r>
      <w:r w:rsidRPr="00AE687E">
        <w:rPr>
          <w:rFonts w:ascii="Calibri" w:eastAsia="Microsoft JhengHei" w:hAnsi="Calibri"/>
        </w:rPr>
        <w:t>.</w:t>
      </w:r>
    </w:p>
    <w:p w14:paraId="3CAD58D8" w14:textId="19C2FD56" w:rsidR="009D7036" w:rsidRPr="00AE687E" w:rsidRDefault="009D7036" w:rsidP="007C729A">
      <w:pPr>
        <w:pStyle w:val="ListBullet"/>
        <w:numPr>
          <w:ilvl w:val="0"/>
          <w:numId w:val="20"/>
        </w:numPr>
        <w:ind w:left="360"/>
        <w:rPr>
          <w:rFonts w:ascii="Calibri" w:eastAsia="Microsoft JhengHei" w:hAnsi="Calibri"/>
        </w:rPr>
      </w:pPr>
      <w:r w:rsidRPr="00AE687E">
        <w:rPr>
          <w:rFonts w:ascii="Calibri" w:eastAsia="Microsoft JhengHei" w:hAnsi="Calibri"/>
        </w:rPr>
        <w:t>I</w:t>
      </w:r>
      <w:r w:rsidRPr="00AE687E">
        <w:rPr>
          <w:rFonts w:ascii="Calibri" w:eastAsia="Microsoft JhengHei" w:hAnsi="Calibri" w:hint="eastAsia"/>
        </w:rPr>
        <w:t>nduced</w:t>
      </w:r>
      <w:r w:rsidRPr="00AE687E">
        <w:rPr>
          <w:rFonts w:ascii="Calibri" w:eastAsia="Microsoft JhengHei" w:hAnsi="Calibri"/>
        </w:rPr>
        <w:t>:</w:t>
      </w:r>
      <w:r w:rsidRPr="00AE687E">
        <w:rPr>
          <w:rFonts w:ascii="Calibri" w:eastAsia="Microsoft JhengHei" w:hAnsi="Calibri" w:hint="eastAsia"/>
        </w:rPr>
        <w:t xml:space="preserve"> </w:t>
      </w:r>
      <w:r w:rsidR="00346B61">
        <w:rPr>
          <w:rFonts w:ascii="Calibri" w:eastAsia="Microsoft JhengHei" w:hAnsi="Calibri"/>
        </w:rPr>
        <w:t xml:space="preserve">this is </w:t>
      </w:r>
      <w:r w:rsidRPr="00AE687E">
        <w:rPr>
          <w:rFonts w:ascii="Calibri" w:eastAsia="Microsoft JhengHei" w:hAnsi="Calibri"/>
        </w:rPr>
        <w:t xml:space="preserve">the value and jobs supported in the wider economy when the direct and indirect employees of </w:t>
      </w:r>
      <w:r w:rsidR="00BC1719" w:rsidRPr="00AE687E">
        <w:rPr>
          <w:rFonts w:ascii="Calibri" w:eastAsia="Microsoft JhengHei" w:hAnsi="Calibri"/>
        </w:rPr>
        <w:t xml:space="preserve">the </w:t>
      </w:r>
      <w:r w:rsidR="00966649">
        <w:rPr>
          <w:rFonts w:ascii="Calibri" w:eastAsia="Microsoft JhengHei" w:hAnsi="Calibri"/>
        </w:rPr>
        <w:t>M</w:t>
      </w:r>
      <w:r w:rsidR="00BC1719" w:rsidRPr="00AE687E">
        <w:rPr>
          <w:rFonts w:ascii="Calibri" w:eastAsia="Microsoft JhengHei" w:hAnsi="Calibri"/>
        </w:rPr>
        <w:t xml:space="preserve">aritime </w:t>
      </w:r>
      <w:r w:rsidR="006F1701">
        <w:rPr>
          <w:rFonts w:ascii="Calibri" w:eastAsia="Microsoft JhengHei" w:hAnsi="Calibri"/>
        </w:rPr>
        <w:t>S</w:t>
      </w:r>
      <w:r w:rsidR="00AE236F">
        <w:rPr>
          <w:rFonts w:ascii="Calibri" w:eastAsia="Microsoft JhengHei" w:hAnsi="Calibri"/>
        </w:rPr>
        <w:t>ector</w:t>
      </w:r>
      <w:r w:rsidR="00AE236F" w:rsidRPr="00AE687E">
        <w:rPr>
          <w:rFonts w:ascii="Calibri" w:eastAsia="Microsoft JhengHei" w:hAnsi="Calibri"/>
        </w:rPr>
        <w:t xml:space="preserve"> </w:t>
      </w:r>
      <w:r w:rsidR="00A7214B">
        <w:rPr>
          <w:rFonts w:ascii="Calibri" w:eastAsia="Microsoft JhengHei" w:hAnsi="Calibri"/>
        </w:rPr>
        <w:t xml:space="preserve">in Scotland </w:t>
      </w:r>
      <w:r w:rsidRPr="00AE687E">
        <w:rPr>
          <w:rFonts w:ascii="Calibri" w:eastAsia="Microsoft JhengHei" w:hAnsi="Calibri" w:hint="eastAsia"/>
        </w:rPr>
        <w:t>spend</w:t>
      </w:r>
      <w:r w:rsidRPr="00AE687E">
        <w:rPr>
          <w:rFonts w:ascii="Calibri" w:eastAsia="Microsoft JhengHei" w:hAnsi="Calibri"/>
        </w:rPr>
        <w:t xml:space="preserve"> their wages and salaries on final goods and services. </w:t>
      </w:r>
    </w:p>
    <w:p w14:paraId="442D001A" w14:textId="22A27CC9" w:rsidR="00CF5DE1" w:rsidRDefault="004E1133" w:rsidP="00F128F1">
      <w:r>
        <w:t xml:space="preserve">These three impacts are then combined to convey the </w:t>
      </w:r>
      <w:r w:rsidR="00CC6B0B">
        <w:t>aggregate impact</w:t>
      </w:r>
      <w:r>
        <w:t xml:space="preserve"> associated with each Maritime industry in terms of </w:t>
      </w:r>
      <w:r w:rsidR="00A7214B">
        <w:t xml:space="preserve">business turnover, </w:t>
      </w:r>
      <w:r>
        <w:t xml:space="preserve">GVA, employment and the compensation of employees. </w:t>
      </w:r>
      <w:r w:rsidR="00CF5DE1">
        <w:t xml:space="preserve">Cebr has </w:t>
      </w:r>
      <w:r w:rsidR="008A2611">
        <w:t xml:space="preserve">broadly </w:t>
      </w:r>
      <w:r w:rsidR="00CF5DE1">
        <w:t xml:space="preserve">taken a ‘top-down’ approach to estimate the direct impacts of </w:t>
      </w:r>
      <w:r w:rsidR="004E588A">
        <w:t xml:space="preserve">the </w:t>
      </w:r>
      <w:r w:rsidR="00CF5DE1">
        <w:t xml:space="preserve">four </w:t>
      </w:r>
      <w:r w:rsidR="004E588A">
        <w:t xml:space="preserve">Maritime industries </w:t>
      </w:r>
      <w:r w:rsidR="00CF5DE1">
        <w:t xml:space="preserve">within </w:t>
      </w:r>
      <w:r w:rsidR="00FA50CD">
        <w:t>Scotland</w:t>
      </w:r>
      <w:r w:rsidR="00CF5DE1">
        <w:t xml:space="preserve">. In effect, this involves taking the UK direct impacts of each </w:t>
      </w:r>
      <w:r w:rsidR="00346B61">
        <w:t>defined</w:t>
      </w:r>
      <w:r w:rsidR="00700F14">
        <w:t xml:space="preserve"> </w:t>
      </w:r>
      <w:r w:rsidR="004E588A">
        <w:t>M</w:t>
      </w:r>
      <w:r w:rsidR="00CF5DE1">
        <w:t>aritime industry and applying relevant ratios from publicly</w:t>
      </w:r>
      <w:r w:rsidR="005B7CB8">
        <w:t>-</w:t>
      </w:r>
      <w:r w:rsidR="00CF5DE1">
        <w:t>available data sources such as the UK Business Register and Employment Survey (BRES</w:t>
      </w:r>
      <w:r w:rsidR="00700F14">
        <w:t xml:space="preserve">) </w:t>
      </w:r>
      <w:r w:rsidR="00CF5DE1">
        <w:t xml:space="preserve">– as well as private data sources such as Bureau </w:t>
      </w:r>
      <w:r w:rsidR="00CF5DE1" w:rsidRPr="00930CB8">
        <w:t>Van Dijk’s Financial Accounts Made Easy (FAME) database</w:t>
      </w:r>
      <w:r w:rsidR="00CF5DE1">
        <w:t xml:space="preserve"> – in order to attribute the contribution from </w:t>
      </w:r>
      <w:r w:rsidR="009F2F3A">
        <w:t>the Maritime S</w:t>
      </w:r>
      <w:r w:rsidR="00FA50CD">
        <w:t>ector in Scotland</w:t>
      </w:r>
      <w:r w:rsidR="00CF5DE1">
        <w:t>.</w:t>
      </w:r>
    </w:p>
    <w:p w14:paraId="282285C2" w14:textId="65D223E2" w:rsidR="004940CE" w:rsidRDefault="004940CE" w:rsidP="004940CE">
      <w:r>
        <w:t>For each of the f</w:t>
      </w:r>
      <w:r w:rsidR="006F1701">
        <w:t>ive</w:t>
      </w:r>
      <w:r>
        <w:t xml:space="preserve"> </w:t>
      </w:r>
      <w:r w:rsidR="00F128F1">
        <w:t xml:space="preserve">Maritime </w:t>
      </w:r>
      <w:r w:rsidR="001D2F8A">
        <w:t>industries</w:t>
      </w:r>
      <w:r>
        <w:t xml:space="preserve">, the direct impacts are then combined with the regional economic multipliers provided by Cebr’s </w:t>
      </w:r>
      <w:r w:rsidR="00346B61">
        <w:t xml:space="preserve">suite of regional </w:t>
      </w:r>
      <w:r>
        <w:t>input-output models</w:t>
      </w:r>
      <w:r w:rsidR="00F51821">
        <w:t xml:space="preserve"> for</w:t>
      </w:r>
      <w:r w:rsidR="00F128F1">
        <w:t xml:space="preserve"> Scotland</w:t>
      </w:r>
      <w:r w:rsidR="00F51821">
        <w:t>, in order</w:t>
      </w:r>
      <w:r>
        <w:t xml:space="preserve"> to </w:t>
      </w:r>
      <w:r w:rsidR="00F51821">
        <w:t xml:space="preserve">then </w:t>
      </w:r>
      <w:r>
        <w:t xml:space="preserve">generate indirect, induced and subsequently </w:t>
      </w:r>
      <w:r w:rsidR="00CC6B0B">
        <w:t>aggregate impact</w:t>
      </w:r>
      <w:r>
        <w:t xml:space="preserve">s. </w:t>
      </w:r>
    </w:p>
    <w:p w14:paraId="5070032C" w14:textId="77777777" w:rsidR="00763374" w:rsidRDefault="00763374" w:rsidP="00763374">
      <w:pPr>
        <w:pStyle w:val="Heading2"/>
      </w:pPr>
      <w:bookmarkStart w:id="10" w:name="_Toc486495366"/>
      <w:bookmarkStart w:id="11" w:name="_Toc486495424"/>
      <w:bookmarkStart w:id="12" w:name="_Toc16767998"/>
      <w:bookmarkEnd w:id="10"/>
      <w:bookmarkEnd w:id="11"/>
      <w:r>
        <w:t>Structure of the report</w:t>
      </w:r>
      <w:bookmarkEnd w:id="12"/>
    </w:p>
    <w:p w14:paraId="74368D51" w14:textId="77777777" w:rsidR="00763374" w:rsidRDefault="00763374" w:rsidP="00763374">
      <w:r>
        <w:t>The remainder of the report is structured as follows:</w:t>
      </w:r>
    </w:p>
    <w:p w14:paraId="2F1E2314" w14:textId="7184954B" w:rsidR="00081408" w:rsidRDefault="00081408" w:rsidP="008D7CA8">
      <w:pPr>
        <w:pStyle w:val="ListBullet"/>
        <w:numPr>
          <w:ilvl w:val="0"/>
          <w:numId w:val="25"/>
        </w:numPr>
        <w:spacing w:after="120"/>
        <w:ind w:left="360"/>
        <w:rPr>
          <w:rFonts w:ascii="Calibri" w:eastAsia="Microsoft JhengHei" w:hAnsi="Calibri"/>
        </w:rPr>
      </w:pPr>
      <w:r>
        <w:rPr>
          <w:rFonts w:ascii="Calibri" w:eastAsia="Microsoft JhengHei" w:hAnsi="Calibri"/>
        </w:rPr>
        <w:t xml:space="preserve">Section </w:t>
      </w:r>
      <w:r w:rsidR="00DB110C">
        <w:rPr>
          <w:rFonts w:ascii="Calibri" w:eastAsia="Microsoft JhengHei" w:hAnsi="Calibri"/>
        </w:rPr>
        <w:t xml:space="preserve">2 </w:t>
      </w:r>
      <w:r w:rsidR="006F1701">
        <w:rPr>
          <w:rFonts w:ascii="Calibri" w:eastAsia="Microsoft JhengHei" w:hAnsi="Calibri"/>
        </w:rPr>
        <w:t>sets out how the Maritime S</w:t>
      </w:r>
      <w:r w:rsidR="00930CB8">
        <w:rPr>
          <w:rFonts w:ascii="Calibri" w:eastAsia="Microsoft JhengHei" w:hAnsi="Calibri"/>
        </w:rPr>
        <w:t>ector has</w:t>
      </w:r>
      <w:r>
        <w:rPr>
          <w:rFonts w:ascii="Calibri" w:eastAsia="Microsoft JhengHei" w:hAnsi="Calibri"/>
        </w:rPr>
        <w:t xml:space="preserve"> been defined and identified </w:t>
      </w:r>
      <w:r w:rsidR="00DB110C">
        <w:rPr>
          <w:rFonts w:ascii="Calibri" w:eastAsia="Microsoft JhengHei" w:hAnsi="Calibri"/>
        </w:rPr>
        <w:t xml:space="preserve">within Scotland </w:t>
      </w:r>
      <w:r>
        <w:rPr>
          <w:rFonts w:ascii="Calibri" w:eastAsia="Microsoft JhengHei" w:hAnsi="Calibri"/>
        </w:rPr>
        <w:t>for the purposes of this study.</w:t>
      </w:r>
    </w:p>
    <w:p w14:paraId="6BD85090" w14:textId="6FCB02CF" w:rsidR="00763374" w:rsidRPr="00B86153" w:rsidRDefault="00763374" w:rsidP="008D7CA8">
      <w:pPr>
        <w:pStyle w:val="ListBullet"/>
        <w:numPr>
          <w:ilvl w:val="0"/>
          <w:numId w:val="25"/>
        </w:numPr>
        <w:spacing w:after="120"/>
        <w:ind w:left="360"/>
        <w:rPr>
          <w:rFonts w:ascii="Calibri" w:eastAsia="Microsoft JhengHei" w:hAnsi="Calibri"/>
        </w:rPr>
      </w:pPr>
      <w:r w:rsidRPr="00B86153">
        <w:rPr>
          <w:rFonts w:ascii="Calibri" w:eastAsia="Microsoft JhengHei" w:hAnsi="Calibri"/>
        </w:rPr>
        <w:t xml:space="preserve">Section </w:t>
      </w:r>
      <w:r w:rsidR="00DB110C">
        <w:rPr>
          <w:rFonts w:ascii="Calibri" w:eastAsia="Microsoft JhengHei" w:hAnsi="Calibri"/>
        </w:rPr>
        <w:t>3</w:t>
      </w:r>
      <w:r w:rsidR="00DB110C" w:rsidRPr="00B86153">
        <w:rPr>
          <w:rFonts w:ascii="Calibri" w:eastAsia="Microsoft JhengHei" w:hAnsi="Calibri"/>
        </w:rPr>
        <w:t xml:space="preserve"> </w:t>
      </w:r>
      <w:r w:rsidRPr="00B86153">
        <w:rPr>
          <w:rFonts w:ascii="Calibri" w:eastAsia="Microsoft JhengHei" w:hAnsi="Calibri"/>
        </w:rPr>
        <w:t xml:space="preserve">outlines the direct economic impacts of the </w:t>
      </w:r>
      <w:r w:rsidR="009D5D3A">
        <w:rPr>
          <w:rFonts w:ascii="Calibri" w:eastAsia="Microsoft JhengHei" w:hAnsi="Calibri"/>
        </w:rPr>
        <w:t>M</w:t>
      </w:r>
      <w:r w:rsidRPr="00B86153">
        <w:rPr>
          <w:rFonts w:ascii="Calibri" w:eastAsia="Microsoft JhengHei" w:hAnsi="Calibri"/>
        </w:rPr>
        <w:t xml:space="preserve">aritime </w:t>
      </w:r>
      <w:r w:rsidR="006F1701">
        <w:rPr>
          <w:rFonts w:ascii="Calibri" w:eastAsia="Microsoft JhengHei" w:hAnsi="Calibri"/>
        </w:rPr>
        <w:t>S</w:t>
      </w:r>
      <w:r w:rsidR="006100D2">
        <w:rPr>
          <w:rFonts w:ascii="Calibri" w:eastAsia="Microsoft JhengHei" w:hAnsi="Calibri"/>
        </w:rPr>
        <w:t>ector</w:t>
      </w:r>
      <w:r w:rsidR="00DB559E">
        <w:rPr>
          <w:rFonts w:ascii="Calibri" w:eastAsia="Microsoft JhengHei" w:hAnsi="Calibri"/>
        </w:rPr>
        <w:t xml:space="preserve"> within Scotland</w:t>
      </w:r>
      <w:r w:rsidRPr="00B86153">
        <w:rPr>
          <w:rFonts w:ascii="Calibri" w:eastAsia="Microsoft JhengHei" w:hAnsi="Calibri"/>
        </w:rPr>
        <w:t xml:space="preserve">. We consider </w:t>
      </w:r>
      <w:r w:rsidR="00AD1223">
        <w:rPr>
          <w:rFonts w:ascii="Calibri" w:eastAsia="Microsoft JhengHei" w:hAnsi="Calibri"/>
        </w:rPr>
        <w:t>the direct impacts through</w:t>
      </w:r>
      <w:r w:rsidR="006F1701">
        <w:rPr>
          <w:rFonts w:ascii="Calibri" w:eastAsia="Microsoft JhengHei" w:hAnsi="Calibri"/>
        </w:rPr>
        <w:t xml:space="preserve"> turnover,</w:t>
      </w:r>
      <w:r w:rsidR="00AD1223">
        <w:rPr>
          <w:rFonts w:ascii="Calibri" w:eastAsia="Microsoft JhengHei" w:hAnsi="Calibri"/>
        </w:rPr>
        <w:t xml:space="preserve"> </w:t>
      </w:r>
      <w:r w:rsidRPr="00B86153">
        <w:rPr>
          <w:rFonts w:ascii="Calibri" w:eastAsia="Microsoft JhengHei" w:hAnsi="Calibri"/>
        </w:rPr>
        <w:t xml:space="preserve">GVA, employment, </w:t>
      </w:r>
      <w:r w:rsidR="00AD1223">
        <w:rPr>
          <w:rFonts w:ascii="Calibri" w:eastAsia="Microsoft JhengHei" w:hAnsi="Calibri"/>
        </w:rPr>
        <w:t xml:space="preserve">the </w:t>
      </w:r>
      <w:r w:rsidRPr="00B86153">
        <w:rPr>
          <w:rFonts w:ascii="Calibri" w:eastAsia="Microsoft JhengHei" w:hAnsi="Calibri"/>
        </w:rPr>
        <w:t>compensation of employees</w:t>
      </w:r>
      <w:r w:rsidR="00AD1223">
        <w:rPr>
          <w:rFonts w:ascii="Calibri" w:eastAsia="Microsoft JhengHei" w:hAnsi="Calibri"/>
        </w:rPr>
        <w:t>,</w:t>
      </w:r>
      <w:r w:rsidRPr="00B86153">
        <w:rPr>
          <w:rFonts w:ascii="Calibri" w:eastAsia="Microsoft JhengHei" w:hAnsi="Calibri"/>
        </w:rPr>
        <w:t xml:space="preserve"> and contribution to the </w:t>
      </w:r>
      <w:r w:rsidR="00AD1223">
        <w:rPr>
          <w:rFonts w:ascii="Calibri" w:eastAsia="Microsoft JhengHei" w:hAnsi="Calibri"/>
        </w:rPr>
        <w:t>UK E</w:t>
      </w:r>
      <w:r w:rsidRPr="00B86153">
        <w:rPr>
          <w:rFonts w:ascii="Calibri" w:eastAsia="Microsoft JhengHei" w:hAnsi="Calibri"/>
        </w:rPr>
        <w:t>xchequer</w:t>
      </w:r>
      <w:r w:rsidR="00AD1223">
        <w:rPr>
          <w:rFonts w:ascii="Calibri" w:eastAsia="Microsoft JhengHei" w:hAnsi="Calibri"/>
        </w:rPr>
        <w:t xml:space="preserve"> through tax revenues contributed by the </w:t>
      </w:r>
      <w:r w:rsidR="00DB559E">
        <w:rPr>
          <w:rFonts w:ascii="Calibri" w:eastAsia="Microsoft JhengHei" w:hAnsi="Calibri"/>
        </w:rPr>
        <w:t>sector</w:t>
      </w:r>
      <w:r w:rsidR="00AD1223">
        <w:rPr>
          <w:rFonts w:ascii="Calibri" w:eastAsia="Microsoft JhengHei" w:hAnsi="Calibri"/>
        </w:rPr>
        <w:t xml:space="preserve">. </w:t>
      </w:r>
    </w:p>
    <w:p w14:paraId="19B7C755" w14:textId="22099322" w:rsidR="00763374" w:rsidRDefault="00763374" w:rsidP="00850081">
      <w:pPr>
        <w:pStyle w:val="ListBullet"/>
        <w:numPr>
          <w:ilvl w:val="0"/>
          <w:numId w:val="25"/>
        </w:numPr>
        <w:ind w:left="360"/>
      </w:pPr>
      <w:r w:rsidRPr="00E55D49">
        <w:rPr>
          <w:rFonts w:ascii="Calibri" w:eastAsia="Microsoft JhengHei" w:hAnsi="Calibri"/>
        </w:rPr>
        <w:t xml:space="preserve">Section </w:t>
      </w:r>
      <w:r w:rsidR="00DB110C" w:rsidRPr="00E55D49">
        <w:rPr>
          <w:rFonts w:ascii="Calibri" w:eastAsia="Microsoft JhengHei" w:hAnsi="Calibri"/>
        </w:rPr>
        <w:t xml:space="preserve">4 </w:t>
      </w:r>
      <w:r w:rsidRPr="00B21C28">
        <w:rPr>
          <w:rFonts w:ascii="Calibri" w:eastAsia="Microsoft JhengHei" w:hAnsi="Calibri"/>
        </w:rPr>
        <w:t xml:space="preserve">considers the multiplier impacts of the </w:t>
      </w:r>
      <w:r w:rsidR="009D5D3A" w:rsidRPr="00B21C28">
        <w:rPr>
          <w:rFonts w:ascii="Calibri" w:eastAsia="Microsoft JhengHei" w:hAnsi="Calibri"/>
        </w:rPr>
        <w:t xml:space="preserve">Maritime </w:t>
      </w:r>
      <w:r w:rsidR="006F1701">
        <w:rPr>
          <w:rFonts w:ascii="Calibri" w:eastAsia="Microsoft JhengHei" w:hAnsi="Calibri"/>
        </w:rPr>
        <w:t>S</w:t>
      </w:r>
      <w:r w:rsidR="006100D2" w:rsidRPr="00850081">
        <w:rPr>
          <w:rFonts w:ascii="Calibri" w:eastAsia="Microsoft JhengHei" w:hAnsi="Calibri"/>
        </w:rPr>
        <w:t>ector</w:t>
      </w:r>
      <w:r w:rsidR="00081408" w:rsidRPr="00850081">
        <w:rPr>
          <w:rFonts w:ascii="Calibri" w:eastAsia="Microsoft JhengHei" w:hAnsi="Calibri"/>
        </w:rPr>
        <w:t xml:space="preserve"> </w:t>
      </w:r>
      <w:r w:rsidR="001C2819" w:rsidRPr="00850081">
        <w:rPr>
          <w:rFonts w:ascii="Calibri" w:eastAsia="Microsoft JhengHei" w:hAnsi="Calibri"/>
        </w:rPr>
        <w:t>in Scotland</w:t>
      </w:r>
      <w:r w:rsidR="006100D2" w:rsidRPr="00850081">
        <w:rPr>
          <w:rFonts w:ascii="Calibri" w:eastAsia="Microsoft JhengHei" w:hAnsi="Calibri"/>
        </w:rPr>
        <w:t xml:space="preserve"> </w:t>
      </w:r>
      <w:r>
        <w:t xml:space="preserve">through the activities it stimulates in </w:t>
      </w:r>
      <w:r w:rsidR="00AD1223">
        <w:t>the local</w:t>
      </w:r>
      <w:r>
        <w:t xml:space="preserve"> supply chain and in the wider economy when </w:t>
      </w:r>
      <w:r w:rsidR="00AD1223">
        <w:t>employees</w:t>
      </w:r>
      <w:r>
        <w:t xml:space="preserve"> direct</w:t>
      </w:r>
      <w:r w:rsidR="00AD1223">
        <w:t>ly</w:t>
      </w:r>
      <w:r>
        <w:t xml:space="preserve"> and indirect</w:t>
      </w:r>
      <w:r w:rsidR="00AD1223">
        <w:t>ly</w:t>
      </w:r>
      <w:r>
        <w:t xml:space="preserve"> </w:t>
      </w:r>
      <w:r w:rsidR="00AD1223">
        <w:t xml:space="preserve">employed by the </w:t>
      </w:r>
      <w:r w:rsidR="006F1701">
        <w:t>Scottish Maritime S</w:t>
      </w:r>
      <w:r w:rsidR="001C2819">
        <w:t xml:space="preserve">ector </w:t>
      </w:r>
      <w:r>
        <w:t xml:space="preserve">spend their wages and salaries in the </w:t>
      </w:r>
      <w:r w:rsidR="00353E72">
        <w:t xml:space="preserve">local and </w:t>
      </w:r>
      <w:r>
        <w:t>wider economy.</w:t>
      </w:r>
    </w:p>
    <w:p w14:paraId="2B1729E9" w14:textId="3BD73FCF" w:rsidR="002F5533" w:rsidRPr="00930CB8" w:rsidRDefault="002F5533" w:rsidP="00850081">
      <w:pPr>
        <w:pStyle w:val="ListBullet"/>
        <w:numPr>
          <w:ilvl w:val="0"/>
          <w:numId w:val="25"/>
        </w:numPr>
        <w:ind w:left="360"/>
      </w:pPr>
      <w:r>
        <w:rPr>
          <w:rFonts w:ascii="Calibri" w:eastAsia="Microsoft JhengHei" w:hAnsi="Calibri"/>
        </w:rPr>
        <w:t xml:space="preserve">Section 5 provides a case study on the relevance and importance of the </w:t>
      </w:r>
      <w:r w:rsidR="00C63757">
        <w:rPr>
          <w:rFonts w:ascii="Calibri" w:eastAsia="Microsoft JhengHei" w:hAnsi="Calibri"/>
        </w:rPr>
        <w:t>Scottish Maritime cluster</w:t>
      </w:r>
      <w:r w:rsidR="005476D9">
        <w:rPr>
          <w:rFonts w:ascii="Calibri" w:eastAsia="Microsoft JhengHei" w:hAnsi="Calibri"/>
        </w:rPr>
        <w:t xml:space="preserve"> as well as looking into the importance of the company Anglo Eastern</w:t>
      </w:r>
      <w:r w:rsidR="00C63757">
        <w:rPr>
          <w:rFonts w:ascii="Calibri" w:eastAsia="Microsoft JhengHei" w:hAnsi="Calibri"/>
        </w:rPr>
        <w:t xml:space="preserve">. </w:t>
      </w:r>
    </w:p>
    <w:p w14:paraId="5509810E" w14:textId="68A8E475" w:rsidR="00930CB8" w:rsidRDefault="00930CB8" w:rsidP="00850081">
      <w:pPr>
        <w:pStyle w:val="ListBullet"/>
        <w:numPr>
          <w:ilvl w:val="0"/>
          <w:numId w:val="25"/>
        </w:numPr>
        <w:ind w:left="360"/>
      </w:pPr>
      <w:r>
        <w:rPr>
          <w:rFonts w:ascii="Calibri" w:eastAsia="Microsoft JhengHei" w:hAnsi="Calibri"/>
        </w:rPr>
        <w:t xml:space="preserve">Section 6 provides a forward look at the Maritime Sector in Scotland to 2023. </w:t>
      </w:r>
    </w:p>
    <w:p w14:paraId="124562B3" w14:textId="77777777" w:rsidR="00763374" w:rsidRDefault="00763374" w:rsidP="00353E72"/>
    <w:p w14:paraId="6E653395" w14:textId="0C8EA3AA" w:rsidR="00EF20E4" w:rsidRDefault="00D8042C" w:rsidP="00EF20E4">
      <w:pPr>
        <w:pStyle w:val="Heading1"/>
      </w:pPr>
      <w:bookmarkStart w:id="13" w:name="_Toc486495368"/>
      <w:bookmarkStart w:id="14" w:name="_Toc486495426"/>
      <w:bookmarkStart w:id="15" w:name="_Toc487546921"/>
      <w:bookmarkStart w:id="16" w:name="_Toc487546922"/>
      <w:bookmarkStart w:id="17" w:name="_Toc487546923"/>
      <w:bookmarkStart w:id="18" w:name="_Toc487546925"/>
      <w:bookmarkStart w:id="19" w:name="_Toc487546927"/>
      <w:bookmarkStart w:id="20" w:name="_Toc487546928"/>
      <w:bookmarkStart w:id="21" w:name="_Toc487546930"/>
      <w:bookmarkStart w:id="22" w:name="_Toc487546931"/>
      <w:bookmarkStart w:id="23" w:name="_Toc487546932"/>
      <w:bookmarkStart w:id="24" w:name="_Toc487546933"/>
      <w:bookmarkStart w:id="25" w:name="_Toc487546939"/>
      <w:bookmarkStart w:id="26" w:name="_Toc487546947"/>
      <w:bookmarkStart w:id="27" w:name="_Toc487547005"/>
      <w:bookmarkStart w:id="28" w:name="_Toc487547006"/>
      <w:bookmarkStart w:id="29" w:name="_Toc487547007"/>
      <w:bookmarkStart w:id="30" w:name="_Toc487547009"/>
      <w:bookmarkStart w:id="31" w:name="_Toc487547010"/>
      <w:bookmarkStart w:id="32" w:name="_Toc487547011"/>
      <w:bookmarkStart w:id="33" w:name="_Toc487547073"/>
      <w:bookmarkStart w:id="34" w:name="_Toc487547074"/>
      <w:bookmarkStart w:id="35" w:name="_Toc487547136"/>
      <w:bookmarkStart w:id="36" w:name="_Toc487547137"/>
      <w:bookmarkStart w:id="37" w:name="_Toc487547138"/>
      <w:bookmarkStart w:id="38" w:name="_Toc487547139"/>
      <w:bookmarkStart w:id="39" w:name="_Toc487547140"/>
      <w:bookmarkStart w:id="40" w:name="_Toc487547142"/>
      <w:bookmarkStart w:id="41" w:name="_Toc487547143"/>
      <w:bookmarkStart w:id="42" w:name="_Toc487547145"/>
      <w:bookmarkStart w:id="43" w:name="_Toc1676799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lastRenderedPageBreak/>
        <w:t>T</w:t>
      </w:r>
      <w:r w:rsidR="00EF20E4">
        <w:t xml:space="preserve">he </w:t>
      </w:r>
      <w:r w:rsidR="006F1701">
        <w:t>Maritime S</w:t>
      </w:r>
      <w:r w:rsidR="00856BBD">
        <w:t>ector</w:t>
      </w:r>
      <w:r w:rsidR="007F123A">
        <w:t xml:space="preserve"> in Scotland</w:t>
      </w:r>
      <w:bookmarkEnd w:id="43"/>
    </w:p>
    <w:p w14:paraId="743D7043" w14:textId="3802BD22" w:rsidR="0068331A" w:rsidRDefault="00E931EB" w:rsidP="00D8042C">
      <w:pPr>
        <w:spacing w:after="120"/>
      </w:pPr>
      <w:r>
        <w:t xml:space="preserve">Here we set out how the </w:t>
      </w:r>
      <w:r w:rsidR="00A133D8">
        <w:t>M</w:t>
      </w:r>
      <w:r>
        <w:t xml:space="preserve">aritime </w:t>
      </w:r>
      <w:r w:rsidR="006F1701">
        <w:t>S</w:t>
      </w:r>
      <w:r w:rsidR="00A133D8">
        <w:t xml:space="preserve">ector </w:t>
      </w:r>
      <w:r>
        <w:t xml:space="preserve">has been defined for the purposes of the study. On a holistic level, the </w:t>
      </w:r>
      <w:r w:rsidR="00834F27">
        <w:t xml:space="preserve">Maritime </w:t>
      </w:r>
      <w:r w:rsidR="006F1701">
        <w:t>S</w:t>
      </w:r>
      <w:r w:rsidR="00556AB6">
        <w:t xml:space="preserve">ector </w:t>
      </w:r>
      <w:r>
        <w:t xml:space="preserve">can be disaggregated into the </w:t>
      </w:r>
      <w:r w:rsidR="006F1701">
        <w:t>s</w:t>
      </w:r>
      <w:r>
        <w:t xml:space="preserve">hipping, </w:t>
      </w:r>
      <w:r w:rsidR="006F1701">
        <w:t>p</w:t>
      </w:r>
      <w:r w:rsidR="00556AB6">
        <w:t>orts</w:t>
      </w:r>
      <w:r>
        <w:t xml:space="preserve">, </w:t>
      </w:r>
      <w:r w:rsidR="006F1701">
        <w:t>leisure m</w:t>
      </w:r>
      <w:r>
        <w:t>arine</w:t>
      </w:r>
      <w:r w:rsidR="006F1701">
        <w:t xml:space="preserve">, marine engineering </w:t>
      </w:r>
      <w:r w:rsidR="008909D4">
        <w:t xml:space="preserve">and </w:t>
      </w:r>
      <w:r w:rsidR="006F1701">
        <w:t>scientific</w:t>
      </w:r>
      <w:r>
        <w:t xml:space="preserve"> and </w:t>
      </w:r>
      <w:r w:rsidR="004E4364">
        <w:t>M</w:t>
      </w:r>
      <w:r>
        <w:t xml:space="preserve">aritime </w:t>
      </w:r>
      <w:r w:rsidR="004E4364">
        <w:t>B</w:t>
      </w:r>
      <w:r>
        <w:t xml:space="preserve">usiness </w:t>
      </w:r>
      <w:r w:rsidR="004E4364">
        <w:t>S</w:t>
      </w:r>
      <w:r>
        <w:t xml:space="preserve">ervices industries, which in themselves are </w:t>
      </w:r>
      <w:r w:rsidR="00556AB6">
        <w:t>formed of</w:t>
      </w:r>
      <w:r>
        <w:t xml:space="preserve"> numerous individual</w:t>
      </w:r>
      <w:r w:rsidR="00556AB6">
        <w:t xml:space="preserve"> and distinct</w:t>
      </w:r>
      <w:r w:rsidR="00620330">
        <w:t xml:space="preserve"> activities.</w:t>
      </w:r>
      <w:r w:rsidR="00621054">
        <w:t xml:space="preserve"> </w:t>
      </w:r>
    </w:p>
    <w:p w14:paraId="076C9EAC" w14:textId="1D014D74" w:rsidR="00020EA0" w:rsidRDefault="00621054" w:rsidP="00020EA0">
      <w:pPr>
        <w:pStyle w:val="Heading2"/>
      </w:pPr>
      <w:bookmarkStart w:id="44" w:name="_Toc16768000"/>
      <w:r>
        <w:t>The d</w:t>
      </w:r>
      <w:r w:rsidR="006F1701">
        <w:t>efinition of the Maritime S</w:t>
      </w:r>
      <w:r w:rsidR="00020EA0">
        <w:t xml:space="preserve">ector and </w:t>
      </w:r>
      <w:r>
        <w:t xml:space="preserve">its </w:t>
      </w:r>
      <w:r w:rsidR="00020EA0">
        <w:t>constituent industries</w:t>
      </w:r>
      <w:bookmarkEnd w:id="44"/>
    </w:p>
    <w:p w14:paraId="175CC5AD" w14:textId="674EA164" w:rsidR="00000947" w:rsidRDefault="0068331A" w:rsidP="00B6563F">
      <w:r>
        <w:t xml:space="preserve">Maritime UK have provided a list of activities which fall under the auspices of the </w:t>
      </w:r>
      <w:r w:rsidR="0003037A">
        <w:t>M</w:t>
      </w:r>
      <w:r>
        <w:t>ariti</w:t>
      </w:r>
      <w:r w:rsidR="006F1701">
        <w:t>me S</w:t>
      </w:r>
      <w:r w:rsidR="0003037A">
        <w:t>ector</w:t>
      </w:r>
      <w:r>
        <w:t xml:space="preserve">; Cebr has subsequently undertaken a mapping exercise using this list to identify how each of these </w:t>
      </w:r>
      <w:r w:rsidR="006F1701">
        <w:t>five</w:t>
      </w:r>
      <w:r>
        <w:t xml:space="preserve"> industries aligns with the national accounts. For most </w:t>
      </w:r>
      <w:r w:rsidR="006F1701">
        <w:t>Maritime S</w:t>
      </w:r>
      <w:r w:rsidR="0003037A">
        <w:t xml:space="preserve">ector </w:t>
      </w:r>
      <w:r>
        <w:t>activities, a corresponding Standard Industrial Classification (SIC)</w:t>
      </w:r>
      <w:r w:rsidR="0003037A">
        <w:t xml:space="preserve"> </w:t>
      </w:r>
      <w:r>
        <w:t xml:space="preserve">code </w:t>
      </w:r>
      <w:r w:rsidR="0003037A">
        <w:t xml:space="preserve">exists </w:t>
      </w:r>
      <w:r>
        <w:t xml:space="preserve">which enables the </w:t>
      </w:r>
      <w:r w:rsidR="0003037A">
        <w:t xml:space="preserve">identification and </w:t>
      </w:r>
      <w:r>
        <w:t xml:space="preserve">quantification of the direct economic impacts using publicly-available data sources. A minority of activities do not map neatly against the SIC framework, necessitating the use of industry or local-level data for quantification purposes. </w:t>
      </w:r>
    </w:p>
    <w:p w14:paraId="1E5D6A0D" w14:textId="64082B2E" w:rsidR="00BC137A" w:rsidRDefault="0068331A" w:rsidP="00D8042C">
      <w:pPr>
        <w:spacing w:after="120"/>
      </w:pPr>
      <w:r>
        <w:t xml:space="preserve">The Maritime </w:t>
      </w:r>
      <w:r w:rsidR="006F1701">
        <w:t>S</w:t>
      </w:r>
      <w:r w:rsidR="00807B19">
        <w:t xml:space="preserve">ector </w:t>
      </w:r>
      <w:r>
        <w:t xml:space="preserve">in </w:t>
      </w:r>
      <w:r w:rsidR="00C36B43">
        <w:t xml:space="preserve">Scotland </w:t>
      </w:r>
      <w:r>
        <w:t xml:space="preserve">has therefore </w:t>
      </w:r>
      <w:r w:rsidR="002C4491">
        <w:t xml:space="preserve">be identified as consisting </w:t>
      </w:r>
      <w:r w:rsidR="00BC137A">
        <w:t>of the following activities. Each of the sub-sectors have been mapped to their sector by Cebr, in order to attribute Standard Industrial Classification (SIC) codes to the activity to allow their direct impacts to be measured.</w:t>
      </w:r>
      <w:r w:rsidR="00EA3F02">
        <w:t xml:space="preserve"> </w:t>
      </w:r>
    </w:p>
    <w:p w14:paraId="5F591033" w14:textId="77777777" w:rsidR="00D62411" w:rsidRPr="00B857A5" w:rsidRDefault="00B6563F" w:rsidP="00910768">
      <w:pPr>
        <w:pStyle w:val="ListBullet"/>
        <w:numPr>
          <w:ilvl w:val="0"/>
          <w:numId w:val="25"/>
        </w:numPr>
        <w:spacing w:after="120"/>
        <w:ind w:left="360"/>
        <w:rPr>
          <w:b/>
          <w:szCs w:val="22"/>
        </w:rPr>
      </w:pPr>
      <w:r w:rsidRPr="00EA3F02">
        <w:rPr>
          <w:rFonts w:ascii="Calibri" w:eastAsia="Microsoft JhengHei" w:hAnsi="Calibri"/>
          <w:b/>
          <w:szCs w:val="22"/>
        </w:rPr>
        <w:t>Shipping</w:t>
      </w:r>
      <w:r w:rsidR="00D62411" w:rsidRPr="00F80268">
        <w:rPr>
          <w:rFonts w:ascii="Calibri" w:eastAsia="Microsoft JhengHei" w:hAnsi="Calibri"/>
          <w:b/>
          <w:szCs w:val="22"/>
        </w:rPr>
        <w:t xml:space="preserve"> industry</w:t>
      </w:r>
    </w:p>
    <w:p w14:paraId="27C26532" w14:textId="77777777" w:rsidR="00D62411" w:rsidRPr="00B857A5" w:rsidRDefault="00B6563F" w:rsidP="00FF3486">
      <w:pPr>
        <w:pStyle w:val="ListBullet"/>
        <w:numPr>
          <w:ilvl w:val="1"/>
          <w:numId w:val="25"/>
        </w:numPr>
        <w:spacing w:after="60"/>
        <w:rPr>
          <w:b/>
          <w:szCs w:val="22"/>
        </w:rPr>
      </w:pPr>
      <w:r w:rsidRPr="00B857A5">
        <w:rPr>
          <w:szCs w:val="22"/>
        </w:rPr>
        <w:t>International transport of passengers;</w:t>
      </w:r>
    </w:p>
    <w:p w14:paraId="14BCF15F" w14:textId="77777777" w:rsidR="00D62411" w:rsidRPr="008D399F" w:rsidRDefault="00B6563F" w:rsidP="00FF3486">
      <w:pPr>
        <w:pStyle w:val="ListBullet"/>
        <w:numPr>
          <w:ilvl w:val="1"/>
          <w:numId w:val="25"/>
        </w:numPr>
        <w:spacing w:after="60"/>
        <w:rPr>
          <w:b/>
          <w:szCs w:val="22"/>
        </w:rPr>
      </w:pPr>
      <w:r w:rsidRPr="008D399F">
        <w:rPr>
          <w:szCs w:val="22"/>
        </w:rPr>
        <w:t>Transport of passengers on inland waterways;</w:t>
      </w:r>
    </w:p>
    <w:p w14:paraId="0CD1800F" w14:textId="77777777" w:rsidR="00D62411" w:rsidRPr="00D417FD" w:rsidRDefault="00B6563F" w:rsidP="00FF3486">
      <w:pPr>
        <w:pStyle w:val="ListBullet"/>
        <w:numPr>
          <w:ilvl w:val="1"/>
          <w:numId w:val="25"/>
        </w:numPr>
        <w:spacing w:after="60"/>
        <w:rPr>
          <w:b/>
          <w:szCs w:val="22"/>
        </w:rPr>
      </w:pPr>
      <w:r w:rsidRPr="008D399F">
        <w:rPr>
          <w:szCs w:val="22"/>
        </w:rPr>
        <w:t>International transport of freight;</w:t>
      </w:r>
    </w:p>
    <w:p w14:paraId="188F244E" w14:textId="61BEB455" w:rsidR="00B6563F" w:rsidRPr="00A97917" w:rsidRDefault="00D62411" w:rsidP="00FF3486">
      <w:pPr>
        <w:pStyle w:val="ListBullet"/>
        <w:numPr>
          <w:ilvl w:val="1"/>
          <w:numId w:val="25"/>
        </w:numPr>
        <w:spacing w:after="120"/>
        <w:rPr>
          <w:b/>
          <w:szCs w:val="22"/>
        </w:rPr>
      </w:pPr>
      <w:r w:rsidRPr="00A97917">
        <w:rPr>
          <w:szCs w:val="22"/>
        </w:rPr>
        <w:t>T</w:t>
      </w:r>
      <w:r w:rsidR="00B6563F" w:rsidRPr="00A97917">
        <w:rPr>
          <w:szCs w:val="22"/>
        </w:rPr>
        <w:t>ransport of freight on inland waterways</w:t>
      </w:r>
      <w:r w:rsidR="00BC04EB" w:rsidRPr="00A97917">
        <w:rPr>
          <w:szCs w:val="22"/>
        </w:rPr>
        <w:t>.</w:t>
      </w:r>
    </w:p>
    <w:p w14:paraId="50E1A829" w14:textId="77777777" w:rsidR="00D62411" w:rsidRPr="0004066A" w:rsidRDefault="00B6563F" w:rsidP="00910768">
      <w:pPr>
        <w:pStyle w:val="ListBullet"/>
        <w:numPr>
          <w:ilvl w:val="0"/>
          <w:numId w:val="25"/>
        </w:numPr>
        <w:spacing w:after="120"/>
        <w:ind w:left="360"/>
        <w:rPr>
          <w:rFonts w:ascii="Calibri" w:eastAsia="Microsoft JhengHei" w:hAnsi="Calibri"/>
          <w:b/>
          <w:szCs w:val="22"/>
        </w:rPr>
      </w:pPr>
      <w:r w:rsidRPr="00A97917">
        <w:rPr>
          <w:rFonts w:ascii="Calibri" w:eastAsia="Microsoft JhengHei" w:hAnsi="Calibri"/>
          <w:b/>
          <w:szCs w:val="22"/>
        </w:rPr>
        <w:t>Ports</w:t>
      </w:r>
      <w:r w:rsidR="00D62411" w:rsidRPr="00A97917">
        <w:rPr>
          <w:rFonts w:ascii="Calibri" w:eastAsia="Microsoft JhengHei" w:hAnsi="Calibri"/>
          <w:b/>
          <w:szCs w:val="22"/>
        </w:rPr>
        <w:t xml:space="preserve"> industry</w:t>
      </w:r>
    </w:p>
    <w:p w14:paraId="02EFDCF4" w14:textId="77777777" w:rsidR="00D62411" w:rsidRPr="00FF3486" w:rsidRDefault="00B6563F" w:rsidP="00FF3486">
      <w:pPr>
        <w:pStyle w:val="ListBullet"/>
        <w:numPr>
          <w:ilvl w:val="1"/>
          <w:numId w:val="25"/>
        </w:numPr>
        <w:spacing w:after="60"/>
        <w:rPr>
          <w:szCs w:val="22"/>
        </w:rPr>
      </w:pPr>
      <w:r w:rsidRPr="00FF3486">
        <w:rPr>
          <w:szCs w:val="22"/>
        </w:rPr>
        <w:t>Warehousing and storage;</w:t>
      </w:r>
    </w:p>
    <w:p w14:paraId="21024755" w14:textId="77777777" w:rsidR="00D62411" w:rsidRPr="00FF3486" w:rsidRDefault="00B6563F" w:rsidP="00FF3486">
      <w:pPr>
        <w:pStyle w:val="ListBullet"/>
        <w:numPr>
          <w:ilvl w:val="1"/>
          <w:numId w:val="25"/>
        </w:numPr>
        <w:spacing w:after="60"/>
        <w:rPr>
          <w:szCs w:val="22"/>
        </w:rPr>
      </w:pPr>
      <w:r w:rsidRPr="00B857A5">
        <w:rPr>
          <w:szCs w:val="22"/>
        </w:rPr>
        <w:t>Port activities and management;</w:t>
      </w:r>
    </w:p>
    <w:p w14:paraId="117671AA" w14:textId="77777777" w:rsidR="00D62411" w:rsidRPr="00FF3486" w:rsidRDefault="00B6563F" w:rsidP="00FF3486">
      <w:pPr>
        <w:pStyle w:val="ListBullet"/>
        <w:numPr>
          <w:ilvl w:val="1"/>
          <w:numId w:val="25"/>
        </w:numPr>
        <w:spacing w:after="60"/>
        <w:rPr>
          <w:szCs w:val="22"/>
        </w:rPr>
      </w:pPr>
      <w:r w:rsidRPr="008D399F">
        <w:rPr>
          <w:szCs w:val="22"/>
        </w:rPr>
        <w:t>Stevedores, cargo and passenger handling;</w:t>
      </w:r>
    </w:p>
    <w:p w14:paraId="480A0C16" w14:textId="1B5641E3" w:rsidR="00B6563F" w:rsidRPr="00FF3486" w:rsidRDefault="00F37012" w:rsidP="00FF3486">
      <w:pPr>
        <w:pStyle w:val="ListBullet"/>
        <w:numPr>
          <w:ilvl w:val="1"/>
          <w:numId w:val="25"/>
        </w:numPr>
        <w:spacing w:after="120"/>
        <w:rPr>
          <w:szCs w:val="22"/>
        </w:rPr>
      </w:pPr>
      <w:r w:rsidRPr="008D399F">
        <w:rPr>
          <w:szCs w:val="22"/>
        </w:rPr>
        <w:t xml:space="preserve">Border </w:t>
      </w:r>
      <w:r w:rsidRPr="00D417FD">
        <w:rPr>
          <w:szCs w:val="22"/>
        </w:rPr>
        <w:t>agency</w:t>
      </w:r>
      <w:r w:rsidRPr="00F74763">
        <w:rPr>
          <w:szCs w:val="22"/>
        </w:rPr>
        <w:t>, HMRC</w:t>
      </w:r>
      <w:r w:rsidR="00B6563F" w:rsidRPr="00F74763">
        <w:rPr>
          <w:szCs w:val="22"/>
        </w:rPr>
        <w:t xml:space="preserve"> and public sector </w:t>
      </w:r>
      <w:r w:rsidRPr="00F74763">
        <w:rPr>
          <w:szCs w:val="22"/>
        </w:rPr>
        <w:t>employees</w:t>
      </w:r>
      <w:r w:rsidR="00B6563F" w:rsidRPr="007253DA">
        <w:rPr>
          <w:szCs w:val="22"/>
        </w:rPr>
        <w:t xml:space="preserve"> operating in ports</w:t>
      </w:r>
      <w:r w:rsidR="00BC04EB" w:rsidRPr="00711FC9">
        <w:rPr>
          <w:szCs w:val="22"/>
        </w:rPr>
        <w:t>.</w:t>
      </w:r>
    </w:p>
    <w:p w14:paraId="626EEBBF" w14:textId="11B0449C" w:rsidR="00D62411" w:rsidRPr="00A97917" w:rsidRDefault="00C76BFB" w:rsidP="00910768">
      <w:pPr>
        <w:pStyle w:val="ListBullet"/>
        <w:numPr>
          <w:ilvl w:val="0"/>
          <w:numId w:val="25"/>
        </w:numPr>
        <w:spacing w:after="120"/>
        <w:ind w:left="360"/>
        <w:rPr>
          <w:rFonts w:ascii="Calibri" w:eastAsia="Microsoft JhengHei" w:hAnsi="Calibri"/>
          <w:b/>
          <w:szCs w:val="22"/>
        </w:rPr>
      </w:pPr>
      <w:r>
        <w:rPr>
          <w:rFonts w:ascii="Calibri" w:eastAsia="Microsoft JhengHei" w:hAnsi="Calibri"/>
          <w:b/>
          <w:szCs w:val="22"/>
        </w:rPr>
        <w:t xml:space="preserve">Leisure Marine: </w:t>
      </w:r>
    </w:p>
    <w:p w14:paraId="238A670D" w14:textId="77777777" w:rsidR="00C76BFB" w:rsidRDefault="00C76BFB" w:rsidP="00C76BFB">
      <w:pPr>
        <w:pStyle w:val="ListBullet"/>
        <w:numPr>
          <w:ilvl w:val="1"/>
          <w:numId w:val="25"/>
        </w:numPr>
        <w:spacing w:after="60"/>
        <w:rPr>
          <w:szCs w:val="22"/>
        </w:rPr>
      </w:pPr>
      <w:r w:rsidRPr="00FF3486">
        <w:rPr>
          <w:szCs w:val="22"/>
        </w:rPr>
        <w:t>Boatbuilding (marine leisure vessels);</w:t>
      </w:r>
    </w:p>
    <w:p w14:paraId="11C2C301" w14:textId="5F0DAC0D" w:rsidR="00C76BFB" w:rsidRPr="00C76BFB" w:rsidRDefault="00C76BFB" w:rsidP="00C76BFB">
      <w:pPr>
        <w:pStyle w:val="ListBullet"/>
        <w:numPr>
          <w:ilvl w:val="1"/>
          <w:numId w:val="25"/>
        </w:numPr>
        <w:spacing w:after="60"/>
        <w:rPr>
          <w:szCs w:val="22"/>
        </w:rPr>
      </w:pPr>
      <w:r w:rsidRPr="00FF3486">
        <w:rPr>
          <w:szCs w:val="22"/>
        </w:rPr>
        <w:t>Recreational marine activities, marine finance and legal activities and general marine services;</w:t>
      </w:r>
    </w:p>
    <w:p w14:paraId="16966AC3" w14:textId="6B581800" w:rsidR="00C76BFB" w:rsidRPr="00C76BFB" w:rsidRDefault="00C76BFB" w:rsidP="00C76BFB">
      <w:pPr>
        <w:pStyle w:val="ListBullet"/>
        <w:numPr>
          <w:ilvl w:val="0"/>
          <w:numId w:val="25"/>
        </w:numPr>
        <w:spacing w:after="120"/>
        <w:ind w:left="360"/>
        <w:rPr>
          <w:rFonts w:ascii="Calibri" w:eastAsia="Microsoft JhengHei" w:hAnsi="Calibri"/>
          <w:b/>
          <w:szCs w:val="22"/>
        </w:rPr>
      </w:pPr>
      <w:r w:rsidRPr="00C76BFB">
        <w:rPr>
          <w:rFonts w:ascii="Calibri" w:eastAsia="Microsoft JhengHei" w:hAnsi="Calibri"/>
          <w:b/>
          <w:szCs w:val="22"/>
        </w:rPr>
        <w:t xml:space="preserve">Marine Engineering and Scientific </w:t>
      </w:r>
      <w:r w:rsidR="008909D4">
        <w:rPr>
          <w:rFonts w:ascii="Calibri" w:eastAsia="Microsoft JhengHei" w:hAnsi="Calibri"/>
          <w:b/>
          <w:szCs w:val="22"/>
        </w:rPr>
        <w:t>industry</w:t>
      </w:r>
      <w:r w:rsidRPr="00C76BFB">
        <w:rPr>
          <w:rFonts w:ascii="Calibri" w:eastAsia="Microsoft JhengHei" w:hAnsi="Calibri"/>
          <w:b/>
          <w:szCs w:val="22"/>
        </w:rPr>
        <w:t xml:space="preserve">: </w:t>
      </w:r>
    </w:p>
    <w:p w14:paraId="3A63AC93" w14:textId="1CE044AB" w:rsidR="005F4D9B" w:rsidRDefault="005F4D9B" w:rsidP="005F4D9B">
      <w:pPr>
        <w:pStyle w:val="ListBullet"/>
        <w:numPr>
          <w:ilvl w:val="1"/>
          <w:numId w:val="25"/>
        </w:numPr>
        <w:spacing w:after="60"/>
        <w:rPr>
          <w:szCs w:val="22"/>
        </w:rPr>
      </w:pPr>
      <w:r>
        <w:rPr>
          <w:szCs w:val="22"/>
        </w:rPr>
        <w:t>Shipbuilding;</w:t>
      </w:r>
    </w:p>
    <w:p w14:paraId="684258D9" w14:textId="64F8DCE3" w:rsidR="00B6563F" w:rsidRPr="00FF3486" w:rsidRDefault="00B6563F" w:rsidP="00FF3486">
      <w:pPr>
        <w:pStyle w:val="ListBullet"/>
        <w:numPr>
          <w:ilvl w:val="1"/>
          <w:numId w:val="25"/>
        </w:numPr>
        <w:spacing w:after="60"/>
        <w:rPr>
          <w:szCs w:val="22"/>
        </w:rPr>
      </w:pPr>
      <w:r w:rsidRPr="00FF3486">
        <w:rPr>
          <w:szCs w:val="22"/>
        </w:rPr>
        <w:t>Marine renewable energy</w:t>
      </w:r>
      <w:r w:rsidR="005006F8" w:rsidRPr="00FF3486">
        <w:rPr>
          <w:szCs w:val="22"/>
        </w:rPr>
        <w:t>;</w:t>
      </w:r>
    </w:p>
    <w:p w14:paraId="545771A5" w14:textId="0DAEF601" w:rsidR="00B6563F" w:rsidRPr="00FF3486" w:rsidRDefault="0016171C" w:rsidP="00FF3486">
      <w:pPr>
        <w:pStyle w:val="ListBullet"/>
        <w:numPr>
          <w:ilvl w:val="1"/>
          <w:numId w:val="25"/>
        </w:numPr>
        <w:spacing w:after="60"/>
        <w:rPr>
          <w:szCs w:val="22"/>
        </w:rPr>
      </w:pPr>
      <w:r w:rsidRPr="00FF3486">
        <w:rPr>
          <w:szCs w:val="22"/>
        </w:rPr>
        <w:t>Marine s</w:t>
      </w:r>
      <w:r w:rsidR="00B6563F" w:rsidRPr="00FF3486">
        <w:rPr>
          <w:szCs w:val="22"/>
        </w:rPr>
        <w:t>upport activities for offshore oil and gas, engineering and mining;</w:t>
      </w:r>
    </w:p>
    <w:p w14:paraId="22BD7E90" w14:textId="57F3C274" w:rsidR="00B6563F" w:rsidRPr="00FF3486" w:rsidRDefault="00B6563F" w:rsidP="00FF3486">
      <w:pPr>
        <w:pStyle w:val="ListBullet"/>
        <w:numPr>
          <w:ilvl w:val="1"/>
          <w:numId w:val="25"/>
        </w:numPr>
        <w:spacing w:after="120"/>
        <w:rPr>
          <w:szCs w:val="22"/>
        </w:rPr>
      </w:pPr>
      <w:r w:rsidRPr="00FF3486">
        <w:rPr>
          <w:szCs w:val="22"/>
        </w:rPr>
        <w:t>Marine science and academic activities, including government vessels and technical consulting;</w:t>
      </w:r>
    </w:p>
    <w:p w14:paraId="7A93988E" w14:textId="049929C9" w:rsidR="00B6563F" w:rsidRPr="00D65BA4" w:rsidRDefault="00B6563F" w:rsidP="00910768">
      <w:pPr>
        <w:pStyle w:val="ListBullet"/>
        <w:numPr>
          <w:ilvl w:val="0"/>
          <w:numId w:val="25"/>
        </w:numPr>
        <w:spacing w:after="120"/>
        <w:ind w:left="360"/>
        <w:rPr>
          <w:b/>
          <w:szCs w:val="22"/>
        </w:rPr>
      </w:pPr>
      <w:r w:rsidRPr="00D65BA4">
        <w:rPr>
          <w:rFonts w:ascii="Calibri" w:eastAsia="Microsoft JhengHei" w:hAnsi="Calibri"/>
          <w:b/>
          <w:szCs w:val="22"/>
        </w:rPr>
        <w:t>Maritime</w:t>
      </w:r>
      <w:r w:rsidRPr="00D65BA4">
        <w:rPr>
          <w:b/>
          <w:szCs w:val="22"/>
        </w:rPr>
        <w:t xml:space="preserve"> Business Services</w:t>
      </w:r>
      <w:r w:rsidR="00000947" w:rsidRPr="00D65BA4">
        <w:rPr>
          <w:b/>
          <w:szCs w:val="22"/>
        </w:rPr>
        <w:t xml:space="preserve"> industry</w:t>
      </w:r>
    </w:p>
    <w:p w14:paraId="66B276C4" w14:textId="77777777" w:rsidR="00D6793F" w:rsidRPr="00D6793F" w:rsidRDefault="00D6793F" w:rsidP="00D6793F">
      <w:pPr>
        <w:pStyle w:val="ListBullet"/>
        <w:numPr>
          <w:ilvl w:val="1"/>
          <w:numId w:val="25"/>
        </w:numPr>
        <w:spacing w:after="60"/>
        <w:rPr>
          <w:szCs w:val="22"/>
        </w:rPr>
      </w:pPr>
      <w:r w:rsidRPr="00D6793F">
        <w:rPr>
          <w:szCs w:val="22"/>
        </w:rPr>
        <w:t>Shipbroking services;</w:t>
      </w:r>
    </w:p>
    <w:p w14:paraId="678329D9" w14:textId="77777777" w:rsidR="00D6793F" w:rsidRPr="00D6793F" w:rsidRDefault="00D6793F" w:rsidP="00D6793F">
      <w:pPr>
        <w:pStyle w:val="ListBullet"/>
        <w:numPr>
          <w:ilvl w:val="1"/>
          <w:numId w:val="25"/>
        </w:numPr>
        <w:spacing w:after="60"/>
        <w:rPr>
          <w:szCs w:val="22"/>
        </w:rPr>
      </w:pPr>
      <w:r w:rsidRPr="00D6793F">
        <w:rPr>
          <w:szCs w:val="22"/>
        </w:rPr>
        <w:t xml:space="preserve">Maritime Insurance services; </w:t>
      </w:r>
    </w:p>
    <w:p w14:paraId="2DE95235" w14:textId="77777777" w:rsidR="00D6793F" w:rsidRPr="00D6793F" w:rsidRDefault="00D6793F" w:rsidP="00D6793F">
      <w:pPr>
        <w:pStyle w:val="ListBullet"/>
        <w:numPr>
          <w:ilvl w:val="1"/>
          <w:numId w:val="25"/>
        </w:numPr>
        <w:spacing w:after="60"/>
        <w:rPr>
          <w:szCs w:val="22"/>
        </w:rPr>
      </w:pPr>
      <w:r w:rsidRPr="00D6793F">
        <w:rPr>
          <w:szCs w:val="22"/>
        </w:rPr>
        <w:t>Maritime Financial services</w:t>
      </w:r>
    </w:p>
    <w:p w14:paraId="6B039611" w14:textId="77777777" w:rsidR="00D6793F" w:rsidRPr="00D6793F" w:rsidRDefault="00D6793F" w:rsidP="00D6793F">
      <w:pPr>
        <w:pStyle w:val="ListBullet"/>
        <w:numPr>
          <w:ilvl w:val="1"/>
          <w:numId w:val="25"/>
        </w:numPr>
        <w:spacing w:after="60"/>
        <w:rPr>
          <w:szCs w:val="22"/>
        </w:rPr>
      </w:pPr>
      <w:r w:rsidRPr="00D6793F">
        <w:rPr>
          <w:szCs w:val="22"/>
        </w:rPr>
        <w:t>Maritime Legal services</w:t>
      </w:r>
    </w:p>
    <w:p w14:paraId="03A0E9B7" w14:textId="77777777" w:rsidR="00D6793F" w:rsidRPr="00D6793F" w:rsidRDefault="00D6793F" w:rsidP="00D6793F">
      <w:pPr>
        <w:pStyle w:val="ListBullet"/>
        <w:numPr>
          <w:ilvl w:val="1"/>
          <w:numId w:val="25"/>
        </w:numPr>
        <w:spacing w:after="60"/>
        <w:rPr>
          <w:szCs w:val="22"/>
        </w:rPr>
      </w:pPr>
      <w:r w:rsidRPr="00D6793F">
        <w:rPr>
          <w:szCs w:val="22"/>
        </w:rPr>
        <w:t>Ship surveying and classification activities;</w:t>
      </w:r>
    </w:p>
    <w:p w14:paraId="4F32B55F" w14:textId="77777777" w:rsidR="00D6793F" w:rsidRPr="00D6793F" w:rsidRDefault="00D6793F" w:rsidP="00D6793F">
      <w:pPr>
        <w:pStyle w:val="ListBullet"/>
        <w:numPr>
          <w:ilvl w:val="1"/>
          <w:numId w:val="25"/>
        </w:numPr>
        <w:spacing w:after="60"/>
        <w:rPr>
          <w:szCs w:val="22"/>
        </w:rPr>
      </w:pPr>
      <w:r w:rsidRPr="00D6793F">
        <w:rPr>
          <w:szCs w:val="22"/>
        </w:rPr>
        <w:t>Maritime Education (including Maritime university courses and cadetships);</w:t>
      </w:r>
    </w:p>
    <w:p w14:paraId="6764D793" w14:textId="77777777" w:rsidR="00D6793F" w:rsidRPr="00D6793F" w:rsidRDefault="00D6793F" w:rsidP="00D6793F">
      <w:pPr>
        <w:pStyle w:val="ListBullet"/>
        <w:numPr>
          <w:ilvl w:val="1"/>
          <w:numId w:val="25"/>
        </w:numPr>
        <w:spacing w:after="60"/>
        <w:rPr>
          <w:szCs w:val="22"/>
        </w:rPr>
      </w:pPr>
      <w:r w:rsidRPr="00D6793F">
        <w:rPr>
          <w:szCs w:val="22"/>
        </w:rPr>
        <w:t>Maritime Consultancy; and</w:t>
      </w:r>
    </w:p>
    <w:p w14:paraId="22AF08FB" w14:textId="77777777" w:rsidR="00D6793F" w:rsidRPr="00D6793F" w:rsidRDefault="00D6793F" w:rsidP="00D6793F">
      <w:pPr>
        <w:pStyle w:val="ListBullet"/>
        <w:numPr>
          <w:ilvl w:val="1"/>
          <w:numId w:val="25"/>
        </w:numPr>
        <w:spacing w:after="60"/>
        <w:rPr>
          <w:szCs w:val="22"/>
        </w:rPr>
      </w:pPr>
      <w:r w:rsidRPr="00D6793F">
        <w:rPr>
          <w:szCs w:val="22"/>
        </w:rPr>
        <w:lastRenderedPageBreak/>
        <w:t>Maritime Accountancy.</w:t>
      </w:r>
    </w:p>
    <w:p w14:paraId="7EA9F928" w14:textId="27724B97" w:rsidR="00F239D1" w:rsidRPr="00F709F3" w:rsidRDefault="00CA6EA1" w:rsidP="00AE08AC">
      <w:pPr>
        <w:pStyle w:val="ListBullet"/>
        <w:spacing w:after="60"/>
        <w:rPr>
          <w:szCs w:val="22"/>
        </w:rPr>
      </w:pPr>
      <w:r w:rsidRPr="00F709F3">
        <w:rPr>
          <w:szCs w:val="22"/>
        </w:rPr>
        <w:t>There are some</w:t>
      </w:r>
      <w:r w:rsidR="00AE08AC" w:rsidRPr="00F709F3">
        <w:rPr>
          <w:szCs w:val="22"/>
        </w:rPr>
        <w:t xml:space="preserve"> well-known examples for each indust</w:t>
      </w:r>
      <w:r w:rsidRPr="00F709F3">
        <w:rPr>
          <w:szCs w:val="22"/>
        </w:rPr>
        <w:t>ry</w:t>
      </w:r>
      <w:r w:rsidR="00FF3402" w:rsidRPr="00F709F3">
        <w:rPr>
          <w:szCs w:val="22"/>
        </w:rPr>
        <w:t xml:space="preserve">. </w:t>
      </w:r>
      <w:r w:rsidR="00AE08AC" w:rsidRPr="00F709F3">
        <w:rPr>
          <w:szCs w:val="22"/>
        </w:rPr>
        <w:t xml:space="preserve">Shipping includes Calmac Ferries Limited and Caledonian Maritime Assets Limited, both on </w:t>
      </w:r>
      <w:r w:rsidR="00FF3402" w:rsidRPr="00F709F3">
        <w:rPr>
          <w:szCs w:val="22"/>
        </w:rPr>
        <w:t>the West coast of Scotland. Ports includes Aberdeen Harbour, the Port of Dundee and the Port of Leith.</w:t>
      </w:r>
      <w:r w:rsidR="00632CBE" w:rsidRPr="00F709F3">
        <w:rPr>
          <w:szCs w:val="22"/>
        </w:rPr>
        <w:t xml:space="preserve"> Next, </w:t>
      </w:r>
      <w:r w:rsidR="00515B6F" w:rsidRPr="00F709F3">
        <w:rPr>
          <w:szCs w:val="22"/>
        </w:rPr>
        <w:t xml:space="preserve">companies such as </w:t>
      </w:r>
      <w:r w:rsidR="00632CBE" w:rsidRPr="00F709F3">
        <w:rPr>
          <w:szCs w:val="22"/>
        </w:rPr>
        <w:t>BAE System</w:t>
      </w:r>
      <w:r w:rsidR="00515B6F" w:rsidRPr="00F709F3">
        <w:rPr>
          <w:szCs w:val="22"/>
        </w:rPr>
        <w:t>s</w:t>
      </w:r>
      <w:r w:rsidR="00632CBE" w:rsidRPr="00F709F3">
        <w:rPr>
          <w:szCs w:val="22"/>
        </w:rPr>
        <w:t xml:space="preserve"> and DOF </w:t>
      </w:r>
      <w:r w:rsidR="007B2D76" w:rsidRPr="00F709F3">
        <w:rPr>
          <w:szCs w:val="22"/>
        </w:rPr>
        <w:t>Group (</w:t>
      </w:r>
      <w:r w:rsidR="00632CBE" w:rsidRPr="00F709F3">
        <w:rPr>
          <w:szCs w:val="22"/>
        </w:rPr>
        <w:t>UK)</w:t>
      </w:r>
      <w:r w:rsidR="00515B6F" w:rsidRPr="00F709F3">
        <w:rPr>
          <w:szCs w:val="22"/>
        </w:rPr>
        <w:t xml:space="preserve"> would</w:t>
      </w:r>
      <w:r w:rsidR="00632CBE" w:rsidRPr="00F709F3">
        <w:rPr>
          <w:szCs w:val="22"/>
        </w:rPr>
        <w:t xml:space="preserve"> fall under Marine. Finally,</w:t>
      </w:r>
      <w:r w:rsidR="00515B6F" w:rsidRPr="00F709F3">
        <w:rPr>
          <w:szCs w:val="22"/>
        </w:rPr>
        <w:t xml:space="preserve"> The Clyde Group would be an example of Maritime Business Services.</w:t>
      </w:r>
      <w:r w:rsidR="00632CBE" w:rsidRPr="00F709F3">
        <w:rPr>
          <w:szCs w:val="22"/>
        </w:rPr>
        <w:t xml:space="preserve"> </w:t>
      </w:r>
      <w:r w:rsidR="00FF3402" w:rsidRPr="00F709F3">
        <w:rPr>
          <w:szCs w:val="22"/>
        </w:rPr>
        <w:t xml:space="preserve"> </w:t>
      </w:r>
    </w:p>
    <w:p w14:paraId="66CA974D" w14:textId="77777777" w:rsidR="00F709F3" w:rsidRDefault="00F709F3" w:rsidP="00F709F3">
      <w:pPr>
        <w:pStyle w:val="ListBullet"/>
        <w:spacing w:after="60"/>
        <w:rPr>
          <w:szCs w:val="22"/>
        </w:rPr>
      </w:pPr>
    </w:p>
    <w:p w14:paraId="4743E525" w14:textId="6B1CA0D2" w:rsidR="0055300C" w:rsidRDefault="0055300C" w:rsidP="0055300C">
      <w:pPr>
        <w:pStyle w:val="Heading2"/>
      </w:pPr>
      <w:bookmarkStart w:id="45" w:name="_Toc487547481"/>
      <w:bookmarkStart w:id="46" w:name="_Toc487547482"/>
      <w:bookmarkStart w:id="47" w:name="_Toc487547483"/>
      <w:bookmarkStart w:id="48" w:name="_Toc487547484"/>
      <w:bookmarkStart w:id="49" w:name="_Toc16768001"/>
      <w:bookmarkEnd w:id="45"/>
      <w:bookmarkEnd w:id="46"/>
      <w:bookmarkEnd w:id="47"/>
      <w:bookmarkEnd w:id="48"/>
      <w:r>
        <w:t xml:space="preserve">Mapping </w:t>
      </w:r>
      <w:r w:rsidR="00DA6A66">
        <w:t xml:space="preserve">the </w:t>
      </w:r>
      <w:r w:rsidR="00D6793F">
        <w:t>Maritime S</w:t>
      </w:r>
      <w:r>
        <w:t xml:space="preserve">ector against the </w:t>
      </w:r>
      <w:r w:rsidR="00590B6B">
        <w:t>National A</w:t>
      </w:r>
      <w:r>
        <w:t>ccounts framework</w:t>
      </w:r>
      <w:bookmarkEnd w:id="49"/>
    </w:p>
    <w:p w14:paraId="7BF326A9" w14:textId="76DF64BA" w:rsidR="004D4579" w:rsidRDefault="00B3617B" w:rsidP="00F709F3">
      <w:pPr>
        <w:pStyle w:val="ListBullet"/>
        <w:rPr>
          <w:rFonts w:ascii="Calibri" w:eastAsia="Microsoft JhengHei" w:hAnsi="Calibri"/>
          <w:szCs w:val="22"/>
        </w:rPr>
      </w:pPr>
      <w:r>
        <w:rPr>
          <w:rFonts w:ascii="Calibri" w:eastAsia="Microsoft JhengHei" w:hAnsi="Calibri"/>
          <w:szCs w:val="22"/>
        </w:rPr>
        <w:t>Here we set out how the direct economic contribution of the industries and activities listed in the previous subsection have been mapped against t</w:t>
      </w:r>
      <w:r w:rsidR="00DA0D0B">
        <w:rPr>
          <w:rFonts w:ascii="Calibri" w:eastAsia="Microsoft JhengHei" w:hAnsi="Calibri"/>
          <w:szCs w:val="22"/>
        </w:rPr>
        <w:t xml:space="preserve">he national accounts framework. For activities which do not map neatly against this framework – </w:t>
      </w:r>
      <w:r w:rsidR="00F709F3">
        <w:rPr>
          <w:rFonts w:ascii="Calibri" w:eastAsia="Microsoft JhengHei" w:hAnsi="Calibri"/>
          <w:szCs w:val="22"/>
        </w:rPr>
        <w:t>i.e. when</w:t>
      </w:r>
      <w:r w:rsidR="00DA0D0B">
        <w:rPr>
          <w:rFonts w:ascii="Calibri" w:eastAsia="Microsoft JhengHei" w:hAnsi="Calibri"/>
          <w:szCs w:val="22"/>
        </w:rPr>
        <w:t xml:space="preserve"> SIC codes cannot be used to accurately reflect or capture a particular </w:t>
      </w:r>
      <w:r w:rsidR="00832F0B">
        <w:rPr>
          <w:rFonts w:ascii="Calibri" w:eastAsia="Microsoft JhengHei" w:hAnsi="Calibri"/>
          <w:szCs w:val="22"/>
        </w:rPr>
        <w:t>M</w:t>
      </w:r>
      <w:r w:rsidR="00DA0D0B">
        <w:rPr>
          <w:rFonts w:ascii="Calibri" w:eastAsia="Microsoft JhengHei" w:hAnsi="Calibri"/>
          <w:szCs w:val="22"/>
        </w:rPr>
        <w:t>aritime</w:t>
      </w:r>
      <w:r w:rsidR="00D6793F">
        <w:rPr>
          <w:rFonts w:ascii="Calibri" w:eastAsia="Microsoft JhengHei" w:hAnsi="Calibri"/>
          <w:szCs w:val="22"/>
        </w:rPr>
        <w:t xml:space="preserve"> S</w:t>
      </w:r>
      <w:r w:rsidR="002E1143">
        <w:rPr>
          <w:rFonts w:ascii="Calibri" w:eastAsia="Microsoft JhengHei" w:hAnsi="Calibri"/>
          <w:szCs w:val="22"/>
        </w:rPr>
        <w:t>ector</w:t>
      </w:r>
      <w:r w:rsidR="00DA0D0B">
        <w:rPr>
          <w:rFonts w:ascii="Calibri" w:eastAsia="Microsoft JhengHei" w:hAnsi="Calibri"/>
          <w:szCs w:val="22"/>
        </w:rPr>
        <w:t xml:space="preserve">-related activity – we </w:t>
      </w:r>
      <w:r w:rsidR="00986710">
        <w:rPr>
          <w:rFonts w:ascii="Calibri" w:eastAsia="Microsoft JhengHei" w:hAnsi="Calibri"/>
          <w:szCs w:val="22"/>
        </w:rPr>
        <w:t xml:space="preserve">outline </w:t>
      </w:r>
      <w:r w:rsidR="00DA0D0B">
        <w:rPr>
          <w:rFonts w:ascii="Calibri" w:eastAsia="Microsoft JhengHei" w:hAnsi="Calibri"/>
          <w:szCs w:val="22"/>
        </w:rPr>
        <w:t xml:space="preserve">the </w:t>
      </w:r>
      <w:r w:rsidR="00986710">
        <w:rPr>
          <w:rFonts w:ascii="Calibri" w:eastAsia="Microsoft JhengHei" w:hAnsi="Calibri"/>
          <w:szCs w:val="22"/>
        </w:rPr>
        <w:t xml:space="preserve">industry-level </w:t>
      </w:r>
      <w:r w:rsidR="00DA0D0B">
        <w:rPr>
          <w:rFonts w:ascii="Calibri" w:eastAsia="Microsoft JhengHei" w:hAnsi="Calibri"/>
          <w:szCs w:val="22"/>
        </w:rPr>
        <w:t xml:space="preserve">sources </w:t>
      </w:r>
      <w:r w:rsidR="00986710">
        <w:rPr>
          <w:rFonts w:ascii="Calibri" w:eastAsia="Microsoft JhengHei" w:hAnsi="Calibri"/>
          <w:szCs w:val="22"/>
        </w:rPr>
        <w:t>to separately quantify the economic contribution</w:t>
      </w:r>
      <w:r w:rsidR="00DA0D0B">
        <w:rPr>
          <w:rFonts w:ascii="Calibri" w:eastAsia="Microsoft JhengHei" w:hAnsi="Calibri"/>
          <w:szCs w:val="22"/>
        </w:rPr>
        <w:t>.</w:t>
      </w:r>
      <w:r w:rsidR="004839C8">
        <w:rPr>
          <w:rFonts w:ascii="Calibri" w:eastAsia="Microsoft JhengHei" w:hAnsi="Calibri"/>
          <w:szCs w:val="22"/>
        </w:rPr>
        <w:t xml:space="preserve"> </w:t>
      </w:r>
      <w:r w:rsidR="009162C0">
        <w:rPr>
          <w:rFonts w:ascii="Calibri" w:eastAsia="Microsoft JhengHei" w:hAnsi="Calibri"/>
          <w:szCs w:val="22"/>
        </w:rPr>
        <w:t>It should be stressed that the Maritime industries as defined here are unlikely to be exhaustive, and that further work may be necessary to fully capture the fullest extent of activitie</w:t>
      </w:r>
      <w:r w:rsidR="00D6793F">
        <w:rPr>
          <w:rFonts w:ascii="Calibri" w:eastAsia="Microsoft JhengHei" w:hAnsi="Calibri"/>
          <w:szCs w:val="22"/>
        </w:rPr>
        <w:t>s taking place in the Maritime S</w:t>
      </w:r>
      <w:r w:rsidR="009162C0">
        <w:rPr>
          <w:rFonts w:ascii="Calibri" w:eastAsia="Microsoft JhengHei" w:hAnsi="Calibri"/>
          <w:szCs w:val="22"/>
        </w:rPr>
        <w:t>ector</w:t>
      </w:r>
      <w:r w:rsidR="00775D9A">
        <w:rPr>
          <w:rFonts w:ascii="Calibri" w:eastAsia="Microsoft JhengHei" w:hAnsi="Calibri"/>
          <w:szCs w:val="22"/>
        </w:rPr>
        <w:t xml:space="preserve">, several of which are often difficult to define within the existing </w:t>
      </w:r>
      <w:r w:rsidR="002E1143">
        <w:rPr>
          <w:rFonts w:ascii="Calibri" w:eastAsia="Microsoft JhengHei" w:hAnsi="Calibri"/>
          <w:szCs w:val="22"/>
        </w:rPr>
        <w:t>National A</w:t>
      </w:r>
      <w:r w:rsidR="00775D9A">
        <w:rPr>
          <w:rFonts w:ascii="Calibri" w:eastAsia="Microsoft JhengHei" w:hAnsi="Calibri"/>
          <w:szCs w:val="22"/>
        </w:rPr>
        <w:t>ccounts framework</w:t>
      </w:r>
      <w:r w:rsidR="009162C0">
        <w:rPr>
          <w:rFonts w:ascii="Calibri" w:eastAsia="Microsoft JhengHei" w:hAnsi="Calibri"/>
          <w:szCs w:val="22"/>
        </w:rPr>
        <w:t xml:space="preserve">. </w:t>
      </w:r>
      <w:r w:rsidR="00775D9A">
        <w:rPr>
          <w:rFonts w:ascii="Calibri" w:eastAsia="Microsoft JhengHei" w:hAnsi="Calibri"/>
          <w:szCs w:val="22"/>
        </w:rPr>
        <w:t>There may therefore be a greater role for the UK Government to expand the exist</w:t>
      </w:r>
      <w:r w:rsidR="00D6793F">
        <w:rPr>
          <w:rFonts w:ascii="Calibri" w:eastAsia="Microsoft JhengHei" w:hAnsi="Calibri"/>
          <w:szCs w:val="22"/>
        </w:rPr>
        <w:t>ing definition of the Maritime S</w:t>
      </w:r>
      <w:r w:rsidR="00775D9A">
        <w:rPr>
          <w:rFonts w:ascii="Calibri" w:eastAsia="Microsoft JhengHei" w:hAnsi="Calibri"/>
          <w:szCs w:val="22"/>
        </w:rPr>
        <w:t>ector</w:t>
      </w:r>
      <w:r w:rsidR="00F32E64">
        <w:rPr>
          <w:rFonts w:ascii="Calibri" w:eastAsia="Microsoft JhengHei" w:hAnsi="Calibri"/>
          <w:szCs w:val="22"/>
        </w:rPr>
        <w:t xml:space="preserve">, </w:t>
      </w:r>
      <w:r w:rsidR="00F709F3">
        <w:rPr>
          <w:rFonts w:ascii="Calibri" w:eastAsia="Microsoft JhengHei" w:hAnsi="Calibri"/>
          <w:szCs w:val="22"/>
        </w:rPr>
        <w:t>such</w:t>
      </w:r>
      <w:r w:rsidR="00F32E64">
        <w:rPr>
          <w:rFonts w:ascii="Calibri" w:eastAsia="Microsoft JhengHei" w:hAnsi="Calibri"/>
          <w:szCs w:val="22"/>
        </w:rPr>
        <w:t xml:space="preserve"> that the true value of economic activity supported is </w:t>
      </w:r>
      <w:r w:rsidR="00B66826">
        <w:rPr>
          <w:rFonts w:ascii="Calibri" w:eastAsia="Microsoft JhengHei" w:hAnsi="Calibri"/>
          <w:szCs w:val="22"/>
        </w:rPr>
        <w:t>then measured</w:t>
      </w:r>
      <w:r w:rsidR="00775D9A">
        <w:rPr>
          <w:rFonts w:ascii="Calibri" w:eastAsia="Microsoft JhengHei" w:hAnsi="Calibri"/>
          <w:szCs w:val="22"/>
        </w:rPr>
        <w:t>.</w:t>
      </w:r>
    </w:p>
    <w:p w14:paraId="643D11AD" w14:textId="10510AE3" w:rsidR="00CE5C73" w:rsidRPr="00CE5C73" w:rsidRDefault="00D6793F" w:rsidP="00B10C2D">
      <w:pPr>
        <w:pStyle w:val="Heading3"/>
      </w:pPr>
      <w:r>
        <w:t>The shipping and p</w:t>
      </w:r>
      <w:r w:rsidR="00CE5C73" w:rsidRPr="00CE5C73">
        <w:t>orts industries</w:t>
      </w:r>
    </w:p>
    <w:p w14:paraId="09BAF8AC" w14:textId="6765E46E" w:rsidR="004839C8" w:rsidRDefault="00916D86" w:rsidP="00775D9A">
      <w:pPr>
        <w:pStyle w:val="ListBullet"/>
        <w:spacing w:after="120"/>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_Ref16685043 \h </w:instrText>
      </w:r>
      <w:r>
        <w:rPr>
          <w:rFonts w:ascii="Calibri" w:eastAsia="Microsoft JhengHei" w:hAnsi="Calibri"/>
          <w:szCs w:val="22"/>
        </w:rPr>
      </w:r>
      <w:r>
        <w:rPr>
          <w:rFonts w:ascii="Calibri" w:eastAsia="Microsoft JhengHei" w:hAnsi="Calibri"/>
          <w:szCs w:val="22"/>
        </w:rPr>
        <w:fldChar w:fldCharType="separate"/>
      </w:r>
      <w:r>
        <w:t xml:space="preserve">Table </w:t>
      </w:r>
      <w:r>
        <w:rPr>
          <w:noProof/>
        </w:rPr>
        <w:t>1</w:t>
      </w:r>
      <w:r>
        <w:rPr>
          <w:rFonts w:ascii="Calibri" w:eastAsia="Microsoft JhengHei" w:hAnsi="Calibri"/>
          <w:szCs w:val="22"/>
        </w:rPr>
        <w:fldChar w:fldCharType="end"/>
      </w:r>
      <w:r>
        <w:rPr>
          <w:rFonts w:ascii="Calibri" w:eastAsia="Microsoft JhengHei" w:hAnsi="Calibri"/>
          <w:szCs w:val="22"/>
        </w:rPr>
        <w:t xml:space="preserve"> and </w:t>
      </w:r>
      <w:r>
        <w:rPr>
          <w:rFonts w:ascii="Calibri" w:eastAsia="Microsoft JhengHei" w:hAnsi="Calibri"/>
          <w:szCs w:val="22"/>
        </w:rPr>
        <w:fldChar w:fldCharType="begin"/>
      </w:r>
      <w:r>
        <w:rPr>
          <w:rFonts w:ascii="Calibri" w:eastAsia="Microsoft JhengHei" w:hAnsi="Calibri"/>
          <w:szCs w:val="22"/>
        </w:rPr>
        <w:instrText xml:space="preserve"> REF _Ref16685068 \h </w:instrText>
      </w:r>
      <w:r>
        <w:rPr>
          <w:rFonts w:ascii="Calibri" w:eastAsia="Microsoft JhengHei" w:hAnsi="Calibri"/>
          <w:szCs w:val="22"/>
        </w:rPr>
      </w:r>
      <w:r>
        <w:rPr>
          <w:rFonts w:ascii="Calibri" w:eastAsia="Microsoft JhengHei" w:hAnsi="Calibri"/>
          <w:szCs w:val="22"/>
        </w:rPr>
        <w:fldChar w:fldCharType="separate"/>
      </w:r>
      <w:r>
        <w:t xml:space="preserve">Table </w:t>
      </w:r>
      <w:r>
        <w:rPr>
          <w:noProof/>
        </w:rPr>
        <w:t>2</w:t>
      </w:r>
      <w:r>
        <w:rPr>
          <w:rFonts w:ascii="Calibri" w:eastAsia="Microsoft JhengHei" w:hAnsi="Calibri"/>
          <w:szCs w:val="22"/>
        </w:rPr>
        <w:fldChar w:fldCharType="end"/>
      </w:r>
      <w:r>
        <w:rPr>
          <w:rFonts w:ascii="Calibri" w:eastAsia="Microsoft JhengHei" w:hAnsi="Calibri"/>
          <w:szCs w:val="22"/>
        </w:rPr>
        <w:t xml:space="preserve"> </w:t>
      </w:r>
      <w:r w:rsidR="004839C8">
        <w:rPr>
          <w:rFonts w:ascii="Calibri" w:eastAsia="Microsoft JhengHei" w:hAnsi="Calibri"/>
          <w:szCs w:val="22"/>
        </w:rPr>
        <w:t>below shows how activit</w:t>
      </w:r>
      <w:r w:rsidR="00D6793F">
        <w:rPr>
          <w:rFonts w:ascii="Calibri" w:eastAsia="Microsoft JhengHei" w:hAnsi="Calibri"/>
          <w:szCs w:val="22"/>
        </w:rPr>
        <w:t>ies for the shipping and p</w:t>
      </w:r>
      <w:r w:rsidR="00826B4B">
        <w:rPr>
          <w:rFonts w:ascii="Calibri" w:eastAsia="Microsoft JhengHei" w:hAnsi="Calibri"/>
          <w:szCs w:val="22"/>
        </w:rPr>
        <w:t>orts industries have been identified, and the data sources used to capture</w:t>
      </w:r>
      <w:r w:rsidR="004839C8">
        <w:rPr>
          <w:rFonts w:ascii="Calibri" w:eastAsia="Microsoft JhengHei" w:hAnsi="Calibri"/>
          <w:szCs w:val="22"/>
        </w:rPr>
        <w:t xml:space="preserve"> and</w:t>
      </w:r>
      <w:r w:rsidR="00826B4B">
        <w:rPr>
          <w:rFonts w:ascii="Calibri" w:eastAsia="Microsoft JhengHei" w:hAnsi="Calibri"/>
          <w:szCs w:val="22"/>
        </w:rPr>
        <w:t xml:space="preserve"> quantify the associated economic activity</w:t>
      </w:r>
      <w:r w:rsidR="004839C8">
        <w:rPr>
          <w:rFonts w:ascii="Calibri" w:eastAsia="Microsoft JhengHei" w:hAnsi="Calibri"/>
          <w:szCs w:val="22"/>
        </w:rPr>
        <w:t xml:space="preserve">. </w:t>
      </w:r>
    </w:p>
    <w:p w14:paraId="037B4224" w14:textId="4276C0F5" w:rsidR="008873E9" w:rsidRDefault="00916D86" w:rsidP="00916D86">
      <w:pPr>
        <w:pStyle w:val="Caption"/>
      </w:pPr>
      <w:bookmarkStart w:id="50" w:name="_Ref16685043"/>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1</w:t>
      </w:r>
      <w:r w:rsidR="00BF1DE1">
        <w:rPr>
          <w:noProof/>
        </w:rPr>
        <w:fldChar w:fldCharType="end"/>
      </w:r>
      <w:bookmarkEnd w:id="50"/>
      <w:r w:rsidR="008873E9">
        <w:t xml:space="preserve">: </w:t>
      </w:r>
      <w:r w:rsidR="00D6793F">
        <w:t>Mapping of Maritime S</w:t>
      </w:r>
      <w:r w:rsidR="00C411B4">
        <w:t>ector activities</w:t>
      </w:r>
      <w:r w:rsidR="001D2C60">
        <w:t xml:space="preserve">: ports activities </w:t>
      </w:r>
    </w:p>
    <w:tbl>
      <w:tblPr>
        <w:tblW w:w="9336" w:type="dxa"/>
        <w:tblInd w:w="-10" w:type="dxa"/>
        <w:tblLook w:val="04A0" w:firstRow="1" w:lastRow="0" w:firstColumn="1" w:lastColumn="0" w:noHBand="0" w:noVBand="1"/>
      </w:tblPr>
      <w:tblGrid>
        <w:gridCol w:w="1442"/>
        <w:gridCol w:w="2674"/>
        <w:gridCol w:w="3636"/>
        <w:gridCol w:w="1584"/>
      </w:tblGrid>
      <w:tr w:rsidR="001D2C60" w:rsidRPr="00040DD1" w14:paraId="04A73F15" w14:textId="77777777" w:rsidTr="000D4724">
        <w:trPr>
          <w:trHeight w:val="410"/>
        </w:trPr>
        <w:tc>
          <w:tcPr>
            <w:tcW w:w="1442" w:type="dxa"/>
            <w:tcBorders>
              <w:top w:val="nil"/>
              <w:left w:val="single" w:sz="8" w:space="0" w:color="FFFFFF"/>
              <w:bottom w:val="single" w:sz="12" w:space="0" w:color="FFFFFF"/>
              <w:right w:val="single" w:sz="12" w:space="0" w:color="FFFFFF"/>
            </w:tcBorders>
            <w:shd w:val="clear" w:color="000000" w:fill="008C9B"/>
            <w:vAlign w:val="center"/>
            <w:hideMark/>
          </w:tcPr>
          <w:p w14:paraId="796FE80F" w14:textId="77777777" w:rsidR="001D2C60" w:rsidRPr="00040DD1" w:rsidRDefault="001D2C60" w:rsidP="000D4724">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GROUPING</w:t>
            </w:r>
          </w:p>
        </w:tc>
        <w:tc>
          <w:tcPr>
            <w:tcW w:w="2674" w:type="dxa"/>
            <w:tcBorders>
              <w:top w:val="nil"/>
              <w:left w:val="nil"/>
              <w:bottom w:val="single" w:sz="12" w:space="0" w:color="FFFFFF"/>
              <w:right w:val="single" w:sz="12" w:space="0" w:color="FFFFFF"/>
            </w:tcBorders>
            <w:shd w:val="clear" w:color="000000" w:fill="008C9B"/>
            <w:vAlign w:val="center"/>
            <w:hideMark/>
          </w:tcPr>
          <w:p w14:paraId="552677D7" w14:textId="77777777" w:rsidR="001D2C60" w:rsidRPr="00040DD1" w:rsidRDefault="001D2C60" w:rsidP="000D4724">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ACTIVITY</w:t>
            </w:r>
          </w:p>
        </w:tc>
        <w:tc>
          <w:tcPr>
            <w:tcW w:w="3636" w:type="dxa"/>
            <w:tcBorders>
              <w:top w:val="nil"/>
              <w:left w:val="nil"/>
              <w:bottom w:val="single" w:sz="12" w:space="0" w:color="FFFFFF"/>
              <w:right w:val="single" w:sz="12" w:space="0" w:color="FFFFFF"/>
            </w:tcBorders>
            <w:shd w:val="clear" w:color="000000" w:fill="008C9B"/>
            <w:vAlign w:val="center"/>
            <w:hideMark/>
          </w:tcPr>
          <w:p w14:paraId="3FD05EA1" w14:textId="77777777" w:rsidR="001D2C60" w:rsidRPr="00040DD1" w:rsidRDefault="001D2C60" w:rsidP="000D4724">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MAPPING</w:t>
            </w:r>
          </w:p>
        </w:tc>
        <w:tc>
          <w:tcPr>
            <w:tcW w:w="1584" w:type="dxa"/>
            <w:tcBorders>
              <w:top w:val="nil"/>
              <w:left w:val="nil"/>
              <w:bottom w:val="single" w:sz="12" w:space="0" w:color="FFFFFF"/>
              <w:right w:val="single" w:sz="12" w:space="0" w:color="FFFFFF"/>
            </w:tcBorders>
            <w:shd w:val="clear" w:color="000000" w:fill="008C9B"/>
            <w:vAlign w:val="center"/>
            <w:hideMark/>
          </w:tcPr>
          <w:p w14:paraId="37CB1311" w14:textId="77777777" w:rsidR="001D2C60" w:rsidRPr="00040DD1" w:rsidRDefault="001D2C60" w:rsidP="000D4724">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SOURCE(S) USED</w:t>
            </w:r>
          </w:p>
        </w:tc>
      </w:tr>
      <w:tr w:rsidR="001D2C60" w:rsidRPr="00040DD1" w14:paraId="4B3E54DA" w14:textId="77777777" w:rsidTr="000D4724">
        <w:trPr>
          <w:trHeight w:val="811"/>
        </w:trPr>
        <w:tc>
          <w:tcPr>
            <w:tcW w:w="1442" w:type="dxa"/>
            <w:vMerge w:val="restart"/>
            <w:tcBorders>
              <w:top w:val="nil"/>
              <w:left w:val="single" w:sz="8" w:space="0" w:color="FFFFFF"/>
              <w:bottom w:val="single" w:sz="12" w:space="0" w:color="FFFFFF"/>
              <w:right w:val="single" w:sz="12" w:space="0" w:color="FFFFFF"/>
            </w:tcBorders>
            <w:shd w:val="clear" w:color="000000" w:fill="008C9B"/>
            <w:vAlign w:val="center"/>
            <w:hideMark/>
          </w:tcPr>
          <w:p w14:paraId="1F2BBC2F" w14:textId="77777777" w:rsidR="001D2C60" w:rsidRPr="00040DD1" w:rsidRDefault="001D2C60" w:rsidP="000D4724">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PORTS</w:t>
            </w:r>
          </w:p>
        </w:tc>
        <w:tc>
          <w:tcPr>
            <w:tcW w:w="2674" w:type="dxa"/>
            <w:tcBorders>
              <w:top w:val="nil"/>
              <w:left w:val="nil"/>
              <w:bottom w:val="single" w:sz="8" w:space="0" w:color="FFFFFF"/>
              <w:right w:val="single" w:sz="8" w:space="0" w:color="FFFFFF"/>
            </w:tcBorders>
            <w:shd w:val="clear" w:color="auto" w:fill="E7EEEF"/>
            <w:vAlign w:val="center"/>
            <w:hideMark/>
          </w:tcPr>
          <w:p w14:paraId="6BDF0959"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Warehousing and Storage</w:t>
            </w:r>
          </w:p>
        </w:tc>
        <w:tc>
          <w:tcPr>
            <w:tcW w:w="3636" w:type="dxa"/>
            <w:tcBorders>
              <w:top w:val="nil"/>
              <w:left w:val="nil"/>
              <w:bottom w:val="single" w:sz="8" w:space="0" w:color="FFFFFF"/>
              <w:right w:val="single" w:sz="8" w:space="0" w:color="FFFFFF"/>
            </w:tcBorders>
            <w:shd w:val="clear" w:color="000000" w:fill="E7EEEF"/>
            <w:vAlign w:val="center"/>
            <w:hideMark/>
          </w:tcPr>
          <w:p w14:paraId="667696F6"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52101, "Operation of Warehousing and Storage Facilities for Water Transport activities".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E7EEEF"/>
            <w:vAlign w:val="center"/>
            <w:hideMark/>
          </w:tcPr>
          <w:p w14:paraId="6E8A507A"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1D2C60" w:rsidRPr="00040DD1" w14:paraId="31DC1154" w14:textId="77777777" w:rsidTr="000D4724">
        <w:trPr>
          <w:trHeight w:val="1117"/>
        </w:trPr>
        <w:tc>
          <w:tcPr>
            <w:tcW w:w="1442" w:type="dxa"/>
            <w:vMerge/>
            <w:tcBorders>
              <w:top w:val="nil"/>
              <w:left w:val="single" w:sz="8" w:space="0" w:color="FFFFFF"/>
              <w:bottom w:val="single" w:sz="12" w:space="0" w:color="FFFFFF"/>
              <w:right w:val="single" w:sz="12" w:space="0" w:color="FFFFFF"/>
            </w:tcBorders>
            <w:vAlign w:val="center"/>
            <w:hideMark/>
          </w:tcPr>
          <w:p w14:paraId="314A04D7" w14:textId="77777777" w:rsidR="001D2C60" w:rsidRPr="00040DD1" w:rsidRDefault="001D2C60" w:rsidP="000D4724">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D0CECE"/>
            <w:vAlign w:val="center"/>
            <w:hideMark/>
          </w:tcPr>
          <w:p w14:paraId="7FA8772E"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Port Authority Management, Port Security and Marshals, Port Marine and Vessel Management Services, Marine Pilots, Port Harbour Support Vessels, and Engineering and Maintenance</w:t>
            </w:r>
          </w:p>
        </w:tc>
        <w:tc>
          <w:tcPr>
            <w:tcW w:w="3636" w:type="dxa"/>
            <w:tcBorders>
              <w:top w:val="nil"/>
              <w:left w:val="nil"/>
              <w:bottom w:val="single" w:sz="8" w:space="0" w:color="FFFFFF"/>
              <w:right w:val="single" w:sz="8" w:space="0" w:color="FFFFFF"/>
            </w:tcBorders>
            <w:shd w:val="clear" w:color="000000" w:fill="D0CECE"/>
            <w:vAlign w:val="center"/>
            <w:hideMark/>
          </w:tcPr>
          <w:p w14:paraId="7CF1200F"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52220, "Service activities incidental to water transportation".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D0CECE"/>
            <w:vAlign w:val="center"/>
            <w:hideMark/>
          </w:tcPr>
          <w:p w14:paraId="4967E57F"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1D2C60" w:rsidRPr="00040DD1" w14:paraId="4B2B5E82" w14:textId="77777777" w:rsidTr="000D4724">
        <w:trPr>
          <w:trHeight w:val="763"/>
        </w:trPr>
        <w:tc>
          <w:tcPr>
            <w:tcW w:w="1442" w:type="dxa"/>
            <w:vMerge/>
            <w:tcBorders>
              <w:top w:val="nil"/>
              <w:left w:val="single" w:sz="8" w:space="0" w:color="FFFFFF"/>
              <w:bottom w:val="single" w:sz="12" w:space="0" w:color="FFFFFF"/>
              <w:right w:val="single" w:sz="12" w:space="0" w:color="FFFFFF"/>
            </w:tcBorders>
            <w:vAlign w:val="center"/>
            <w:hideMark/>
          </w:tcPr>
          <w:p w14:paraId="62919556" w14:textId="77777777" w:rsidR="001D2C60" w:rsidRPr="00040DD1" w:rsidRDefault="001D2C60" w:rsidP="000D4724">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E7EEEF"/>
            <w:vAlign w:val="center"/>
            <w:hideMark/>
          </w:tcPr>
          <w:p w14:paraId="061AEB92"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Stevedores, cargo and passenger handling including crane/vehicle/plant drivers/operators</w:t>
            </w:r>
          </w:p>
        </w:tc>
        <w:tc>
          <w:tcPr>
            <w:tcW w:w="3636" w:type="dxa"/>
            <w:tcBorders>
              <w:top w:val="nil"/>
              <w:left w:val="nil"/>
              <w:bottom w:val="single" w:sz="8" w:space="0" w:color="FFFFFF"/>
              <w:right w:val="single" w:sz="8" w:space="0" w:color="FFFFFF"/>
            </w:tcBorders>
            <w:shd w:val="clear" w:color="000000" w:fill="E7EEEF"/>
            <w:vAlign w:val="center"/>
            <w:hideMark/>
          </w:tcPr>
          <w:p w14:paraId="51CC0605"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52241, "Cargo Handling for Water Transport Activities".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E7EEEF"/>
            <w:vAlign w:val="center"/>
            <w:hideMark/>
          </w:tcPr>
          <w:p w14:paraId="1B0FE0AF"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1D2C60" w:rsidRPr="00040DD1" w14:paraId="51F39B1C" w14:textId="77777777" w:rsidTr="000D4724">
        <w:trPr>
          <w:trHeight w:val="776"/>
        </w:trPr>
        <w:tc>
          <w:tcPr>
            <w:tcW w:w="1442" w:type="dxa"/>
            <w:vMerge/>
            <w:tcBorders>
              <w:top w:val="nil"/>
              <w:left w:val="single" w:sz="8" w:space="0" w:color="FFFFFF"/>
              <w:bottom w:val="single" w:sz="12" w:space="0" w:color="FFFFFF"/>
              <w:right w:val="single" w:sz="12" w:space="0" w:color="FFFFFF"/>
            </w:tcBorders>
            <w:vAlign w:val="center"/>
            <w:hideMark/>
          </w:tcPr>
          <w:p w14:paraId="59D57F43" w14:textId="77777777" w:rsidR="001D2C60" w:rsidRPr="00040DD1" w:rsidRDefault="001D2C60" w:rsidP="000D4724">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D0CECE"/>
            <w:vAlign w:val="center"/>
            <w:hideMark/>
          </w:tcPr>
          <w:p w14:paraId="6E80059A"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Border Agency, Home Office and HMRC staff operating in Ports</w:t>
            </w:r>
          </w:p>
        </w:tc>
        <w:tc>
          <w:tcPr>
            <w:tcW w:w="3636" w:type="dxa"/>
            <w:tcBorders>
              <w:top w:val="nil"/>
              <w:left w:val="nil"/>
              <w:bottom w:val="single" w:sz="8" w:space="0" w:color="FFFFFF"/>
              <w:right w:val="single" w:sz="8" w:space="0" w:color="FFFFFF"/>
            </w:tcBorders>
            <w:shd w:val="clear" w:color="000000" w:fill="D0CECE"/>
            <w:vAlign w:val="center"/>
            <w:hideMark/>
          </w:tcPr>
          <w:p w14:paraId="4063E419"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as public sector employees operating in UK ports.</w:t>
            </w:r>
          </w:p>
        </w:tc>
        <w:tc>
          <w:tcPr>
            <w:tcW w:w="1584" w:type="dxa"/>
            <w:tcBorders>
              <w:top w:val="nil"/>
              <w:left w:val="nil"/>
              <w:bottom w:val="single" w:sz="8" w:space="0" w:color="FFFFFF"/>
              <w:right w:val="single" w:sz="8" w:space="0" w:color="FFFFFF"/>
            </w:tcBorders>
            <w:shd w:val="clear" w:color="000000" w:fill="D0CECE"/>
            <w:vAlign w:val="center"/>
            <w:hideMark/>
          </w:tcPr>
          <w:p w14:paraId="5332765C" w14:textId="77777777" w:rsidR="001D2C60" w:rsidRPr="00040DD1" w:rsidRDefault="001D2C60" w:rsidP="000D4724">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Institute for Government, Port Freight Statistics, Cebr analysis</w:t>
            </w:r>
          </w:p>
        </w:tc>
      </w:tr>
    </w:tbl>
    <w:p w14:paraId="38D90A86" w14:textId="14BB438F" w:rsidR="008873E9" w:rsidRDefault="001D2C60" w:rsidP="005476D9">
      <w:pPr>
        <w:keepNext/>
        <w:keepLines/>
        <w:spacing w:before="60" w:after="0"/>
        <w:ind w:left="5760" w:firstLine="720"/>
        <w:jc w:val="right"/>
        <w:rPr>
          <w:i/>
          <w:sz w:val="18"/>
        </w:rPr>
      </w:pPr>
      <w:r>
        <w:t xml:space="preserve">    </w:t>
      </w:r>
      <w:r w:rsidR="008873E9">
        <w:rPr>
          <w:i/>
          <w:sz w:val="18"/>
        </w:rPr>
        <w:t>Source:</w:t>
      </w:r>
      <w:r w:rsidR="00C411B4">
        <w:rPr>
          <w:i/>
          <w:sz w:val="18"/>
        </w:rPr>
        <w:t xml:space="preserve"> </w:t>
      </w:r>
      <w:r w:rsidR="008A4762">
        <w:rPr>
          <w:i/>
          <w:sz w:val="18"/>
        </w:rPr>
        <w:t xml:space="preserve">Maritime UK, </w:t>
      </w:r>
      <w:r w:rsidR="008873E9">
        <w:rPr>
          <w:i/>
          <w:sz w:val="18"/>
        </w:rPr>
        <w:t>Cebr analysis</w:t>
      </w:r>
    </w:p>
    <w:p w14:paraId="3A1F2BDD" w14:textId="77777777" w:rsidR="004D4579" w:rsidRDefault="004D4579" w:rsidP="009F1195">
      <w:pPr>
        <w:pStyle w:val="ListBullet"/>
        <w:spacing w:after="0"/>
        <w:rPr>
          <w:rFonts w:ascii="Calibri" w:eastAsia="Microsoft JhengHei" w:hAnsi="Calibri"/>
          <w:szCs w:val="22"/>
        </w:rPr>
      </w:pPr>
    </w:p>
    <w:p w14:paraId="2C5E2BCE" w14:textId="77777777" w:rsidR="001D2C60" w:rsidRDefault="001D2C60" w:rsidP="009F1195">
      <w:pPr>
        <w:pStyle w:val="ListBullet"/>
        <w:spacing w:after="0"/>
        <w:rPr>
          <w:rFonts w:ascii="Calibri" w:eastAsia="Microsoft JhengHei" w:hAnsi="Calibri"/>
          <w:szCs w:val="22"/>
        </w:rPr>
      </w:pPr>
    </w:p>
    <w:p w14:paraId="33C3459E" w14:textId="77777777" w:rsidR="001D2C60" w:rsidRDefault="001D2C60" w:rsidP="009F1195">
      <w:pPr>
        <w:pStyle w:val="ListBullet"/>
        <w:spacing w:after="0"/>
        <w:rPr>
          <w:rFonts w:ascii="Calibri" w:eastAsia="Microsoft JhengHei" w:hAnsi="Calibri"/>
          <w:szCs w:val="22"/>
        </w:rPr>
      </w:pPr>
    </w:p>
    <w:p w14:paraId="655298AF" w14:textId="77777777" w:rsidR="001D2C60" w:rsidRDefault="001D2C60" w:rsidP="009F1195">
      <w:pPr>
        <w:pStyle w:val="ListBullet"/>
        <w:spacing w:after="0"/>
        <w:rPr>
          <w:rFonts w:ascii="Calibri" w:eastAsia="Microsoft JhengHei" w:hAnsi="Calibri"/>
          <w:szCs w:val="22"/>
        </w:rPr>
      </w:pPr>
    </w:p>
    <w:p w14:paraId="2CB86D0F" w14:textId="77777777" w:rsidR="001D2C60" w:rsidRDefault="001D2C60" w:rsidP="009F1195">
      <w:pPr>
        <w:pStyle w:val="ListBullet"/>
        <w:spacing w:after="0"/>
        <w:rPr>
          <w:rFonts w:ascii="Calibri" w:eastAsia="Microsoft JhengHei" w:hAnsi="Calibri"/>
          <w:szCs w:val="22"/>
        </w:rPr>
      </w:pPr>
    </w:p>
    <w:p w14:paraId="3A3C991D" w14:textId="77777777" w:rsidR="001D2C60" w:rsidRDefault="001D2C60" w:rsidP="009F1195">
      <w:pPr>
        <w:pStyle w:val="ListBullet"/>
        <w:spacing w:after="0"/>
        <w:rPr>
          <w:rFonts w:ascii="Calibri" w:eastAsia="Microsoft JhengHei" w:hAnsi="Calibri"/>
          <w:szCs w:val="22"/>
        </w:rPr>
      </w:pPr>
    </w:p>
    <w:p w14:paraId="41CABE02" w14:textId="77777777" w:rsidR="001D2C60" w:rsidRDefault="001D2C60" w:rsidP="009F1195">
      <w:pPr>
        <w:pStyle w:val="ListBullet"/>
        <w:spacing w:after="0"/>
        <w:rPr>
          <w:rFonts w:ascii="Calibri" w:eastAsia="Microsoft JhengHei" w:hAnsi="Calibri"/>
          <w:szCs w:val="22"/>
        </w:rPr>
      </w:pPr>
    </w:p>
    <w:p w14:paraId="2A613281" w14:textId="77777777" w:rsidR="001D2C60" w:rsidRDefault="001D2C60" w:rsidP="009F1195">
      <w:pPr>
        <w:pStyle w:val="ListBullet"/>
        <w:spacing w:after="0"/>
        <w:rPr>
          <w:rFonts w:ascii="Calibri" w:eastAsia="Microsoft JhengHei" w:hAnsi="Calibri"/>
          <w:szCs w:val="22"/>
        </w:rPr>
      </w:pPr>
    </w:p>
    <w:p w14:paraId="6DDB5268" w14:textId="77777777" w:rsidR="001D2C60" w:rsidRDefault="001D2C60" w:rsidP="009F1195">
      <w:pPr>
        <w:pStyle w:val="ListBullet"/>
        <w:spacing w:after="0"/>
        <w:rPr>
          <w:rFonts w:ascii="Calibri" w:eastAsia="Microsoft JhengHei" w:hAnsi="Calibri"/>
          <w:szCs w:val="22"/>
        </w:rPr>
      </w:pPr>
    </w:p>
    <w:p w14:paraId="19E82FB7" w14:textId="349292EC" w:rsidR="001D2C60" w:rsidRPr="001D2C60" w:rsidRDefault="00916D86" w:rsidP="00916D86">
      <w:pPr>
        <w:pStyle w:val="Caption"/>
      </w:pPr>
      <w:bookmarkStart w:id="51" w:name="_Ref16685068"/>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2</w:t>
      </w:r>
      <w:r w:rsidR="00BF1DE1">
        <w:rPr>
          <w:noProof/>
        </w:rPr>
        <w:fldChar w:fldCharType="end"/>
      </w:r>
      <w:bookmarkEnd w:id="51"/>
      <w:r w:rsidR="001D2C60">
        <w:t xml:space="preserve">: Mapping of Maritime Sector activities: shipping activities </w:t>
      </w:r>
    </w:p>
    <w:tbl>
      <w:tblPr>
        <w:tblW w:w="9276" w:type="dxa"/>
        <w:tblInd w:w="-10" w:type="dxa"/>
        <w:tblLook w:val="04A0" w:firstRow="1" w:lastRow="0" w:firstColumn="1" w:lastColumn="0" w:noHBand="0" w:noVBand="1"/>
      </w:tblPr>
      <w:tblGrid>
        <w:gridCol w:w="1418"/>
        <w:gridCol w:w="2410"/>
        <w:gridCol w:w="3969"/>
        <w:gridCol w:w="1479"/>
      </w:tblGrid>
      <w:tr w:rsidR="001D2C60" w:rsidRPr="005A4287" w14:paraId="55DF04C4" w14:textId="77777777" w:rsidTr="001D2C60">
        <w:trPr>
          <w:trHeight w:val="301"/>
        </w:trPr>
        <w:tc>
          <w:tcPr>
            <w:tcW w:w="1418"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067487B8" w14:textId="77777777" w:rsidR="001D2C60" w:rsidRPr="005A4287" w:rsidRDefault="001D2C60" w:rsidP="000D4724">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INDUSTRY</w:t>
            </w:r>
          </w:p>
        </w:tc>
        <w:tc>
          <w:tcPr>
            <w:tcW w:w="2410"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3F8759F0" w14:textId="77777777" w:rsidR="001D2C60" w:rsidRPr="005A4287" w:rsidRDefault="001D2C60" w:rsidP="000D4724">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ACTIVITY</w:t>
            </w:r>
          </w:p>
        </w:tc>
        <w:tc>
          <w:tcPr>
            <w:tcW w:w="3969"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46923095" w14:textId="77777777" w:rsidR="001D2C60" w:rsidRPr="005A4287" w:rsidRDefault="001D2C60" w:rsidP="000D4724">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MAPPING</w:t>
            </w:r>
          </w:p>
        </w:tc>
        <w:tc>
          <w:tcPr>
            <w:tcW w:w="1479"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715E9DF7" w14:textId="77777777" w:rsidR="001D2C60" w:rsidRPr="005A4287" w:rsidRDefault="001D2C60" w:rsidP="000D4724">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SOURCE(S) USED</w:t>
            </w:r>
          </w:p>
        </w:tc>
      </w:tr>
      <w:tr w:rsidR="001D2C60" w:rsidRPr="005A4287" w14:paraId="5D83A433" w14:textId="77777777" w:rsidTr="001D2C60">
        <w:trPr>
          <w:trHeight w:val="785"/>
        </w:trPr>
        <w:tc>
          <w:tcPr>
            <w:tcW w:w="1418" w:type="dxa"/>
            <w:vMerge w:val="restart"/>
            <w:tcBorders>
              <w:top w:val="nil"/>
              <w:left w:val="single" w:sz="8" w:space="0" w:color="FFFFFF"/>
              <w:bottom w:val="single" w:sz="12" w:space="0" w:color="FFFFFF"/>
              <w:right w:val="single" w:sz="12" w:space="0" w:color="FFFFFF"/>
            </w:tcBorders>
            <w:shd w:val="clear" w:color="000000" w:fill="008C9B"/>
            <w:vAlign w:val="center"/>
            <w:hideMark/>
          </w:tcPr>
          <w:p w14:paraId="67C6ACBE" w14:textId="77777777" w:rsidR="001D2C60" w:rsidRPr="005A4287" w:rsidRDefault="001D2C60" w:rsidP="000D4724">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SHIPPING</w:t>
            </w:r>
          </w:p>
        </w:tc>
        <w:tc>
          <w:tcPr>
            <w:tcW w:w="2410" w:type="dxa"/>
            <w:tcBorders>
              <w:top w:val="nil"/>
              <w:left w:val="nil"/>
              <w:bottom w:val="single" w:sz="8" w:space="0" w:color="FFFFFF"/>
              <w:right w:val="single" w:sz="8" w:space="0" w:color="FFFFFF"/>
            </w:tcBorders>
            <w:shd w:val="clear" w:color="000000" w:fill="E7EEEF"/>
            <w:vAlign w:val="center"/>
            <w:hideMark/>
          </w:tcPr>
          <w:p w14:paraId="4BDDD12F" w14:textId="77777777" w:rsidR="001D2C60" w:rsidRPr="001D2C60" w:rsidRDefault="001D2C60" w:rsidP="000D4724">
            <w:pPr>
              <w:spacing w:after="0"/>
              <w:rPr>
                <w:rFonts w:ascii="Calibri" w:eastAsia="Times New Roman" w:hAnsi="Calibri"/>
                <w:color w:val="000000"/>
                <w:sz w:val="18"/>
                <w:lang w:eastAsia="en-GB"/>
              </w:rPr>
            </w:pPr>
            <w:r w:rsidRPr="001D2C60">
              <w:rPr>
                <w:rFonts w:ascii="Calibri" w:eastAsia="Times New Roman" w:hAnsi="Calibri"/>
                <w:color w:val="000000"/>
                <w:sz w:val="18"/>
                <w:lang w:eastAsia="en-GB"/>
              </w:rPr>
              <w:t>Transport of Passengers International / Sea Faring</w:t>
            </w:r>
          </w:p>
        </w:tc>
        <w:tc>
          <w:tcPr>
            <w:tcW w:w="3969" w:type="dxa"/>
            <w:tcBorders>
              <w:top w:val="nil"/>
              <w:left w:val="nil"/>
              <w:bottom w:val="single" w:sz="8" w:space="0" w:color="FFFFFF"/>
              <w:right w:val="single" w:sz="8" w:space="0" w:color="FFFFFF"/>
            </w:tcBorders>
            <w:shd w:val="clear" w:color="000000" w:fill="E7EEEF"/>
            <w:vAlign w:val="center"/>
            <w:hideMark/>
          </w:tcPr>
          <w:p w14:paraId="17AEE1F3"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 50100, "Sea and Coastal Passenger Water Transport".</w:t>
            </w:r>
          </w:p>
        </w:tc>
        <w:tc>
          <w:tcPr>
            <w:tcW w:w="1479" w:type="dxa"/>
            <w:tcBorders>
              <w:top w:val="nil"/>
              <w:left w:val="nil"/>
              <w:bottom w:val="single" w:sz="8" w:space="0" w:color="FFFFFF"/>
              <w:right w:val="single" w:sz="8" w:space="0" w:color="FFFFFF"/>
            </w:tcBorders>
            <w:shd w:val="clear" w:color="000000" w:fill="E7EEEF"/>
            <w:vAlign w:val="center"/>
            <w:hideMark/>
          </w:tcPr>
          <w:p w14:paraId="2B1EF401"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1D2C60" w:rsidRPr="005A4287" w14:paraId="6C292925" w14:textId="77777777" w:rsidTr="001D2C60">
        <w:trPr>
          <w:trHeight w:val="668"/>
        </w:trPr>
        <w:tc>
          <w:tcPr>
            <w:tcW w:w="1418" w:type="dxa"/>
            <w:vMerge/>
            <w:tcBorders>
              <w:top w:val="nil"/>
              <w:left w:val="single" w:sz="8" w:space="0" w:color="FFFFFF"/>
              <w:bottom w:val="single" w:sz="12" w:space="0" w:color="FFFFFF"/>
              <w:right w:val="single" w:sz="12" w:space="0" w:color="FFFFFF"/>
            </w:tcBorders>
            <w:vAlign w:val="center"/>
            <w:hideMark/>
          </w:tcPr>
          <w:p w14:paraId="1E3F3091" w14:textId="77777777" w:rsidR="001D2C60" w:rsidRPr="005A4287" w:rsidRDefault="001D2C60" w:rsidP="000D4724">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D0CECE"/>
            <w:vAlign w:val="center"/>
            <w:hideMark/>
          </w:tcPr>
          <w:p w14:paraId="7936DDB3" w14:textId="77777777" w:rsidR="001D2C60" w:rsidRPr="001D2C60" w:rsidRDefault="001D2C60" w:rsidP="000D4724">
            <w:pPr>
              <w:spacing w:after="0"/>
              <w:rPr>
                <w:rFonts w:ascii="Calibri" w:eastAsia="Times New Roman" w:hAnsi="Calibri"/>
                <w:color w:val="000000"/>
                <w:sz w:val="18"/>
                <w:lang w:eastAsia="en-GB"/>
              </w:rPr>
            </w:pPr>
            <w:r w:rsidRPr="001D2C60">
              <w:rPr>
                <w:rFonts w:ascii="Calibri" w:eastAsia="Times New Roman" w:hAnsi="Calibri"/>
                <w:color w:val="000000"/>
                <w:sz w:val="18"/>
                <w:lang w:eastAsia="en-GB"/>
              </w:rPr>
              <w:t>Transport of Passengers on Inland Waterways</w:t>
            </w:r>
          </w:p>
        </w:tc>
        <w:tc>
          <w:tcPr>
            <w:tcW w:w="3969" w:type="dxa"/>
            <w:tcBorders>
              <w:top w:val="nil"/>
              <w:left w:val="nil"/>
              <w:bottom w:val="single" w:sz="8" w:space="0" w:color="FFFFFF"/>
              <w:right w:val="single" w:sz="8" w:space="0" w:color="FFFFFF"/>
            </w:tcBorders>
            <w:shd w:val="clear" w:color="000000" w:fill="D0CECE"/>
            <w:vAlign w:val="center"/>
            <w:hideMark/>
          </w:tcPr>
          <w:p w14:paraId="48E4109E"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 50300, "Inland Passenger Water Transport".</w:t>
            </w:r>
          </w:p>
        </w:tc>
        <w:tc>
          <w:tcPr>
            <w:tcW w:w="1479" w:type="dxa"/>
            <w:tcBorders>
              <w:top w:val="nil"/>
              <w:left w:val="nil"/>
              <w:bottom w:val="single" w:sz="8" w:space="0" w:color="FFFFFF"/>
              <w:right w:val="single" w:sz="8" w:space="0" w:color="FFFFFF"/>
            </w:tcBorders>
            <w:shd w:val="clear" w:color="000000" w:fill="D0CECE"/>
            <w:vAlign w:val="center"/>
            <w:hideMark/>
          </w:tcPr>
          <w:p w14:paraId="705E4926"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1D2C60" w:rsidRPr="005A4287" w14:paraId="6B5F7766" w14:textId="77777777" w:rsidTr="001D2C60">
        <w:trPr>
          <w:trHeight w:val="1047"/>
        </w:trPr>
        <w:tc>
          <w:tcPr>
            <w:tcW w:w="1418" w:type="dxa"/>
            <w:vMerge/>
            <w:tcBorders>
              <w:top w:val="nil"/>
              <w:left w:val="single" w:sz="8" w:space="0" w:color="FFFFFF"/>
              <w:bottom w:val="single" w:sz="12" w:space="0" w:color="FFFFFF"/>
              <w:right w:val="single" w:sz="12" w:space="0" w:color="FFFFFF"/>
            </w:tcBorders>
            <w:vAlign w:val="center"/>
            <w:hideMark/>
          </w:tcPr>
          <w:p w14:paraId="021C517A" w14:textId="77777777" w:rsidR="001D2C60" w:rsidRPr="005A4287" w:rsidRDefault="001D2C60" w:rsidP="000D4724">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E7EEEF"/>
            <w:vAlign w:val="center"/>
            <w:hideMark/>
          </w:tcPr>
          <w:p w14:paraId="136E717E" w14:textId="77777777" w:rsidR="001D2C60" w:rsidRPr="001D2C60" w:rsidRDefault="001D2C60" w:rsidP="000D4724">
            <w:pPr>
              <w:spacing w:after="0"/>
              <w:rPr>
                <w:rFonts w:ascii="Calibri" w:eastAsia="Times New Roman" w:hAnsi="Calibri"/>
                <w:color w:val="000000"/>
                <w:sz w:val="18"/>
                <w:lang w:eastAsia="en-GB"/>
              </w:rPr>
            </w:pPr>
            <w:r w:rsidRPr="001D2C60">
              <w:rPr>
                <w:rFonts w:ascii="Calibri" w:eastAsia="Times New Roman" w:hAnsi="Calibri"/>
                <w:color w:val="000000"/>
                <w:sz w:val="18"/>
                <w:lang w:eastAsia="en-GB"/>
              </w:rPr>
              <w:t xml:space="preserve">Transport of Freight International/ Sea Faring </w:t>
            </w:r>
          </w:p>
        </w:tc>
        <w:tc>
          <w:tcPr>
            <w:tcW w:w="3969" w:type="dxa"/>
            <w:tcBorders>
              <w:top w:val="nil"/>
              <w:left w:val="nil"/>
              <w:bottom w:val="single" w:sz="8" w:space="0" w:color="FFFFFF"/>
              <w:right w:val="single" w:sz="8" w:space="0" w:color="FFFFFF"/>
            </w:tcBorders>
            <w:shd w:val="clear" w:color="000000" w:fill="E7EEEF"/>
            <w:vAlign w:val="center"/>
            <w:hideMark/>
          </w:tcPr>
          <w:p w14:paraId="0F049CC9"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codes 50200 and 77342, "Sea and coastal freight water transport", and "Renting and Leasing of Freight Water Transport Equipment".</w:t>
            </w:r>
          </w:p>
        </w:tc>
        <w:tc>
          <w:tcPr>
            <w:tcW w:w="1479" w:type="dxa"/>
            <w:tcBorders>
              <w:top w:val="nil"/>
              <w:left w:val="nil"/>
              <w:bottom w:val="single" w:sz="8" w:space="0" w:color="FFFFFF"/>
              <w:right w:val="single" w:sz="8" w:space="0" w:color="FFFFFF"/>
            </w:tcBorders>
            <w:shd w:val="clear" w:color="000000" w:fill="E7EEEF"/>
            <w:vAlign w:val="center"/>
            <w:hideMark/>
          </w:tcPr>
          <w:p w14:paraId="3EFF835E"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1D2C60" w:rsidRPr="005A4287" w14:paraId="1C65FD19" w14:textId="77777777" w:rsidTr="001D2C60">
        <w:trPr>
          <w:trHeight w:val="693"/>
        </w:trPr>
        <w:tc>
          <w:tcPr>
            <w:tcW w:w="1418" w:type="dxa"/>
            <w:vMerge/>
            <w:tcBorders>
              <w:top w:val="nil"/>
              <w:left w:val="single" w:sz="8" w:space="0" w:color="FFFFFF"/>
              <w:bottom w:val="single" w:sz="12" w:space="0" w:color="FFFFFF"/>
              <w:right w:val="single" w:sz="12" w:space="0" w:color="FFFFFF"/>
            </w:tcBorders>
            <w:vAlign w:val="center"/>
            <w:hideMark/>
          </w:tcPr>
          <w:p w14:paraId="4874847B" w14:textId="77777777" w:rsidR="001D2C60" w:rsidRPr="005A4287" w:rsidRDefault="001D2C60" w:rsidP="000D4724">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D0CECE"/>
            <w:vAlign w:val="center"/>
            <w:hideMark/>
          </w:tcPr>
          <w:p w14:paraId="390B4969" w14:textId="77777777" w:rsidR="001D2C60" w:rsidRPr="001D2C60" w:rsidRDefault="001D2C60" w:rsidP="000D4724">
            <w:pPr>
              <w:spacing w:after="0"/>
              <w:rPr>
                <w:rFonts w:ascii="Calibri" w:eastAsia="Times New Roman" w:hAnsi="Calibri"/>
                <w:bCs/>
                <w:color w:val="000000"/>
                <w:sz w:val="18"/>
                <w:lang w:eastAsia="en-GB"/>
              </w:rPr>
            </w:pPr>
            <w:r w:rsidRPr="001D2C60">
              <w:rPr>
                <w:rFonts w:ascii="Calibri" w:eastAsia="Times New Roman" w:hAnsi="Calibri"/>
                <w:bCs/>
                <w:color w:val="000000"/>
                <w:sz w:val="18"/>
                <w:lang w:eastAsia="en-GB"/>
              </w:rPr>
              <w:t>Transport of Freight on Inland Waterways</w:t>
            </w:r>
          </w:p>
        </w:tc>
        <w:tc>
          <w:tcPr>
            <w:tcW w:w="3969" w:type="dxa"/>
            <w:tcBorders>
              <w:top w:val="nil"/>
              <w:left w:val="nil"/>
              <w:bottom w:val="single" w:sz="8" w:space="0" w:color="FFFFFF"/>
              <w:right w:val="single" w:sz="8" w:space="0" w:color="FFFFFF"/>
            </w:tcBorders>
            <w:shd w:val="clear" w:color="000000" w:fill="D0CECE"/>
            <w:vAlign w:val="center"/>
            <w:hideMark/>
          </w:tcPr>
          <w:p w14:paraId="010C1C1D"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 50400, "Inland Freight Water Transport".</w:t>
            </w:r>
          </w:p>
        </w:tc>
        <w:tc>
          <w:tcPr>
            <w:tcW w:w="1479" w:type="dxa"/>
            <w:tcBorders>
              <w:top w:val="nil"/>
              <w:left w:val="nil"/>
              <w:bottom w:val="single" w:sz="8" w:space="0" w:color="FFFFFF"/>
              <w:right w:val="single" w:sz="8" w:space="0" w:color="FFFFFF"/>
            </w:tcBorders>
            <w:shd w:val="clear" w:color="000000" w:fill="D0CECE"/>
            <w:vAlign w:val="center"/>
            <w:hideMark/>
          </w:tcPr>
          <w:p w14:paraId="489F2547"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1D2C60" w:rsidRPr="005A4287" w14:paraId="624E0161" w14:textId="77777777" w:rsidTr="001D2C60">
        <w:trPr>
          <w:trHeight w:val="833"/>
        </w:trPr>
        <w:tc>
          <w:tcPr>
            <w:tcW w:w="1418" w:type="dxa"/>
            <w:vMerge/>
            <w:tcBorders>
              <w:top w:val="nil"/>
              <w:left w:val="single" w:sz="8" w:space="0" w:color="FFFFFF"/>
              <w:bottom w:val="single" w:sz="12" w:space="0" w:color="FFFFFF"/>
              <w:right w:val="single" w:sz="12" w:space="0" w:color="FFFFFF"/>
            </w:tcBorders>
            <w:vAlign w:val="center"/>
            <w:hideMark/>
          </w:tcPr>
          <w:p w14:paraId="0FAB6108" w14:textId="77777777" w:rsidR="001D2C60" w:rsidRPr="005A4287" w:rsidRDefault="001D2C60" w:rsidP="000D4724">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E7EEEF"/>
            <w:vAlign w:val="center"/>
            <w:hideMark/>
          </w:tcPr>
          <w:p w14:paraId="3CB6252E" w14:textId="77777777" w:rsidR="001D2C60" w:rsidRPr="001D2C60" w:rsidRDefault="001D2C60" w:rsidP="000D4724">
            <w:pPr>
              <w:spacing w:after="0"/>
              <w:rPr>
                <w:rFonts w:ascii="Calibri" w:eastAsia="Times New Roman" w:hAnsi="Calibri"/>
                <w:color w:val="000000"/>
                <w:sz w:val="18"/>
                <w:lang w:eastAsia="en-GB"/>
              </w:rPr>
            </w:pPr>
            <w:r w:rsidRPr="001D2C60">
              <w:rPr>
                <w:rFonts w:ascii="Calibri" w:eastAsia="Times New Roman" w:hAnsi="Calibri"/>
                <w:color w:val="000000"/>
                <w:sz w:val="18"/>
                <w:lang w:eastAsia="en-GB"/>
              </w:rPr>
              <w:t>Other shipping activity not captured through SIC codes 50100 – 50400 in the FAME database</w:t>
            </w:r>
          </w:p>
        </w:tc>
        <w:tc>
          <w:tcPr>
            <w:tcW w:w="3969" w:type="dxa"/>
            <w:tcBorders>
              <w:top w:val="nil"/>
              <w:left w:val="nil"/>
              <w:bottom w:val="single" w:sz="8" w:space="0" w:color="FFFFFF"/>
              <w:right w:val="single" w:sz="8" w:space="0" w:color="FFFFFF"/>
            </w:tcBorders>
            <w:shd w:val="clear" w:color="000000" w:fill="E7EEEF"/>
            <w:vAlign w:val="center"/>
            <w:hideMark/>
          </w:tcPr>
          <w:p w14:paraId="32BD352C"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and quantified through UKCoS statistics for shipping-related employment</w:t>
            </w:r>
          </w:p>
        </w:tc>
        <w:tc>
          <w:tcPr>
            <w:tcW w:w="1479" w:type="dxa"/>
            <w:tcBorders>
              <w:top w:val="nil"/>
              <w:left w:val="nil"/>
              <w:bottom w:val="single" w:sz="8" w:space="0" w:color="FFFFFF"/>
              <w:right w:val="single" w:sz="8" w:space="0" w:color="FFFFFF"/>
            </w:tcBorders>
            <w:shd w:val="clear" w:color="000000" w:fill="E7EEEF"/>
            <w:vAlign w:val="center"/>
            <w:hideMark/>
          </w:tcPr>
          <w:p w14:paraId="1FAD9C33"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UKCoS Manpower Survey, FAME</w:t>
            </w:r>
          </w:p>
        </w:tc>
      </w:tr>
    </w:tbl>
    <w:p w14:paraId="00347C21" w14:textId="404667E4" w:rsidR="001D2C60" w:rsidRDefault="001D2C60" w:rsidP="005476D9">
      <w:pPr>
        <w:keepNext/>
        <w:keepLines/>
        <w:spacing w:before="60" w:after="0"/>
        <w:ind w:left="5760" w:firstLine="720"/>
        <w:jc w:val="center"/>
        <w:rPr>
          <w:i/>
          <w:sz w:val="18"/>
        </w:rPr>
      </w:pPr>
      <w:r>
        <w:rPr>
          <w:i/>
          <w:sz w:val="18"/>
        </w:rPr>
        <w:t>Source: Maritime UK, Cebr analysis</w:t>
      </w:r>
    </w:p>
    <w:p w14:paraId="01E6987C" w14:textId="77777777" w:rsidR="001D2C60" w:rsidRDefault="001D2C60" w:rsidP="009F1195">
      <w:pPr>
        <w:pStyle w:val="ListBullet"/>
        <w:spacing w:after="0"/>
        <w:rPr>
          <w:rFonts w:ascii="Calibri" w:eastAsia="Microsoft JhengHei" w:hAnsi="Calibri"/>
          <w:szCs w:val="22"/>
        </w:rPr>
      </w:pPr>
    </w:p>
    <w:p w14:paraId="2FEEAC5C" w14:textId="6919A28F" w:rsidR="008873E9" w:rsidRDefault="00D6793F" w:rsidP="00107FC0">
      <w:pPr>
        <w:pStyle w:val="ListBullet"/>
        <w:spacing w:after="120"/>
        <w:rPr>
          <w:rFonts w:ascii="Calibri" w:eastAsia="Microsoft JhengHei" w:hAnsi="Calibri"/>
          <w:szCs w:val="22"/>
        </w:rPr>
      </w:pPr>
      <w:r>
        <w:rPr>
          <w:rFonts w:ascii="Calibri" w:eastAsia="Microsoft JhengHei" w:hAnsi="Calibri"/>
          <w:szCs w:val="22"/>
        </w:rPr>
        <w:t>For the majority of shipping and p</w:t>
      </w:r>
      <w:r w:rsidR="00220478">
        <w:rPr>
          <w:rFonts w:ascii="Calibri" w:eastAsia="Microsoft JhengHei" w:hAnsi="Calibri"/>
          <w:szCs w:val="22"/>
        </w:rPr>
        <w:t xml:space="preserve">orts industry activities, business demography data taken from the FAME database has been used to generate UK-level estimates for the direct economic impacts of each activity. </w:t>
      </w:r>
      <w:r w:rsidR="0011534E">
        <w:rPr>
          <w:rFonts w:ascii="Calibri" w:eastAsia="Microsoft JhengHei" w:hAnsi="Calibri"/>
          <w:szCs w:val="22"/>
        </w:rPr>
        <w:t>Data taken from the ONS Business Register of Employment Survey (BRES) has then been used to disaggregate national level data</w:t>
      </w:r>
      <w:r w:rsidR="002448A0">
        <w:rPr>
          <w:rFonts w:ascii="Calibri" w:eastAsia="Microsoft JhengHei" w:hAnsi="Calibri"/>
          <w:szCs w:val="22"/>
        </w:rPr>
        <w:t xml:space="preserve"> at Scotland-level</w:t>
      </w:r>
      <w:r w:rsidR="00107FC0">
        <w:rPr>
          <w:rFonts w:ascii="Calibri" w:eastAsia="Microsoft JhengHei" w:hAnsi="Calibri"/>
          <w:szCs w:val="22"/>
        </w:rPr>
        <w:t xml:space="preserve">. </w:t>
      </w:r>
      <w:r w:rsidR="00220478">
        <w:rPr>
          <w:rFonts w:ascii="Calibri" w:eastAsia="Microsoft JhengHei" w:hAnsi="Calibri"/>
          <w:szCs w:val="22"/>
        </w:rPr>
        <w:t>In the case of activities</w:t>
      </w:r>
      <w:r>
        <w:rPr>
          <w:rFonts w:ascii="Calibri" w:eastAsia="Microsoft JhengHei" w:hAnsi="Calibri"/>
          <w:szCs w:val="22"/>
        </w:rPr>
        <w:t xml:space="preserve"> for the p</w:t>
      </w:r>
      <w:r w:rsidR="007F3FDD">
        <w:rPr>
          <w:rFonts w:ascii="Calibri" w:eastAsia="Microsoft JhengHei" w:hAnsi="Calibri"/>
          <w:szCs w:val="22"/>
        </w:rPr>
        <w:t>orts industry</w:t>
      </w:r>
      <w:r w:rsidR="00220478">
        <w:rPr>
          <w:rFonts w:ascii="Calibri" w:eastAsia="Microsoft JhengHei" w:hAnsi="Calibri"/>
          <w:szCs w:val="22"/>
        </w:rPr>
        <w:t>, only activity taking place in council wards</w:t>
      </w:r>
      <w:r w:rsidR="006239F0">
        <w:rPr>
          <w:rFonts w:ascii="Calibri" w:eastAsia="Microsoft JhengHei" w:hAnsi="Calibri"/>
          <w:szCs w:val="22"/>
        </w:rPr>
        <w:t xml:space="preserve"> </w:t>
      </w:r>
      <w:r w:rsidR="002448A0">
        <w:rPr>
          <w:rFonts w:ascii="Calibri" w:eastAsia="Microsoft JhengHei" w:hAnsi="Calibri"/>
          <w:szCs w:val="22"/>
        </w:rPr>
        <w:t>in Scotland</w:t>
      </w:r>
      <w:r w:rsidR="006239F0">
        <w:rPr>
          <w:rFonts w:ascii="Calibri" w:eastAsia="Microsoft JhengHei" w:hAnsi="Calibri"/>
          <w:szCs w:val="22"/>
        </w:rPr>
        <w:t xml:space="preserve"> </w:t>
      </w:r>
      <w:r w:rsidR="00220478">
        <w:rPr>
          <w:rFonts w:ascii="Calibri" w:eastAsia="Microsoft JhengHei" w:hAnsi="Calibri"/>
          <w:szCs w:val="22"/>
        </w:rPr>
        <w:t>which contain a major or minor UK port has been captured, on the assumption that warehousing and storage and other activities taking place in these locations relate to the associated port.</w:t>
      </w:r>
    </w:p>
    <w:p w14:paraId="586096BA" w14:textId="77752E88" w:rsidR="00CE5C73" w:rsidRPr="00CE5C73" w:rsidRDefault="00CE5C73" w:rsidP="00B10C2D">
      <w:pPr>
        <w:pStyle w:val="Heading3"/>
      </w:pPr>
      <w:r w:rsidRPr="00CE5C73">
        <w:t xml:space="preserve">The </w:t>
      </w:r>
      <w:r w:rsidR="00B10C2D">
        <w:t xml:space="preserve">leisure marine and marine engineering and scientific industries </w:t>
      </w:r>
    </w:p>
    <w:p w14:paraId="13515931" w14:textId="66499421" w:rsidR="00EA1603" w:rsidRDefault="00916D86" w:rsidP="00910768">
      <w:pPr>
        <w:pStyle w:val="ListBullet"/>
        <w:spacing w:after="120"/>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_Ref16685090 \h </w:instrText>
      </w:r>
      <w:r>
        <w:rPr>
          <w:rFonts w:ascii="Calibri" w:eastAsia="Microsoft JhengHei" w:hAnsi="Calibri"/>
          <w:szCs w:val="22"/>
        </w:rPr>
      </w:r>
      <w:r>
        <w:rPr>
          <w:rFonts w:ascii="Calibri" w:eastAsia="Microsoft JhengHei" w:hAnsi="Calibri"/>
          <w:szCs w:val="22"/>
        </w:rPr>
        <w:fldChar w:fldCharType="separate"/>
      </w:r>
      <w:r>
        <w:t xml:space="preserve">Table </w:t>
      </w:r>
      <w:r>
        <w:rPr>
          <w:noProof/>
        </w:rPr>
        <w:t>3</w:t>
      </w:r>
      <w:r>
        <w:rPr>
          <w:rFonts w:ascii="Calibri" w:eastAsia="Microsoft JhengHei" w:hAnsi="Calibri"/>
          <w:szCs w:val="22"/>
        </w:rPr>
        <w:fldChar w:fldCharType="end"/>
      </w:r>
      <w:r>
        <w:rPr>
          <w:rFonts w:ascii="Calibri" w:eastAsia="Microsoft JhengHei" w:hAnsi="Calibri"/>
          <w:szCs w:val="22"/>
        </w:rPr>
        <w:t xml:space="preserve"> and </w:t>
      </w:r>
      <w:r>
        <w:rPr>
          <w:rFonts w:ascii="Calibri" w:eastAsia="Microsoft JhengHei" w:hAnsi="Calibri"/>
          <w:szCs w:val="22"/>
        </w:rPr>
        <w:fldChar w:fldCharType="begin"/>
      </w:r>
      <w:r>
        <w:rPr>
          <w:rFonts w:ascii="Calibri" w:eastAsia="Microsoft JhengHei" w:hAnsi="Calibri"/>
          <w:szCs w:val="22"/>
        </w:rPr>
        <w:instrText xml:space="preserve"> REF _Ref16685116 \h </w:instrText>
      </w:r>
      <w:r>
        <w:rPr>
          <w:rFonts w:ascii="Calibri" w:eastAsia="Microsoft JhengHei" w:hAnsi="Calibri"/>
          <w:szCs w:val="22"/>
        </w:rPr>
      </w:r>
      <w:r>
        <w:rPr>
          <w:rFonts w:ascii="Calibri" w:eastAsia="Microsoft JhengHei" w:hAnsi="Calibri"/>
          <w:szCs w:val="22"/>
        </w:rPr>
        <w:fldChar w:fldCharType="separate"/>
      </w:r>
      <w:r>
        <w:t xml:space="preserve">Table </w:t>
      </w:r>
      <w:r>
        <w:rPr>
          <w:noProof/>
        </w:rPr>
        <w:t>4</w:t>
      </w:r>
      <w:r>
        <w:rPr>
          <w:rFonts w:ascii="Calibri" w:eastAsia="Microsoft JhengHei" w:hAnsi="Calibri"/>
          <w:szCs w:val="22"/>
        </w:rPr>
        <w:fldChar w:fldCharType="end"/>
      </w:r>
      <w:r>
        <w:rPr>
          <w:rFonts w:ascii="Calibri" w:eastAsia="Microsoft JhengHei" w:hAnsi="Calibri"/>
          <w:szCs w:val="22"/>
        </w:rPr>
        <w:t xml:space="preserve"> </w:t>
      </w:r>
      <w:r w:rsidR="00EA1603">
        <w:rPr>
          <w:rFonts w:ascii="Calibri" w:eastAsia="Microsoft JhengHei" w:hAnsi="Calibri"/>
          <w:szCs w:val="22"/>
        </w:rPr>
        <w:t>below shows how activit</w:t>
      </w:r>
      <w:r w:rsidR="00D6793F">
        <w:rPr>
          <w:rFonts w:ascii="Calibri" w:eastAsia="Microsoft JhengHei" w:hAnsi="Calibri"/>
          <w:szCs w:val="22"/>
        </w:rPr>
        <w:t xml:space="preserve">ies for the leisure marine and marine engineering and scientific industries </w:t>
      </w:r>
      <w:r w:rsidR="00EA1603">
        <w:rPr>
          <w:rFonts w:ascii="Calibri" w:eastAsia="Microsoft JhengHei" w:hAnsi="Calibri"/>
          <w:szCs w:val="22"/>
        </w:rPr>
        <w:t xml:space="preserve">have been identified, and the data sources used to capture and quantify the associated economic activity. </w:t>
      </w:r>
    </w:p>
    <w:p w14:paraId="385FBE94" w14:textId="77777777" w:rsidR="001D2C60" w:rsidRDefault="001D2C60" w:rsidP="00910768">
      <w:pPr>
        <w:pStyle w:val="ListBullet"/>
        <w:spacing w:after="120"/>
        <w:rPr>
          <w:rFonts w:ascii="Calibri" w:eastAsia="Microsoft JhengHei" w:hAnsi="Calibri"/>
          <w:szCs w:val="22"/>
        </w:rPr>
      </w:pPr>
    </w:p>
    <w:p w14:paraId="4C1EFBEC" w14:textId="77777777" w:rsidR="001D2C60" w:rsidRDefault="001D2C60" w:rsidP="00910768">
      <w:pPr>
        <w:pStyle w:val="ListBullet"/>
        <w:spacing w:after="120"/>
        <w:rPr>
          <w:rFonts w:ascii="Calibri" w:eastAsia="Microsoft JhengHei" w:hAnsi="Calibri"/>
          <w:szCs w:val="22"/>
        </w:rPr>
      </w:pPr>
    </w:p>
    <w:p w14:paraId="5BB36380" w14:textId="77777777" w:rsidR="001D2C60" w:rsidRDefault="001D2C60" w:rsidP="00910768">
      <w:pPr>
        <w:pStyle w:val="ListBullet"/>
        <w:spacing w:after="120"/>
        <w:rPr>
          <w:rFonts w:ascii="Calibri" w:eastAsia="Microsoft JhengHei" w:hAnsi="Calibri"/>
          <w:szCs w:val="22"/>
        </w:rPr>
      </w:pPr>
    </w:p>
    <w:p w14:paraId="0BFD0C61" w14:textId="77777777" w:rsidR="001D2C60" w:rsidRDefault="001D2C60" w:rsidP="00910768">
      <w:pPr>
        <w:pStyle w:val="ListBullet"/>
        <w:spacing w:after="120"/>
        <w:rPr>
          <w:rFonts w:ascii="Calibri" w:eastAsia="Microsoft JhengHei" w:hAnsi="Calibri"/>
          <w:szCs w:val="22"/>
        </w:rPr>
      </w:pPr>
    </w:p>
    <w:p w14:paraId="05D0A7C7" w14:textId="77777777" w:rsidR="001D2C60" w:rsidRDefault="001D2C60" w:rsidP="00910768">
      <w:pPr>
        <w:pStyle w:val="ListBullet"/>
        <w:spacing w:after="120"/>
        <w:rPr>
          <w:rFonts w:ascii="Calibri" w:eastAsia="Microsoft JhengHei" w:hAnsi="Calibri"/>
          <w:szCs w:val="22"/>
        </w:rPr>
      </w:pPr>
    </w:p>
    <w:p w14:paraId="30C13C29" w14:textId="77777777" w:rsidR="001D2C60" w:rsidRDefault="001D2C60" w:rsidP="00910768">
      <w:pPr>
        <w:pStyle w:val="ListBullet"/>
        <w:spacing w:after="120"/>
        <w:rPr>
          <w:rFonts w:ascii="Calibri" w:eastAsia="Microsoft JhengHei" w:hAnsi="Calibri"/>
          <w:szCs w:val="22"/>
        </w:rPr>
      </w:pPr>
    </w:p>
    <w:p w14:paraId="002DB396" w14:textId="77777777" w:rsidR="001D2C60" w:rsidRDefault="001D2C60" w:rsidP="00910768">
      <w:pPr>
        <w:pStyle w:val="ListBullet"/>
        <w:spacing w:after="120"/>
        <w:rPr>
          <w:rFonts w:ascii="Calibri" w:eastAsia="Microsoft JhengHei" w:hAnsi="Calibri"/>
          <w:szCs w:val="22"/>
        </w:rPr>
      </w:pPr>
    </w:p>
    <w:p w14:paraId="744F27ED" w14:textId="77777777" w:rsidR="001D2C60" w:rsidRDefault="001D2C60" w:rsidP="00910768">
      <w:pPr>
        <w:pStyle w:val="ListBullet"/>
        <w:spacing w:after="120"/>
        <w:rPr>
          <w:rFonts w:ascii="Calibri" w:eastAsia="Microsoft JhengHei" w:hAnsi="Calibri"/>
          <w:szCs w:val="22"/>
        </w:rPr>
      </w:pPr>
    </w:p>
    <w:p w14:paraId="1BBBB646" w14:textId="77777777" w:rsidR="001D2C60" w:rsidRDefault="001D2C60" w:rsidP="00910768">
      <w:pPr>
        <w:pStyle w:val="ListBullet"/>
        <w:spacing w:after="120"/>
        <w:rPr>
          <w:rFonts w:ascii="Calibri" w:eastAsia="Microsoft JhengHei" w:hAnsi="Calibri"/>
          <w:szCs w:val="22"/>
        </w:rPr>
      </w:pPr>
    </w:p>
    <w:p w14:paraId="0B4C5102" w14:textId="77777777" w:rsidR="001D2C60" w:rsidRDefault="001D2C60" w:rsidP="00910768">
      <w:pPr>
        <w:pStyle w:val="ListBullet"/>
        <w:spacing w:after="120"/>
        <w:rPr>
          <w:rFonts w:ascii="Calibri" w:eastAsia="Microsoft JhengHei" w:hAnsi="Calibri"/>
          <w:szCs w:val="22"/>
        </w:rPr>
      </w:pPr>
    </w:p>
    <w:p w14:paraId="09CC6856" w14:textId="77777777" w:rsidR="001D2C60" w:rsidRDefault="001D2C60" w:rsidP="00910768">
      <w:pPr>
        <w:pStyle w:val="ListBullet"/>
        <w:spacing w:after="120"/>
        <w:rPr>
          <w:rFonts w:ascii="Calibri" w:eastAsia="Microsoft JhengHei" w:hAnsi="Calibri"/>
          <w:szCs w:val="22"/>
        </w:rPr>
      </w:pPr>
    </w:p>
    <w:p w14:paraId="01CB5DF9" w14:textId="77777777" w:rsidR="001D2C60" w:rsidRDefault="001D2C60" w:rsidP="00910768">
      <w:pPr>
        <w:pStyle w:val="ListBullet"/>
        <w:spacing w:after="120"/>
        <w:rPr>
          <w:rFonts w:ascii="Calibri" w:eastAsia="Microsoft JhengHei" w:hAnsi="Calibri"/>
          <w:szCs w:val="22"/>
        </w:rPr>
      </w:pPr>
    </w:p>
    <w:p w14:paraId="71E0CBCE" w14:textId="77777777" w:rsidR="001D2C60" w:rsidRDefault="001D2C60" w:rsidP="00910768">
      <w:pPr>
        <w:pStyle w:val="ListBullet"/>
        <w:spacing w:after="120"/>
        <w:rPr>
          <w:rFonts w:ascii="Calibri" w:eastAsia="Microsoft JhengHei" w:hAnsi="Calibri"/>
          <w:szCs w:val="22"/>
        </w:rPr>
      </w:pPr>
    </w:p>
    <w:p w14:paraId="2822DEEB" w14:textId="57E80DFB" w:rsidR="000219E1" w:rsidRDefault="00916D86" w:rsidP="00916D86">
      <w:pPr>
        <w:pStyle w:val="Caption"/>
      </w:pPr>
      <w:bookmarkStart w:id="52" w:name="_Ref16685090"/>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3</w:t>
      </w:r>
      <w:r w:rsidR="00BF1DE1">
        <w:rPr>
          <w:noProof/>
        </w:rPr>
        <w:fldChar w:fldCharType="end"/>
      </w:r>
      <w:bookmarkEnd w:id="52"/>
      <w:r w:rsidR="00D6793F">
        <w:t>: Mapping of Maritime S</w:t>
      </w:r>
      <w:r w:rsidR="000219E1">
        <w:t xml:space="preserve">ector activities: </w:t>
      </w:r>
      <w:r w:rsidR="00D6793F">
        <w:t xml:space="preserve">marine engineering and scientific industries </w:t>
      </w:r>
    </w:p>
    <w:tbl>
      <w:tblPr>
        <w:tblW w:w="9532" w:type="dxa"/>
        <w:tblInd w:w="-10" w:type="dxa"/>
        <w:tblLook w:val="04A0" w:firstRow="1" w:lastRow="0" w:firstColumn="1" w:lastColumn="0" w:noHBand="0" w:noVBand="1"/>
      </w:tblPr>
      <w:tblGrid>
        <w:gridCol w:w="1294"/>
        <w:gridCol w:w="1680"/>
        <w:gridCol w:w="5083"/>
        <w:gridCol w:w="1475"/>
      </w:tblGrid>
      <w:tr w:rsidR="001D2C60" w:rsidRPr="009B31F5" w14:paraId="0594713C" w14:textId="77777777" w:rsidTr="000D4724">
        <w:trPr>
          <w:trHeight w:val="142"/>
        </w:trPr>
        <w:tc>
          <w:tcPr>
            <w:tcW w:w="1271"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36AB5D81" w14:textId="77777777" w:rsidR="001D2C60" w:rsidRPr="009B31F5" w:rsidRDefault="001D2C60" w:rsidP="000D4724">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INDUSTRY</w:t>
            </w:r>
          </w:p>
        </w:tc>
        <w:tc>
          <w:tcPr>
            <w:tcW w:w="1683" w:type="dxa"/>
            <w:tcBorders>
              <w:top w:val="single" w:sz="8" w:space="0" w:color="FFFFFF"/>
              <w:left w:val="nil"/>
              <w:bottom w:val="single" w:sz="12" w:space="0" w:color="FFFFFF"/>
              <w:right w:val="single" w:sz="12" w:space="0" w:color="FFFFFF"/>
            </w:tcBorders>
            <w:shd w:val="clear" w:color="000000" w:fill="008C9B"/>
            <w:vAlign w:val="center"/>
            <w:hideMark/>
          </w:tcPr>
          <w:p w14:paraId="672EDFB9" w14:textId="77777777" w:rsidR="001D2C60" w:rsidRPr="009B31F5" w:rsidRDefault="001D2C60" w:rsidP="000D4724">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ACTIVITY</w:t>
            </w:r>
          </w:p>
        </w:tc>
        <w:tc>
          <w:tcPr>
            <w:tcW w:w="5101" w:type="dxa"/>
            <w:tcBorders>
              <w:top w:val="single" w:sz="8" w:space="0" w:color="FFFFFF"/>
              <w:left w:val="nil"/>
              <w:bottom w:val="single" w:sz="12" w:space="0" w:color="FFFFFF"/>
              <w:right w:val="single" w:sz="12" w:space="0" w:color="FFFFFF"/>
            </w:tcBorders>
            <w:shd w:val="clear" w:color="000000" w:fill="008C9B"/>
            <w:vAlign w:val="center"/>
            <w:hideMark/>
          </w:tcPr>
          <w:p w14:paraId="0C49AF73" w14:textId="77777777" w:rsidR="001D2C60" w:rsidRPr="009B31F5" w:rsidRDefault="001D2C60" w:rsidP="000D4724">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MAPPING</w:t>
            </w:r>
          </w:p>
        </w:tc>
        <w:tc>
          <w:tcPr>
            <w:tcW w:w="1477" w:type="dxa"/>
            <w:tcBorders>
              <w:top w:val="single" w:sz="8" w:space="0" w:color="FFFFFF"/>
              <w:left w:val="nil"/>
              <w:bottom w:val="single" w:sz="12" w:space="0" w:color="FFFFFF"/>
              <w:right w:val="single" w:sz="12" w:space="0" w:color="FFFFFF"/>
            </w:tcBorders>
            <w:shd w:val="clear" w:color="000000" w:fill="008C9B"/>
            <w:vAlign w:val="center"/>
            <w:hideMark/>
          </w:tcPr>
          <w:p w14:paraId="01DC9032" w14:textId="77777777" w:rsidR="001D2C60" w:rsidRPr="009B31F5" w:rsidRDefault="001D2C60" w:rsidP="000D4724">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 xml:space="preserve">SOURCE(S) </w:t>
            </w:r>
          </w:p>
        </w:tc>
      </w:tr>
      <w:tr w:rsidR="001D2C60" w:rsidRPr="00477C94" w14:paraId="1AF0EE97" w14:textId="77777777" w:rsidTr="000D4724">
        <w:trPr>
          <w:trHeight w:val="908"/>
        </w:trPr>
        <w:tc>
          <w:tcPr>
            <w:tcW w:w="1271" w:type="dxa"/>
            <w:vMerge w:val="restart"/>
            <w:tcBorders>
              <w:top w:val="nil"/>
              <w:left w:val="single" w:sz="8" w:space="0" w:color="FFFFFF"/>
              <w:bottom w:val="nil"/>
              <w:right w:val="single" w:sz="12" w:space="0" w:color="FFFFFF"/>
            </w:tcBorders>
            <w:shd w:val="clear" w:color="000000" w:fill="008C9B"/>
            <w:vAlign w:val="center"/>
            <w:hideMark/>
          </w:tcPr>
          <w:p w14:paraId="2AC8BE94" w14:textId="77777777" w:rsidR="001D2C60" w:rsidRPr="00E61FE9" w:rsidRDefault="001D2C60" w:rsidP="000D4724">
            <w:pPr>
              <w:spacing w:after="0"/>
              <w:jc w:val="center"/>
              <w:rPr>
                <w:rFonts w:ascii="Calibri" w:eastAsia="Times New Roman" w:hAnsi="Calibri"/>
                <w:b/>
                <w:bCs/>
                <w:color w:val="FFFFFF"/>
                <w:szCs w:val="22"/>
                <w:lang w:eastAsia="en-GB"/>
              </w:rPr>
            </w:pPr>
            <w:r w:rsidRPr="009B31F5">
              <w:rPr>
                <w:rFonts w:ascii="Calibri" w:eastAsia="Times New Roman" w:hAnsi="Calibri"/>
                <w:b/>
                <w:bCs/>
                <w:color w:val="FFFFFF"/>
                <w:szCs w:val="22"/>
                <w:lang w:eastAsia="en-GB"/>
              </w:rPr>
              <w:t>Marine Engineering &amp; Scientific</w:t>
            </w:r>
            <w:r>
              <w:rPr>
                <w:rFonts w:ascii="Calibri" w:eastAsia="Times New Roman" w:hAnsi="Calibri"/>
                <w:b/>
                <w:bCs/>
                <w:color w:val="FFFFFF"/>
                <w:szCs w:val="22"/>
                <w:lang w:eastAsia="en-GB"/>
              </w:rPr>
              <w:t xml:space="preserve"> Industry</w:t>
            </w:r>
            <w:r w:rsidRPr="009B31F5">
              <w:rPr>
                <w:rFonts w:ascii="Calibri" w:eastAsia="Times New Roman" w:hAnsi="Calibri"/>
                <w:b/>
                <w:bCs/>
                <w:color w:val="FFFFFF"/>
                <w:szCs w:val="22"/>
                <w:lang w:eastAsia="en-GB"/>
              </w:rPr>
              <w:t xml:space="preserve"> </w:t>
            </w:r>
          </w:p>
        </w:tc>
        <w:tc>
          <w:tcPr>
            <w:tcW w:w="1683" w:type="dxa"/>
            <w:tcBorders>
              <w:top w:val="nil"/>
              <w:left w:val="nil"/>
              <w:bottom w:val="single" w:sz="8" w:space="0" w:color="FFFFFF"/>
              <w:right w:val="single" w:sz="8" w:space="0" w:color="FFFFFF"/>
            </w:tcBorders>
            <w:shd w:val="clear" w:color="000000" w:fill="E7EEEF"/>
            <w:vAlign w:val="center"/>
            <w:hideMark/>
          </w:tcPr>
          <w:p w14:paraId="7243EB93" w14:textId="77777777" w:rsidR="001D2C60" w:rsidRPr="00477C94" w:rsidRDefault="001D2C60" w:rsidP="000D4724">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Shipbuilding and Marine Engineering</w:t>
            </w:r>
          </w:p>
        </w:tc>
        <w:tc>
          <w:tcPr>
            <w:tcW w:w="5101" w:type="dxa"/>
            <w:tcBorders>
              <w:top w:val="nil"/>
              <w:left w:val="nil"/>
              <w:bottom w:val="single" w:sz="8" w:space="0" w:color="FFFFFF"/>
              <w:right w:val="single" w:sz="8" w:space="0" w:color="FFFFFF"/>
            </w:tcBorders>
            <w:shd w:val="clear" w:color="000000" w:fill="E7EEEF"/>
            <w:vAlign w:val="center"/>
            <w:hideMark/>
          </w:tcPr>
          <w:p w14:paraId="32B163B9" w14:textId="77777777" w:rsidR="001D2C60" w:rsidRPr="00477C94" w:rsidRDefault="001D2C60" w:rsidP="000D4724">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Identified in the National Accounts framework through SIC code 3011 ("Building of ships and floating structures") and 3315 (“Repair and maintenance of ships and boats”)</w:t>
            </w:r>
          </w:p>
        </w:tc>
        <w:tc>
          <w:tcPr>
            <w:tcW w:w="1477" w:type="dxa"/>
            <w:tcBorders>
              <w:top w:val="nil"/>
              <w:left w:val="nil"/>
              <w:bottom w:val="single" w:sz="8" w:space="0" w:color="FFFFFF"/>
              <w:right w:val="single" w:sz="8" w:space="0" w:color="FFFFFF"/>
            </w:tcBorders>
            <w:shd w:val="clear" w:color="000000" w:fill="E7EEEF"/>
            <w:vAlign w:val="center"/>
            <w:hideMark/>
          </w:tcPr>
          <w:p w14:paraId="5A4B6F12" w14:textId="77777777" w:rsidR="001D2C60" w:rsidRPr="00477C94" w:rsidRDefault="001D2C60" w:rsidP="000D4724">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ABS, BRES, FAME, Cebr Analysis</w:t>
            </w:r>
          </w:p>
        </w:tc>
      </w:tr>
      <w:tr w:rsidR="001D2C60" w:rsidRPr="00477C94" w14:paraId="106B0BD1" w14:textId="77777777" w:rsidTr="000D4724">
        <w:trPr>
          <w:trHeight w:val="1211"/>
        </w:trPr>
        <w:tc>
          <w:tcPr>
            <w:tcW w:w="1271" w:type="dxa"/>
            <w:vMerge/>
            <w:tcBorders>
              <w:top w:val="nil"/>
              <w:left w:val="single" w:sz="8" w:space="0" w:color="FFFFFF"/>
              <w:bottom w:val="nil"/>
              <w:right w:val="single" w:sz="12" w:space="0" w:color="FFFFFF"/>
            </w:tcBorders>
            <w:vAlign w:val="center"/>
            <w:hideMark/>
          </w:tcPr>
          <w:p w14:paraId="27FDE3A9" w14:textId="77777777" w:rsidR="001D2C60" w:rsidRPr="009B31F5" w:rsidRDefault="001D2C60" w:rsidP="000D4724">
            <w:pPr>
              <w:spacing w:after="0"/>
              <w:rPr>
                <w:rFonts w:ascii="Calibri" w:eastAsia="Times New Roman" w:hAnsi="Calibri"/>
                <w:b/>
                <w:bCs/>
                <w:color w:val="FFFFFF"/>
                <w:szCs w:val="22"/>
                <w:lang w:eastAsia="en-GB"/>
              </w:rPr>
            </w:pPr>
          </w:p>
        </w:tc>
        <w:tc>
          <w:tcPr>
            <w:tcW w:w="1683" w:type="dxa"/>
            <w:tcBorders>
              <w:top w:val="nil"/>
              <w:left w:val="nil"/>
              <w:bottom w:val="single" w:sz="8" w:space="0" w:color="FFFFFF"/>
              <w:right w:val="single" w:sz="8" w:space="0" w:color="FFFFFF"/>
            </w:tcBorders>
            <w:shd w:val="clear" w:color="000000" w:fill="D0CECE"/>
            <w:vAlign w:val="center"/>
            <w:hideMark/>
          </w:tcPr>
          <w:p w14:paraId="521384D6" w14:textId="77777777" w:rsidR="001D2C60" w:rsidRPr="00477C94" w:rsidRDefault="001D2C60" w:rsidP="000D4724">
            <w:pPr>
              <w:spacing w:after="0"/>
              <w:jc w:val="center"/>
              <w:rPr>
                <w:rFonts w:ascii="Calibri" w:eastAsia="Times New Roman" w:hAnsi="Calibri"/>
                <w:color w:val="000000"/>
                <w:sz w:val="18"/>
                <w:lang w:eastAsia="en-GB"/>
              </w:rPr>
            </w:pPr>
            <w:r>
              <w:rPr>
                <w:rFonts w:ascii="Calibri" w:eastAsia="Times New Roman" w:hAnsi="Calibri"/>
                <w:color w:val="000000"/>
                <w:sz w:val="18"/>
                <w:lang w:eastAsia="en-GB"/>
              </w:rPr>
              <w:t>Marine R</w:t>
            </w:r>
            <w:r w:rsidRPr="00477C94">
              <w:rPr>
                <w:rFonts w:ascii="Calibri" w:eastAsia="Times New Roman" w:hAnsi="Calibri"/>
                <w:color w:val="000000"/>
                <w:sz w:val="18"/>
                <w:lang w:eastAsia="en-GB"/>
              </w:rPr>
              <w:t>enewab</w:t>
            </w:r>
            <w:r>
              <w:rPr>
                <w:rFonts w:ascii="Calibri" w:eastAsia="Times New Roman" w:hAnsi="Calibri"/>
                <w:color w:val="000000"/>
                <w:sz w:val="18"/>
                <w:lang w:eastAsia="en-GB"/>
              </w:rPr>
              <w:t>le E</w:t>
            </w:r>
            <w:r w:rsidRPr="00477C94">
              <w:rPr>
                <w:rFonts w:ascii="Calibri" w:eastAsia="Times New Roman" w:hAnsi="Calibri"/>
                <w:color w:val="000000"/>
                <w:sz w:val="18"/>
                <w:lang w:eastAsia="en-GB"/>
              </w:rPr>
              <w:t>nergy</w:t>
            </w:r>
          </w:p>
        </w:tc>
        <w:tc>
          <w:tcPr>
            <w:tcW w:w="5101" w:type="dxa"/>
            <w:tcBorders>
              <w:top w:val="nil"/>
              <w:left w:val="nil"/>
              <w:bottom w:val="single" w:sz="8" w:space="0" w:color="FFFFFF"/>
              <w:right w:val="single" w:sz="8" w:space="0" w:color="FFFFFF"/>
            </w:tcBorders>
            <w:shd w:val="clear" w:color="000000" w:fill="D0CECE"/>
            <w:vAlign w:val="center"/>
            <w:hideMark/>
          </w:tcPr>
          <w:p w14:paraId="51DBF9A8" w14:textId="77777777" w:rsidR="001D2C60" w:rsidRPr="00477C94" w:rsidRDefault="001D2C60" w:rsidP="000D4724">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Marine renewable energy activities do not map neatly across the SIC framework. Cebr have therefore drawn upon the BIS report, “The size and performance of the UK-low carbon economy” BIS report (2013) to derive employment, turnover and GVA estimates.</w:t>
            </w:r>
          </w:p>
        </w:tc>
        <w:tc>
          <w:tcPr>
            <w:tcW w:w="1477" w:type="dxa"/>
            <w:tcBorders>
              <w:top w:val="nil"/>
              <w:left w:val="nil"/>
              <w:bottom w:val="single" w:sz="8" w:space="0" w:color="FFFFFF"/>
              <w:right w:val="single" w:sz="8" w:space="0" w:color="FFFFFF"/>
            </w:tcBorders>
            <w:shd w:val="clear" w:color="000000" w:fill="D0CECE"/>
            <w:vAlign w:val="center"/>
            <w:hideMark/>
          </w:tcPr>
          <w:p w14:paraId="7F057BCB" w14:textId="77777777" w:rsidR="001D2C60" w:rsidRPr="00477C94" w:rsidRDefault="001D2C60" w:rsidP="000D4724">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BIS, Cebr Analysis</w:t>
            </w:r>
          </w:p>
        </w:tc>
      </w:tr>
      <w:tr w:rsidR="001D2C60" w:rsidRPr="00477C94" w14:paraId="2268683D" w14:textId="77777777" w:rsidTr="000D4724">
        <w:trPr>
          <w:trHeight w:val="633"/>
        </w:trPr>
        <w:tc>
          <w:tcPr>
            <w:tcW w:w="1271" w:type="dxa"/>
            <w:vMerge/>
            <w:tcBorders>
              <w:top w:val="nil"/>
              <w:left w:val="single" w:sz="8" w:space="0" w:color="FFFFFF"/>
              <w:bottom w:val="nil"/>
              <w:right w:val="single" w:sz="12" w:space="0" w:color="FFFFFF"/>
            </w:tcBorders>
            <w:vAlign w:val="center"/>
            <w:hideMark/>
          </w:tcPr>
          <w:p w14:paraId="75B10825" w14:textId="77777777" w:rsidR="001D2C60" w:rsidRPr="009B31F5" w:rsidRDefault="001D2C60" w:rsidP="000D4724">
            <w:pPr>
              <w:spacing w:after="0"/>
              <w:rPr>
                <w:rFonts w:ascii="Calibri" w:eastAsia="Times New Roman" w:hAnsi="Calibri"/>
                <w:b/>
                <w:bCs/>
                <w:color w:val="FFFFFF"/>
                <w:szCs w:val="22"/>
                <w:lang w:eastAsia="en-GB"/>
              </w:rPr>
            </w:pPr>
          </w:p>
        </w:tc>
        <w:tc>
          <w:tcPr>
            <w:tcW w:w="1683" w:type="dxa"/>
            <w:tcBorders>
              <w:top w:val="nil"/>
              <w:left w:val="nil"/>
              <w:bottom w:val="single" w:sz="8" w:space="0" w:color="FFFFFF"/>
              <w:right w:val="single" w:sz="8" w:space="0" w:color="FFFFFF"/>
            </w:tcBorders>
            <w:shd w:val="clear" w:color="000000" w:fill="E7EEEF"/>
            <w:vAlign w:val="center"/>
            <w:hideMark/>
          </w:tcPr>
          <w:p w14:paraId="23926EA0" w14:textId="77777777" w:rsidR="001D2C60" w:rsidRPr="00477C94" w:rsidRDefault="001D2C60" w:rsidP="000D4724">
            <w:pPr>
              <w:spacing w:after="0"/>
              <w:jc w:val="center"/>
              <w:rPr>
                <w:rFonts w:ascii="Calibri" w:eastAsia="Times New Roman" w:hAnsi="Calibri"/>
                <w:color w:val="000000"/>
                <w:sz w:val="18"/>
                <w:lang w:eastAsia="en-GB"/>
              </w:rPr>
            </w:pPr>
            <w:r>
              <w:rPr>
                <w:rFonts w:ascii="Calibri" w:eastAsia="Times New Roman" w:hAnsi="Calibri"/>
                <w:color w:val="000000"/>
                <w:sz w:val="18"/>
                <w:lang w:eastAsia="en-GB"/>
              </w:rPr>
              <w:t>Marine Support activities for Offshore Oil and Gas, Engineering and M</w:t>
            </w:r>
            <w:r w:rsidRPr="00477C94">
              <w:rPr>
                <w:rFonts w:ascii="Calibri" w:eastAsia="Times New Roman" w:hAnsi="Calibri"/>
                <w:color w:val="000000"/>
                <w:sz w:val="18"/>
                <w:lang w:eastAsia="en-GB"/>
              </w:rPr>
              <w:t>ining</w:t>
            </w:r>
          </w:p>
        </w:tc>
        <w:tc>
          <w:tcPr>
            <w:tcW w:w="5101" w:type="dxa"/>
            <w:tcBorders>
              <w:top w:val="nil"/>
              <w:left w:val="nil"/>
              <w:bottom w:val="single" w:sz="8" w:space="0" w:color="FFFFFF"/>
              <w:right w:val="single" w:sz="8" w:space="0" w:color="FFFFFF"/>
            </w:tcBorders>
            <w:shd w:val="clear" w:color="000000" w:fill="E7EEEF"/>
            <w:vAlign w:val="center"/>
            <w:hideMark/>
          </w:tcPr>
          <w:p w14:paraId="43AABB47" w14:textId="77777777" w:rsidR="001D2C60" w:rsidRPr="00477C94" w:rsidRDefault="001D2C60" w:rsidP="000D4724">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Identified in the National Accounts framework through SIC code 91, "Support activities for petroleum and natural gas extraction".</w:t>
            </w:r>
          </w:p>
        </w:tc>
        <w:tc>
          <w:tcPr>
            <w:tcW w:w="1477" w:type="dxa"/>
            <w:tcBorders>
              <w:top w:val="nil"/>
              <w:left w:val="nil"/>
              <w:bottom w:val="single" w:sz="8" w:space="0" w:color="FFFFFF"/>
              <w:right w:val="single" w:sz="8" w:space="0" w:color="FFFFFF"/>
            </w:tcBorders>
            <w:shd w:val="clear" w:color="000000" w:fill="E7EEEF"/>
            <w:vAlign w:val="center"/>
            <w:hideMark/>
          </w:tcPr>
          <w:p w14:paraId="07DF73C1" w14:textId="77777777" w:rsidR="001D2C60" w:rsidRPr="00477C94" w:rsidRDefault="001D2C60" w:rsidP="000D4724">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FAME, Cebr Analysis</w:t>
            </w:r>
          </w:p>
        </w:tc>
      </w:tr>
      <w:tr w:rsidR="001D2C60" w:rsidRPr="00477C94" w14:paraId="2DC592D1" w14:textId="77777777" w:rsidTr="000D4724">
        <w:trPr>
          <w:trHeight w:val="1585"/>
        </w:trPr>
        <w:tc>
          <w:tcPr>
            <w:tcW w:w="1271" w:type="dxa"/>
            <w:vMerge/>
            <w:tcBorders>
              <w:top w:val="nil"/>
              <w:left w:val="single" w:sz="8" w:space="0" w:color="FFFFFF"/>
              <w:bottom w:val="nil"/>
              <w:right w:val="single" w:sz="12" w:space="0" w:color="FFFFFF"/>
            </w:tcBorders>
            <w:vAlign w:val="center"/>
            <w:hideMark/>
          </w:tcPr>
          <w:p w14:paraId="1A73BDAF" w14:textId="77777777" w:rsidR="001D2C60" w:rsidRPr="009B31F5" w:rsidRDefault="001D2C60" w:rsidP="000D4724">
            <w:pPr>
              <w:spacing w:after="0"/>
              <w:rPr>
                <w:rFonts w:ascii="Calibri" w:eastAsia="Times New Roman" w:hAnsi="Calibri"/>
                <w:b/>
                <w:bCs/>
                <w:color w:val="FFFFFF"/>
                <w:szCs w:val="22"/>
                <w:lang w:eastAsia="en-GB"/>
              </w:rPr>
            </w:pPr>
          </w:p>
        </w:tc>
        <w:tc>
          <w:tcPr>
            <w:tcW w:w="1683" w:type="dxa"/>
            <w:tcBorders>
              <w:top w:val="nil"/>
              <w:left w:val="nil"/>
              <w:bottom w:val="single" w:sz="8" w:space="0" w:color="FFFFFF"/>
              <w:right w:val="single" w:sz="8" w:space="0" w:color="FFFFFF"/>
            </w:tcBorders>
            <w:shd w:val="clear" w:color="000000" w:fill="D0CECE"/>
            <w:vAlign w:val="center"/>
            <w:hideMark/>
          </w:tcPr>
          <w:p w14:paraId="6540AE06" w14:textId="77777777" w:rsidR="001D2C60" w:rsidRPr="00477C94" w:rsidRDefault="001D2C60" w:rsidP="000D4724">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Marine Scientific and Technical</w:t>
            </w:r>
          </w:p>
        </w:tc>
        <w:tc>
          <w:tcPr>
            <w:tcW w:w="5101" w:type="dxa"/>
            <w:tcBorders>
              <w:top w:val="nil"/>
              <w:left w:val="nil"/>
              <w:bottom w:val="single" w:sz="8" w:space="0" w:color="FFFFFF"/>
              <w:right w:val="single" w:sz="8" w:space="0" w:color="FFFFFF"/>
            </w:tcBorders>
            <w:shd w:val="clear" w:color="000000" w:fill="D0CECE"/>
            <w:vAlign w:val="center"/>
            <w:hideMark/>
          </w:tcPr>
          <w:p w14:paraId="7D611902" w14:textId="77777777" w:rsidR="001D2C60" w:rsidRPr="00477C94" w:rsidRDefault="001D2C60" w:rsidP="000D4724">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Marine Scientific and Technical activities do not map neatly across the SIC framework, as they are typically bundled together with other activities within the Manufacturing and "Other Scientific and Professional" sectors. Cebr have therefore drawn upon the Society of Maritime Industries (SMI) "Annual Review of UK Marine Scientific Industries" reports to gather data.</w:t>
            </w:r>
          </w:p>
        </w:tc>
        <w:tc>
          <w:tcPr>
            <w:tcW w:w="1477" w:type="dxa"/>
            <w:tcBorders>
              <w:top w:val="nil"/>
              <w:left w:val="nil"/>
              <w:bottom w:val="single" w:sz="8" w:space="0" w:color="FFFFFF"/>
              <w:right w:val="single" w:sz="8" w:space="0" w:color="FFFFFF"/>
            </w:tcBorders>
            <w:shd w:val="clear" w:color="000000" w:fill="D0CECE"/>
            <w:vAlign w:val="center"/>
            <w:hideMark/>
          </w:tcPr>
          <w:p w14:paraId="11095319" w14:textId="77777777" w:rsidR="001D2C60" w:rsidRPr="00477C94" w:rsidRDefault="001D2C60" w:rsidP="000D4724">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SMI, Cebr Analysis</w:t>
            </w:r>
          </w:p>
        </w:tc>
      </w:tr>
    </w:tbl>
    <w:p w14:paraId="1B639133" w14:textId="364BD87C" w:rsidR="00B35866" w:rsidRDefault="00B35866" w:rsidP="005476D9">
      <w:pPr>
        <w:keepNext/>
        <w:keepLines/>
        <w:spacing w:before="60" w:after="120"/>
        <w:ind w:left="5760" w:firstLine="720"/>
        <w:jc w:val="right"/>
        <w:rPr>
          <w:i/>
          <w:color w:val="000000" w:themeColor="text1"/>
          <w:sz w:val="18"/>
        </w:rPr>
      </w:pPr>
      <w:r w:rsidRPr="00910768">
        <w:rPr>
          <w:i/>
          <w:color w:val="000000" w:themeColor="text1"/>
          <w:sz w:val="18"/>
        </w:rPr>
        <w:t xml:space="preserve">Source: </w:t>
      </w:r>
      <w:r w:rsidR="008A4762" w:rsidRPr="00910768">
        <w:rPr>
          <w:i/>
          <w:color w:val="000000" w:themeColor="text1"/>
          <w:sz w:val="18"/>
        </w:rPr>
        <w:t xml:space="preserve">Maritime UK, </w:t>
      </w:r>
      <w:r w:rsidRPr="00910768">
        <w:rPr>
          <w:i/>
          <w:color w:val="000000" w:themeColor="text1"/>
          <w:sz w:val="18"/>
        </w:rPr>
        <w:t>Cebr analysis</w:t>
      </w:r>
    </w:p>
    <w:p w14:paraId="57F7A070" w14:textId="18D2392D" w:rsidR="001D2C60" w:rsidRPr="001D2C60" w:rsidRDefault="00916D86" w:rsidP="00916D86">
      <w:pPr>
        <w:pStyle w:val="Caption"/>
      </w:pPr>
      <w:bookmarkStart w:id="53" w:name="_Ref16685116"/>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4</w:t>
      </w:r>
      <w:r w:rsidR="00BF1DE1">
        <w:rPr>
          <w:noProof/>
        </w:rPr>
        <w:fldChar w:fldCharType="end"/>
      </w:r>
      <w:bookmarkEnd w:id="53"/>
      <w:r w:rsidR="001D2C60">
        <w:t xml:space="preserve">: Mapping of Maritime Sector activities: leisure marine industry </w:t>
      </w:r>
    </w:p>
    <w:tbl>
      <w:tblPr>
        <w:tblW w:w="9548" w:type="dxa"/>
        <w:tblInd w:w="-10" w:type="dxa"/>
        <w:tblLook w:val="04A0" w:firstRow="1" w:lastRow="0" w:firstColumn="1" w:lastColumn="0" w:noHBand="0" w:noVBand="1"/>
      </w:tblPr>
      <w:tblGrid>
        <w:gridCol w:w="1273"/>
        <w:gridCol w:w="1686"/>
        <w:gridCol w:w="5110"/>
        <w:gridCol w:w="1479"/>
      </w:tblGrid>
      <w:tr w:rsidR="001D2C60" w:rsidRPr="009B31F5" w14:paraId="5B957CBA" w14:textId="77777777" w:rsidTr="000D4724">
        <w:trPr>
          <w:trHeight w:val="153"/>
        </w:trPr>
        <w:tc>
          <w:tcPr>
            <w:tcW w:w="1273"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A92807F" w14:textId="77777777" w:rsidR="001D2C60" w:rsidRPr="009B31F5" w:rsidRDefault="001D2C60" w:rsidP="000D4724">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INDUSTRY</w:t>
            </w:r>
          </w:p>
        </w:tc>
        <w:tc>
          <w:tcPr>
            <w:tcW w:w="1686" w:type="dxa"/>
            <w:tcBorders>
              <w:top w:val="single" w:sz="8" w:space="0" w:color="FFFFFF"/>
              <w:left w:val="nil"/>
              <w:bottom w:val="single" w:sz="12" w:space="0" w:color="FFFFFF"/>
              <w:right w:val="single" w:sz="12" w:space="0" w:color="FFFFFF"/>
            </w:tcBorders>
            <w:shd w:val="clear" w:color="000000" w:fill="008C9B"/>
            <w:vAlign w:val="center"/>
            <w:hideMark/>
          </w:tcPr>
          <w:p w14:paraId="515852EA" w14:textId="77777777" w:rsidR="001D2C60" w:rsidRPr="009B31F5" w:rsidRDefault="001D2C60" w:rsidP="000D4724">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ACTIVITY</w:t>
            </w:r>
          </w:p>
        </w:tc>
        <w:tc>
          <w:tcPr>
            <w:tcW w:w="5110" w:type="dxa"/>
            <w:tcBorders>
              <w:top w:val="single" w:sz="8" w:space="0" w:color="FFFFFF"/>
              <w:left w:val="nil"/>
              <w:bottom w:val="single" w:sz="12" w:space="0" w:color="FFFFFF"/>
              <w:right w:val="single" w:sz="12" w:space="0" w:color="FFFFFF"/>
            </w:tcBorders>
            <w:shd w:val="clear" w:color="000000" w:fill="008C9B"/>
            <w:vAlign w:val="center"/>
            <w:hideMark/>
          </w:tcPr>
          <w:p w14:paraId="4471BF7D" w14:textId="77777777" w:rsidR="001D2C60" w:rsidRPr="009B31F5" w:rsidRDefault="001D2C60" w:rsidP="000D4724">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MAPPING</w:t>
            </w:r>
          </w:p>
        </w:tc>
        <w:tc>
          <w:tcPr>
            <w:tcW w:w="1479" w:type="dxa"/>
            <w:tcBorders>
              <w:top w:val="single" w:sz="8" w:space="0" w:color="FFFFFF"/>
              <w:left w:val="nil"/>
              <w:bottom w:val="single" w:sz="12" w:space="0" w:color="FFFFFF"/>
              <w:right w:val="single" w:sz="12" w:space="0" w:color="FFFFFF"/>
            </w:tcBorders>
            <w:shd w:val="clear" w:color="000000" w:fill="008C9B"/>
            <w:vAlign w:val="center"/>
            <w:hideMark/>
          </w:tcPr>
          <w:p w14:paraId="5ACBE823" w14:textId="77777777" w:rsidR="001D2C60" w:rsidRPr="009B31F5" w:rsidRDefault="001D2C60" w:rsidP="000D4724">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 xml:space="preserve">SOURCE(S) </w:t>
            </w:r>
          </w:p>
        </w:tc>
      </w:tr>
      <w:tr w:rsidR="001D2C60" w:rsidRPr="009B31F5" w14:paraId="5E44E549" w14:textId="77777777" w:rsidTr="000D4724">
        <w:trPr>
          <w:trHeight w:val="1298"/>
        </w:trPr>
        <w:tc>
          <w:tcPr>
            <w:tcW w:w="1273" w:type="dxa"/>
            <w:vMerge w:val="restart"/>
            <w:tcBorders>
              <w:top w:val="nil"/>
              <w:left w:val="single" w:sz="8" w:space="0" w:color="FFFFFF"/>
              <w:bottom w:val="nil"/>
              <w:right w:val="single" w:sz="12" w:space="0" w:color="FFFFFF"/>
            </w:tcBorders>
            <w:shd w:val="clear" w:color="000000" w:fill="008C9B"/>
            <w:vAlign w:val="center"/>
            <w:hideMark/>
          </w:tcPr>
          <w:p w14:paraId="10DEC8A2" w14:textId="77777777" w:rsidR="001D2C60" w:rsidRPr="009B31F5" w:rsidRDefault="001D2C60" w:rsidP="000D4724">
            <w:pPr>
              <w:spacing w:after="0"/>
              <w:jc w:val="center"/>
              <w:rPr>
                <w:rFonts w:ascii="Calibri" w:eastAsia="Times New Roman" w:hAnsi="Calibri"/>
                <w:b/>
                <w:bCs/>
                <w:color w:val="FFFFFF"/>
                <w:szCs w:val="22"/>
                <w:lang w:eastAsia="en-GB"/>
              </w:rPr>
            </w:pPr>
            <w:r>
              <w:rPr>
                <w:rFonts w:ascii="Calibri" w:eastAsia="Times New Roman" w:hAnsi="Calibri"/>
                <w:b/>
                <w:bCs/>
                <w:color w:val="FFFFFF"/>
                <w:szCs w:val="22"/>
                <w:lang w:eastAsia="en-GB"/>
              </w:rPr>
              <w:t xml:space="preserve">Leisure Marine </w:t>
            </w:r>
          </w:p>
        </w:tc>
        <w:tc>
          <w:tcPr>
            <w:tcW w:w="1686" w:type="dxa"/>
            <w:tcBorders>
              <w:top w:val="nil"/>
              <w:left w:val="nil"/>
              <w:bottom w:val="single" w:sz="8" w:space="0" w:color="FFFFFF"/>
              <w:right w:val="single" w:sz="8" w:space="0" w:color="FFFFFF"/>
            </w:tcBorders>
            <w:shd w:val="clear" w:color="000000" w:fill="E7EEEF"/>
            <w:vAlign w:val="center"/>
            <w:hideMark/>
          </w:tcPr>
          <w:p w14:paraId="4DC3B941"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Boatbuilding (marine leisure vessels)</w:t>
            </w:r>
          </w:p>
        </w:tc>
        <w:tc>
          <w:tcPr>
            <w:tcW w:w="5110" w:type="dxa"/>
            <w:tcBorders>
              <w:top w:val="nil"/>
              <w:left w:val="nil"/>
              <w:bottom w:val="single" w:sz="8" w:space="0" w:color="FFFFFF"/>
              <w:right w:val="single" w:sz="8" w:space="0" w:color="FFFFFF"/>
            </w:tcBorders>
            <w:shd w:val="clear" w:color="000000" w:fill="E7EEEF"/>
            <w:vAlign w:val="center"/>
            <w:hideMark/>
          </w:tcPr>
          <w:p w14:paraId="68A6DA9D" w14:textId="77777777" w:rsidR="001D2C60" w:rsidRPr="001D2C60" w:rsidRDefault="001D2C60" w:rsidP="000D4724">
            <w:pPr>
              <w:spacing w:after="0"/>
              <w:jc w:val="both"/>
              <w:rPr>
                <w:rFonts w:ascii="Calibri" w:eastAsia="Times New Roman" w:hAnsi="Calibri"/>
                <w:color w:val="000000"/>
                <w:sz w:val="18"/>
                <w:lang w:eastAsia="en-GB"/>
              </w:rPr>
            </w:pPr>
            <w:r w:rsidRPr="001D2C60">
              <w:rPr>
                <w:rFonts w:ascii="Calibri" w:eastAsia="Times New Roman" w:hAnsi="Calibri"/>
                <w:color w:val="000000"/>
                <w:sz w:val="18"/>
                <w:szCs w:val="18"/>
                <w:lang w:eastAsia="en-GB"/>
              </w:rPr>
              <w:t>Leisure boatbuilding has been identified through SIC code 3012 ("Building of pleasure and sporting boats") as well as through the British Marine "Key Performance Indicators for the Leisure, Superyacht and Small Commercial Marine Industry".</w:t>
            </w:r>
          </w:p>
        </w:tc>
        <w:tc>
          <w:tcPr>
            <w:tcW w:w="1479" w:type="dxa"/>
            <w:tcBorders>
              <w:top w:val="nil"/>
              <w:left w:val="nil"/>
              <w:bottom w:val="single" w:sz="8" w:space="0" w:color="FFFFFF"/>
              <w:right w:val="single" w:sz="8" w:space="0" w:color="FFFFFF"/>
            </w:tcBorders>
            <w:shd w:val="clear" w:color="000000" w:fill="E7EEEF"/>
            <w:vAlign w:val="center"/>
            <w:hideMark/>
          </w:tcPr>
          <w:p w14:paraId="641D975E"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ABS, BRES, British Marine, Cebr Analysis</w:t>
            </w:r>
          </w:p>
        </w:tc>
      </w:tr>
      <w:tr w:rsidR="001D2C60" w:rsidRPr="009B31F5" w14:paraId="21496964" w14:textId="77777777" w:rsidTr="000D4724">
        <w:trPr>
          <w:trHeight w:val="2210"/>
        </w:trPr>
        <w:tc>
          <w:tcPr>
            <w:tcW w:w="1273" w:type="dxa"/>
            <w:vMerge/>
            <w:tcBorders>
              <w:top w:val="nil"/>
              <w:left w:val="single" w:sz="8" w:space="0" w:color="FFFFFF"/>
              <w:bottom w:val="nil"/>
              <w:right w:val="single" w:sz="12" w:space="0" w:color="FFFFFF"/>
            </w:tcBorders>
            <w:vAlign w:val="center"/>
            <w:hideMark/>
          </w:tcPr>
          <w:p w14:paraId="141D1031" w14:textId="77777777" w:rsidR="001D2C60" w:rsidRPr="009B31F5" w:rsidRDefault="001D2C60" w:rsidP="000D4724">
            <w:pPr>
              <w:spacing w:after="0"/>
              <w:rPr>
                <w:rFonts w:ascii="Calibri" w:eastAsia="Times New Roman" w:hAnsi="Calibri"/>
                <w:b/>
                <w:bCs/>
                <w:color w:val="FFFFFF"/>
                <w:szCs w:val="22"/>
                <w:lang w:eastAsia="en-GB"/>
              </w:rPr>
            </w:pPr>
          </w:p>
        </w:tc>
        <w:tc>
          <w:tcPr>
            <w:tcW w:w="1686" w:type="dxa"/>
            <w:tcBorders>
              <w:top w:val="nil"/>
              <w:left w:val="nil"/>
              <w:bottom w:val="single" w:sz="8" w:space="0" w:color="FFFFFF"/>
              <w:right w:val="single" w:sz="8" w:space="0" w:color="FFFFFF"/>
            </w:tcBorders>
            <w:shd w:val="clear" w:color="000000" w:fill="D0CECE"/>
            <w:vAlign w:val="center"/>
            <w:hideMark/>
          </w:tcPr>
          <w:p w14:paraId="3A02E624"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Other leisure marine activities</w:t>
            </w:r>
          </w:p>
        </w:tc>
        <w:tc>
          <w:tcPr>
            <w:tcW w:w="5110" w:type="dxa"/>
            <w:tcBorders>
              <w:top w:val="nil"/>
              <w:left w:val="nil"/>
              <w:bottom w:val="single" w:sz="8" w:space="0" w:color="FFFFFF"/>
              <w:right w:val="single" w:sz="8" w:space="0" w:color="FFFFFF"/>
            </w:tcBorders>
            <w:shd w:val="clear" w:color="000000" w:fill="D0CECE"/>
            <w:vAlign w:val="center"/>
            <w:hideMark/>
          </w:tcPr>
          <w:p w14:paraId="1C43D1B7" w14:textId="77777777" w:rsidR="001D2C60" w:rsidRPr="001D2C60" w:rsidRDefault="001D2C60" w:rsidP="000D4724">
            <w:pPr>
              <w:spacing w:after="0"/>
              <w:jc w:val="both"/>
              <w:rPr>
                <w:rFonts w:ascii="Calibri" w:eastAsia="Times New Roman" w:hAnsi="Calibri"/>
                <w:color w:val="000000"/>
                <w:sz w:val="18"/>
                <w:lang w:eastAsia="en-GB"/>
              </w:rPr>
            </w:pPr>
            <w:r w:rsidRPr="001D2C60">
              <w:rPr>
                <w:rFonts w:ascii="Calibri" w:eastAsia="Times New Roman" w:hAnsi="Calibri"/>
                <w:color w:val="000000"/>
                <w:sz w:val="18"/>
                <w:szCs w:val="18"/>
                <w:lang w:eastAsia="en-GB"/>
              </w:rPr>
              <w:t>Other Leisure Marine activities do not map neatly across the SIC framework, as they are typically bundled together with others within the leisure industries; this precludes the effective use of FAME to gather economic impact data. Cebr have therefore drawn upon the British Marine "Key Performance Indicators for the Leisure, Superyacht and Small Commercial Marine Industry" to derive employment, turnover and GVA estimates, stripping out firms involved in non-leisure marine activities.</w:t>
            </w:r>
          </w:p>
        </w:tc>
        <w:tc>
          <w:tcPr>
            <w:tcW w:w="1479" w:type="dxa"/>
            <w:tcBorders>
              <w:top w:val="nil"/>
              <w:left w:val="nil"/>
              <w:bottom w:val="single" w:sz="8" w:space="0" w:color="FFFFFF"/>
              <w:right w:val="single" w:sz="8" w:space="0" w:color="FFFFFF"/>
            </w:tcBorders>
            <w:shd w:val="clear" w:color="000000" w:fill="D0CECE"/>
            <w:vAlign w:val="center"/>
            <w:hideMark/>
          </w:tcPr>
          <w:p w14:paraId="70D11CC3" w14:textId="77777777" w:rsidR="001D2C60" w:rsidRPr="001D2C60" w:rsidRDefault="001D2C60" w:rsidP="000D4724">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British Marine, Cebr Analysis</w:t>
            </w:r>
          </w:p>
        </w:tc>
      </w:tr>
    </w:tbl>
    <w:p w14:paraId="7ACA9451" w14:textId="77777777" w:rsidR="001D2C60" w:rsidRDefault="001D2C60" w:rsidP="005476D9">
      <w:pPr>
        <w:keepNext/>
        <w:keepLines/>
        <w:spacing w:before="60" w:after="120"/>
        <w:ind w:left="5760" w:firstLine="720"/>
        <w:jc w:val="right"/>
        <w:rPr>
          <w:i/>
          <w:color w:val="000000" w:themeColor="text1"/>
          <w:sz w:val="18"/>
        </w:rPr>
      </w:pPr>
      <w:r w:rsidRPr="00910768">
        <w:rPr>
          <w:i/>
          <w:color w:val="000000" w:themeColor="text1"/>
          <w:sz w:val="18"/>
        </w:rPr>
        <w:t>Source: Maritime UK, Cebr analysis</w:t>
      </w:r>
    </w:p>
    <w:p w14:paraId="7AD551D3" w14:textId="77777777" w:rsidR="00561D5F" w:rsidRDefault="0034349D" w:rsidP="00850081">
      <w:pPr>
        <w:pStyle w:val="ListBullet"/>
        <w:rPr>
          <w:rFonts w:ascii="Calibri" w:eastAsia="Microsoft JhengHei" w:hAnsi="Calibri"/>
          <w:szCs w:val="22"/>
        </w:rPr>
      </w:pPr>
      <w:r>
        <w:rPr>
          <w:rFonts w:ascii="Calibri" w:eastAsia="Microsoft JhengHei" w:hAnsi="Calibri"/>
          <w:szCs w:val="22"/>
        </w:rPr>
        <w:t xml:space="preserve">The </w:t>
      </w:r>
      <w:r w:rsidR="001D2C60">
        <w:rPr>
          <w:rFonts w:ascii="Calibri" w:eastAsia="Microsoft JhengHei" w:hAnsi="Calibri"/>
          <w:szCs w:val="22"/>
        </w:rPr>
        <w:t>marine engineering and scientific industry</w:t>
      </w:r>
      <w:r>
        <w:rPr>
          <w:rFonts w:ascii="Calibri" w:eastAsia="Microsoft JhengHei" w:hAnsi="Calibri"/>
          <w:szCs w:val="22"/>
        </w:rPr>
        <w:t xml:space="preserve"> </w:t>
      </w:r>
      <w:r w:rsidR="00B10C2D">
        <w:rPr>
          <w:rFonts w:ascii="Calibri" w:eastAsia="Microsoft JhengHei" w:hAnsi="Calibri"/>
          <w:szCs w:val="22"/>
        </w:rPr>
        <w:t>encompasses</w:t>
      </w:r>
      <w:r>
        <w:rPr>
          <w:rFonts w:ascii="Calibri" w:eastAsia="Microsoft JhengHei" w:hAnsi="Calibri"/>
          <w:szCs w:val="22"/>
        </w:rPr>
        <w:t xml:space="preserve"> activities,</w:t>
      </w:r>
      <w:r w:rsidR="00B10C2D">
        <w:rPr>
          <w:rFonts w:ascii="Calibri" w:eastAsia="Microsoft JhengHei" w:hAnsi="Calibri"/>
          <w:szCs w:val="22"/>
        </w:rPr>
        <w:t xml:space="preserve"> such as</w:t>
      </w:r>
      <w:r w:rsidR="00F3256B">
        <w:rPr>
          <w:rFonts w:ascii="Calibri" w:eastAsia="Microsoft JhengHei" w:hAnsi="Calibri"/>
          <w:szCs w:val="22"/>
        </w:rPr>
        <w:t xml:space="preserve"> </w:t>
      </w:r>
      <w:r>
        <w:rPr>
          <w:rFonts w:ascii="Calibri" w:eastAsia="Microsoft JhengHei" w:hAnsi="Calibri"/>
          <w:szCs w:val="22"/>
        </w:rPr>
        <w:t>renewable energy generation</w:t>
      </w:r>
      <w:r w:rsidR="00B10C2D">
        <w:rPr>
          <w:rFonts w:ascii="Calibri" w:eastAsia="Microsoft JhengHei" w:hAnsi="Calibri"/>
          <w:szCs w:val="22"/>
        </w:rPr>
        <w:t xml:space="preserve"> and</w:t>
      </w:r>
      <w:r w:rsidR="00F3256B">
        <w:rPr>
          <w:rFonts w:ascii="Calibri" w:eastAsia="Microsoft JhengHei" w:hAnsi="Calibri"/>
          <w:szCs w:val="22"/>
        </w:rPr>
        <w:t xml:space="preserve"> </w:t>
      </w:r>
      <w:r>
        <w:rPr>
          <w:rFonts w:ascii="Calibri" w:eastAsia="Microsoft JhengHei" w:hAnsi="Calibri"/>
          <w:szCs w:val="22"/>
        </w:rPr>
        <w:t xml:space="preserve">marine scientific activities. </w:t>
      </w:r>
      <w:r w:rsidR="00561D5F">
        <w:rPr>
          <w:rFonts w:ascii="Calibri" w:eastAsia="Microsoft JhengHei" w:hAnsi="Calibri"/>
          <w:szCs w:val="22"/>
        </w:rPr>
        <w:t xml:space="preserve">The leisure marine industry is defined narrowly as encompassing activities ranging from leisure boat manufacturing to leisure marine services. </w:t>
      </w:r>
      <w:r w:rsidR="00561D5F">
        <w:rPr>
          <w:rStyle w:val="FootnoteReference"/>
          <w:rFonts w:ascii="Calibri" w:eastAsia="Microsoft JhengHei" w:hAnsi="Calibri"/>
          <w:szCs w:val="22"/>
        </w:rPr>
        <w:footnoteReference w:id="4"/>
      </w:r>
      <w:r w:rsidR="00561D5F">
        <w:rPr>
          <w:rFonts w:ascii="Calibri" w:eastAsia="Microsoft JhengHei" w:hAnsi="Calibri"/>
          <w:szCs w:val="22"/>
        </w:rPr>
        <w:t xml:space="preserve"> </w:t>
      </w:r>
    </w:p>
    <w:p w14:paraId="6DD6BF0E" w14:textId="64B0F393" w:rsidR="00850081" w:rsidRDefault="0034349D" w:rsidP="00850081">
      <w:pPr>
        <w:pStyle w:val="ListBullet"/>
        <w:rPr>
          <w:rFonts w:ascii="Calibri" w:eastAsia="Microsoft JhengHei" w:hAnsi="Calibri"/>
          <w:szCs w:val="22"/>
        </w:rPr>
      </w:pPr>
      <w:r>
        <w:rPr>
          <w:rFonts w:ascii="Calibri" w:eastAsia="Microsoft JhengHei" w:hAnsi="Calibri"/>
          <w:szCs w:val="22"/>
        </w:rPr>
        <w:lastRenderedPageBreak/>
        <w:t>A key source of information used by Cebr</w:t>
      </w:r>
      <w:r w:rsidR="00963AB7">
        <w:rPr>
          <w:rFonts w:ascii="Calibri" w:eastAsia="Microsoft JhengHei" w:hAnsi="Calibri"/>
          <w:szCs w:val="22"/>
        </w:rPr>
        <w:t xml:space="preserve"> to capture leisure</w:t>
      </w:r>
      <w:r w:rsidR="00F3256B">
        <w:rPr>
          <w:rFonts w:ascii="Calibri" w:eastAsia="Microsoft JhengHei" w:hAnsi="Calibri"/>
          <w:szCs w:val="22"/>
        </w:rPr>
        <w:t xml:space="preserve"> marine</w:t>
      </w:r>
      <w:r w:rsidR="00963AB7">
        <w:rPr>
          <w:rFonts w:ascii="Calibri" w:eastAsia="Microsoft JhengHei" w:hAnsi="Calibri"/>
          <w:szCs w:val="22"/>
        </w:rPr>
        <w:t xml:space="preserve"> activities</w:t>
      </w:r>
      <w:r>
        <w:rPr>
          <w:rFonts w:ascii="Calibri" w:eastAsia="Microsoft JhengHei" w:hAnsi="Calibri"/>
          <w:szCs w:val="22"/>
        </w:rPr>
        <w:t xml:space="preserve"> is the Key Performance Indicators (KPI) analysis produced by British Marine. The KPI analysis is produced each year, drawing upon information supplied to British Marine by its membership, </w:t>
      </w:r>
      <w:r w:rsidR="003D504C">
        <w:rPr>
          <w:rFonts w:ascii="Calibri" w:eastAsia="Microsoft JhengHei" w:hAnsi="Calibri"/>
          <w:szCs w:val="22"/>
        </w:rPr>
        <w:t>such as</w:t>
      </w:r>
      <w:r>
        <w:rPr>
          <w:rFonts w:ascii="Calibri" w:eastAsia="Microsoft JhengHei" w:hAnsi="Calibri"/>
          <w:szCs w:val="22"/>
        </w:rPr>
        <w:t xml:space="preserve"> c</w:t>
      </w:r>
      <w:r w:rsidRPr="0034349D">
        <w:rPr>
          <w:rFonts w:ascii="Calibri" w:eastAsia="Microsoft JhengHei" w:hAnsi="Calibri"/>
          <w:szCs w:val="22"/>
        </w:rPr>
        <w:t>ompany turnover and statistics declarations.</w:t>
      </w:r>
    </w:p>
    <w:p w14:paraId="5D35AB40" w14:textId="100E734A" w:rsidR="0034349D" w:rsidRDefault="001B0BB6" w:rsidP="005476D9">
      <w:pPr>
        <w:pStyle w:val="ListBullet"/>
        <w:rPr>
          <w:rFonts w:ascii="Calibri" w:eastAsia="Microsoft JhengHei" w:hAnsi="Calibri"/>
          <w:szCs w:val="22"/>
        </w:rPr>
      </w:pPr>
      <w:r>
        <w:rPr>
          <w:rFonts w:ascii="Calibri" w:eastAsia="Microsoft JhengHei" w:hAnsi="Calibri"/>
          <w:szCs w:val="22"/>
        </w:rPr>
        <w:t>KPI analysis</w:t>
      </w:r>
      <w:r w:rsidR="00F3256B">
        <w:rPr>
          <w:rFonts w:ascii="Calibri" w:eastAsia="Microsoft JhengHei" w:hAnsi="Calibri"/>
          <w:szCs w:val="22"/>
        </w:rPr>
        <w:t xml:space="preserve"> covering the years 2010 to 2017</w:t>
      </w:r>
      <w:r>
        <w:rPr>
          <w:rFonts w:ascii="Calibri" w:eastAsia="Microsoft JhengHei" w:hAnsi="Calibri"/>
          <w:szCs w:val="22"/>
        </w:rPr>
        <w:t xml:space="preserve"> (inclusive) has therefore been used as a major source of information for capturing and quantifying leisure boatbuilding as well as business and customer marine activities.</w:t>
      </w:r>
    </w:p>
    <w:p w14:paraId="6DAF3C4A" w14:textId="77777777" w:rsidR="00B10C2D" w:rsidRDefault="00B10C2D" w:rsidP="00B10C2D">
      <w:pPr>
        <w:pStyle w:val="Heading3"/>
      </w:pPr>
      <w:r>
        <w:t xml:space="preserve">The Maritime Business Services industry </w:t>
      </w:r>
    </w:p>
    <w:p w14:paraId="76A8C1BD" w14:textId="77777777" w:rsidR="00B10C2D" w:rsidRDefault="00B10C2D" w:rsidP="00B10C2D">
      <w:pPr>
        <w:pStyle w:val="ListBullet"/>
        <w:spacing w:after="120"/>
      </w:pPr>
      <w:r>
        <w:t xml:space="preserve">The methodology of the Maritime Business Services industry is unique compared to the other reports of this study into the Maritime Sector. The MBS industry is a fairly abstract concept comprising of, for the purpose of this study, eight sub-industries which are not exclusively maritime related and hence do not map neatly onto SIC codes. </w:t>
      </w:r>
    </w:p>
    <w:p w14:paraId="431D6E5D" w14:textId="77777777" w:rsidR="00B10C2D" w:rsidRDefault="00B10C2D" w:rsidP="00B10C2D">
      <w:pPr>
        <w:pStyle w:val="ListBullet"/>
        <w:spacing w:after="120"/>
      </w:pPr>
      <w:r>
        <w:t xml:space="preserve">For this analysis Cebr has drawn on a variety of data sources to produce a bottom-up analysis for each of the sub-industries. Data is limited for Maritime Financial services and Maritime Accountancy and as such for these sub-industries, we rely on PwC’s 2016 study ‘The UK’s Global Maritime Professional Services: Contribution and Trends’, augmenting it with trends in the broader industry to generate estimates for the entire period, 2010 to 2017. The other sub-industries have been computed through a combination of bottom-up analysis using company and financial accounts, FAME, ONS and insights from representatives of the industry. </w:t>
      </w:r>
    </w:p>
    <w:p w14:paraId="142D1B08" w14:textId="609C38C0" w:rsidR="00115C74" w:rsidRPr="00B10C2D" w:rsidRDefault="00B10C2D" w:rsidP="00B10C2D">
      <w:pPr>
        <w:pStyle w:val="ListBullet"/>
        <w:spacing w:after="120"/>
      </w:pPr>
      <w:r>
        <w:t xml:space="preserve">For a more detailed description of the individual methodologies, please see ‘The economic contribution of the UK Maritime Business Services industry’ report. </w:t>
      </w:r>
    </w:p>
    <w:p w14:paraId="156984C6" w14:textId="77777777" w:rsidR="00F3256B" w:rsidRDefault="00F3256B" w:rsidP="0011534E">
      <w:pPr>
        <w:pStyle w:val="ListBullet"/>
        <w:spacing w:after="0"/>
        <w:rPr>
          <w:rFonts w:ascii="Calibri" w:eastAsia="Microsoft JhengHei" w:hAnsi="Calibri"/>
          <w:szCs w:val="22"/>
        </w:rPr>
      </w:pPr>
    </w:p>
    <w:p w14:paraId="5007B71F" w14:textId="4303EA4B" w:rsidR="00A43E58" w:rsidRDefault="00A43E58" w:rsidP="00A43E58">
      <w:pPr>
        <w:pStyle w:val="Heading2"/>
      </w:pPr>
      <w:bookmarkStart w:id="54" w:name="_Toc487469761"/>
      <w:bookmarkStart w:id="55" w:name="_Toc16768002"/>
      <w:r>
        <w:t xml:space="preserve">Quantifying the direct economic impacts of the industry </w:t>
      </w:r>
      <w:bookmarkEnd w:id="54"/>
      <w:r>
        <w:t>in Scotland</w:t>
      </w:r>
      <w:bookmarkEnd w:id="55"/>
    </w:p>
    <w:p w14:paraId="066D4B34" w14:textId="189A7AE0" w:rsidR="00A43E58" w:rsidRDefault="00A43E58" w:rsidP="00A43E58">
      <w:r>
        <w:t>In this final subsection we set out the approach taken to disaggregate the direct economic impacts at regional level</w:t>
      </w:r>
      <w:r w:rsidR="00F449B6">
        <w:t xml:space="preserve"> for each Maritime industry</w:t>
      </w:r>
      <w:r>
        <w:t xml:space="preserve">. </w:t>
      </w:r>
      <w:r w:rsidR="004575E7">
        <w:t>For the majority of Maritime S</w:t>
      </w:r>
      <w:r w:rsidR="009C0B55">
        <w:t>ector activities</w:t>
      </w:r>
      <w:r w:rsidRPr="008C5B15">
        <w:t xml:space="preserve">, the </w:t>
      </w:r>
      <w:r>
        <w:t xml:space="preserve">approach taken to disaggregate the direct economic impacts of </w:t>
      </w:r>
      <w:r w:rsidR="009C0B55">
        <w:t xml:space="preserve">sector has involved </w:t>
      </w:r>
      <w:r>
        <w:t xml:space="preserve">combining the direct economic impacts at UK-level with publicly-available statistics which can be disaggregated at regional level. However, this approach is </w:t>
      </w:r>
      <w:r w:rsidR="009C0B55">
        <w:t xml:space="preserve">not always possible, </w:t>
      </w:r>
      <w:r>
        <w:t xml:space="preserve">as a result of the difficulties in mapping </w:t>
      </w:r>
      <w:r w:rsidR="009C0B55">
        <w:t xml:space="preserve">some activities </w:t>
      </w:r>
      <w:r>
        <w:t>against the national accounts framework.</w:t>
      </w:r>
      <w:r w:rsidR="00025FA6">
        <w:t xml:space="preserve"> In these instances, industry-</w:t>
      </w:r>
      <w:r w:rsidR="00BC3733">
        <w:t>level information has been used to estimate the Scottish proportion of economic activity.</w:t>
      </w:r>
    </w:p>
    <w:p w14:paraId="5036EC0A" w14:textId="77777777" w:rsidR="00EB4749" w:rsidRDefault="00EB4749" w:rsidP="005476D9">
      <w:pPr>
        <w:pStyle w:val="Heading3"/>
      </w:pPr>
      <w:r>
        <w:t>Shipping</w:t>
      </w:r>
    </w:p>
    <w:p w14:paraId="51D3556B" w14:textId="22DADFAB" w:rsidR="003C3588" w:rsidRDefault="00432A94" w:rsidP="00EB4749">
      <w:pPr>
        <w:pStyle w:val="ListBullet"/>
        <w:spacing w:after="120"/>
        <w:rPr>
          <w:rFonts w:ascii="Calibri" w:eastAsia="Microsoft JhengHei" w:hAnsi="Calibri"/>
          <w:szCs w:val="22"/>
        </w:rPr>
      </w:pPr>
      <w:r>
        <w:rPr>
          <w:rFonts w:ascii="Calibri" w:eastAsia="Microsoft JhengHei" w:hAnsi="Calibri"/>
          <w:szCs w:val="22"/>
        </w:rPr>
        <w:t>In order to disaggregat</w:t>
      </w:r>
      <w:r w:rsidR="004575E7">
        <w:rPr>
          <w:rFonts w:ascii="Calibri" w:eastAsia="Microsoft JhengHei" w:hAnsi="Calibri"/>
          <w:szCs w:val="22"/>
        </w:rPr>
        <w:t>e the economic activity of the s</w:t>
      </w:r>
      <w:r>
        <w:rPr>
          <w:rFonts w:ascii="Calibri" w:eastAsia="Microsoft JhengHei" w:hAnsi="Calibri"/>
          <w:szCs w:val="22"/>
        </w:rPr>
        <w:t>hipping industry</w:t>
      </w:r>
      <w:r w:rsidR="002506D6">
        <w:rPr>
          <w:rFonts w:ascii="Calibri" w:eastAsia="Microsoft JhengHei" w:hAnsi="Calibri"/>
          <w:szCs w:val="22"/>
        </w:rPr>
        <w:t>, it is firstly necessary to</w:t>
      </w:r>
      <w:r>
        <w:rPr>
          <w:rFonts w:ascii="Calibri" w:eastAsia="Microsoft JhengHei" w:hAnsi="Calibri"/>
          <w:szCs w:val="22"/>
        </w:rPr>
        <w:t xml:space="preserve"> identify the proportion of </w:t>
      </w:r>
      <w:r w:rsidR="004575E7">
        <w:rPr>
          <w:rFonts w:ascii="Calibri" w:eastAsia="Microsoft JhengHei" w:hAnsi="Calibri"/>
          <w:szCs w:val="22"/>
        </w:rPr>
        <w:t>employment in the s</w:t>
      </w:r>
      <w:r w:rsidR="002506D6">
        <w:rPr>
          <w:rFonts w:ascii="Calibri" w:eastAsia="Microsoft JhengHei" w:hAnsi="Calibri"/>
          <w:szCs w:val="22"/>
        </w:rPr>
        <w:t>hipping industry across each UK region</w:t>
      </w:r>
      <w:r w:rsidR="003C3588">
        <w:rPr>
          <w:rFonts w:ascii="Calibri" w:eastAsia="Microsoft JhengHei" w:hAnsi="Calibri"/>
          <w:szCs w:val="22"/>
        </w:rPr>
        <w:t>.</w:t>
      </w:r>
      <w:r w:rsidR="003C3588" w:rsidRPr="003C3588">
        <w:rPr>
          <w:rFonts w:ascii="Calibri" w:eastAsia="Microsoft JhengHei" w:hAnsi="Calibri"/>
          <w:szCs w:val="22"/>
        </w:rPr>
        <w:t xml:space="preserve"> </w:t>
      </w:r>
    </w:p>
    <w:p w14:paraId="77D6408F" w14:textId="4027D442" w:rsidR="00445751" w:rsidRDefault="003C3588" w:rsidP="004575E7">
      <w:pPr>
        <w:pStyle w:val="ListBullet"/>
        <w:spacing w:after="120"/>
        <w:rPr>
          <w:rFonts w:ascii="Calibri" w:eastAsia="Microsoft JhengHei" w:hAnsi="Calibri"/>
          <w:szCs w:val="22"/>
        </w:rPr>
      </w:pPr>
      <w:r>
        <w:rPr>
          <w:rFonts w:ascii="Calibri" w:eastAsia="Microsoft JhengHei" w:hAnsi="Calibri"/>
          <w:szCs w:val="22"/>
        </w:rPr>
        <w:t xml:space="preserve">The major source of employment </w:t>
      </w:r>
      <w:r w:rsidR="00456BA8">
        <w:rPr>
          <w:rFonts w:ascii="Calibri" w:eastAsia="Microsoft JhengHei" w:hAnsi="Calibri"/>
          <w:szCs w:val="22"/>
        </w:rPr>
        <w:t>was the Business Register and Employment Survey (</w:t>
      </w:r>
      <w:r>
        <w:rPr>
          <w:rFonts w:ascii="Calibri" w:eastAsia="Microsoft JhengHei" w:hAnsi="Calibri"/>
          <w:szCs w:val="22"/>
        </w:rPr>
        <w:t>BRES</w:t>
      </w:r>
      <w:r w:rsidR="00456BA8">
        <w:rPr>
          <w:rFonts w:ascii="Calibri" w:eastAsia="Microsoft JhengHei" w:hAnsi="Calibri"/>
          <w:szCs w:val="22"/>
        </w:rPr>
        <w:t>)</w:t>
      </w:r>
      <w:r w:rsidR="00A54F4D" w:rsidRPr="00A54F4D">
        <w:rPr>
          <w:vertAlign w:val="superscript"/>
        </w:rPr>
        <w:footnoteReference w:id="5"/>
      </w:r>
      <w:r w:rsidR="00A54F4D">
        <w:rPr>
          <w:rFonts w:ascii="Calibri" w:eastAsia="Microsoft JhengHei" w:hAnsi="Calibri"/>
          <w:szCs w:val="22"/>
        </w:rPr>
        <w:t xml:space="preserve">, as accessed through NOMIS. </w:t>
      </w:r>
      <w:r w:rsidR="00B975C6">
        <w:rPr>
          <w:rFonts w:ascii="Calibri" w:eastAsia="Microsoft JhengHei" w:hAnsi="Calibri"/>
          <w:szCs w:val="22"/>
        </w:rPr>
        <w:t>Employment data associated with each Standard Industri</w:t>
      </w:r>
      <w:r w:rsidR="004575E7">
        <w:rPr>
          <w:rFonts w:ascii="Calibri" w:eastAsia="Microsoft JhengHei" w:hAnsi="Calibri"/>
          <w:szCs w:val="22"/>
        </w:rPr>
        <w:t>al Classification code for the s</w:t>
      </w:r>
      <w:r w:rsidR="00B975C6">
        <w:rPr>
          <w:rFonts w:ascii="Calibri" w:eastAsia="Microsoft JhengHei" w:hAnsi="Calibri"/>
          <w:szCs w:val="22"/>
        </w:rPr>
        <w:t xml:space="preserve">hipping industry were gathered and an implied regional breakdown estimated after interpolating for some missing information. </w:t>
      </w:r>
      <w:r>
        <w:rPr>
          <w:rFonts w:ascii="Calibri" w:eastAsia="Microsoft JhengHei" w:hAnsi="Calibri"/>
          <w:szCs w:val="22"/>
        </w:rPr>
        <w:t>Shipping employment in Northern Ireland has been estimated using a combination of BRES and the Annual Business Survey, the latter providing the proportion of employment in Northern Ireland across the broader industrial sector categories</w:t>
      </w:r>
      <w:r w:rsidR="00A54F4D">
        <w:rPr>
          <w:rFonts w:ascii="Calibri" w:eastAsia="Microsoft JhengHei" w:hAnsi="Calibri"/>
          <w:szCs w:val="22"/>
        </w:rPr>
        <w:t>.</w:t>
      </w:r>
    </w:p>
    <w:p w14:paraId="0C175DD3" w14:textId="77777777" w:rsidR="00F3256B" w:rsidRDefault="00F3256B" w:rsidP="004575E7">
      <w:pPr>
        <w:pStyle w:val="ListBullet"/>
        <w:spacing w:after="120"/>
        <w:rPr>
          <w:rFonts w:ascii="Calibri" w:eastAsia="Microsoft JhengHei" w:hAnsi="Calibri"/>
          <w:szCs w:val="22"/>
        </w:rPr>
      </w:pPr>
    </w:p>
    <w:p w14:paraId="77771C79" w14:textId="77777777" w:rsidR="00F3256B" w:rsidRDefault="00F3256B" w:rsidP="004575E7">
      <w:pPr>
        <w:pStyle w:val="ListBullet"/>
        <w:spacing w:after="120"/>
        <w:rPr>
          <w:rFonts w:ascii="Calibri" w:eastAsia="Microsoft JhengHei" w:hAnsi="Calibri"/>
          <w:szCs w:val="22"/>
        </w:rPr>
      </w:pPr>
    </w:p>
    <w:p w14:paraId="4A6AFA0B" w14:textId="77777777" w:rsidR="007E7601" w:rsidRPr="004575E7" w:rsidRDefault="007E7601" w:rsidP="004575E7">
      <w:pPr>
        <w:pStyle w:val="ListBullet"/>
        <w:spacing w:after="120"/>
        <w:rPr>
          <w:rFonts w:ascii="Calibri" w:eastAsia="Microsoft JhengHei" w:hAnsi="Calibri"/>
          <w:szCs w:val="22"/>
        </w:rPr>
      </w:pPr>
    </w:p>
    <w:p w14:paraId="56403A0A" w14:textId="51C9A764" w:rsidR="00445751" w:rsidRDefault="00916D86" w:rsidP="00916D86">
      <w:pPr>
        <w:pStyle w:val="Caption"/>
      </w:pPr>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5</w:t>
      </w:r>
      <w:r w:rsidR="00BF1DE1">
        <w:rPr>
          <w:noProof/>
        </w:rPr>
        <w:fldChar w:fldCharType="end"/>
      </w:r>
      <w:r w:rsidR="00445751">
        <w:t>: The</w:t>
      </w:r>
      <w:r w:rsidR="004575E7">
        <w:t xml:space="preserve"> breakdown of UK employment in s</w:t>
      </w:r>
      <w:r w:rsidR="00445751">
        <w:t>hipping as implied by BRES and ABS</w:t>
      </w:r>
      <w:r w:rsidR="004575E7">
        <w:t>, 2010 to 2017</w:t>
      </w:r>
    </w:p>
    <w:tbl>
      <w:tblPr>
        <w:tblW w:w="5000" w:type="pct"/>
        <w:tblLook w:val="04A0" w:firstRow="1" w:lastRow="0" w:firstColumn="1" w:lastColumn="0" w:noHBand="0" w:noVBand="1"/>
      </w:tblPr>
      <w:tblGrid>
        <w:gridCol w:w="2492"/>
        <w:gridCol w:w="892"/>
        <w:gridCol w:w="892"/>
        <w:gridCol w:w="892"/>
        <w:gridCol w:w="892"/>
        <w:gridCol w:w="892"/>
        <w:gridCol w:w="892"/>
        <w:gridCol w:w="892"/>
        <w:gridCol w:w="892"/>
      </w:tblGrid>
      <w:tr w:rsidR="004575E7" w:rsidRPr="004575E7" w14:paraId="386C2D2F" w14:textId="77777777" w:rsidTr="004575E7">
        <w:trPr>
          <w:trHeight w:val="315"/>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3197279F" w14:textId="77777777" w:rsidR="004575E7" w:rsidRPr="004575E7" w:rsidRDefault="004575E7" w:rsidP="004575E7">
            <w:pPr>
              <w:spacing w:after="0"/>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Shipping Employment</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0ED7D9A7"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2010</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09C59BCF"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2011</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7CF71A41"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2012</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2EB72973"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2013</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43BDE1BE"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2014</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6689FC01"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2015</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5695A53A"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2016</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45F08D5E"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2017</w:t>
            </w:r>
          </w:p>
        </w:tc>
      </w:tr>
      <w:tr w:rsidR="004575E7" w:rsidRPr="004575E7" w14:paraId="00E9B8E5"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290E3C57"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England</w:t>
            </w:r>
          </w:p>
        </w:tc>
        <w:tc>
          <w:tcPr>
            <w:tcW w:w="463" w:type="pct"/>
            <w:tcBorders>
              <w:top w:val="nil"/>
              <w:left w:val="nil"/>
              <w:bottom w:val="single" w:sz="8" w:space="0" w:color="FFFFFF"/>
              <w:right w:val="single" w:sz="8" w:space="0" w:color="FFFFFF"/>
            </w:tcBorders>
            <w:shd w:val="clear" w:color="000000" w:fill="E7EEEF"/>
            <w:vAlign w:val="center"/>
            <w:hideMark/>
          </w:tcPr>
          <w:p w14:paraId="222DAE6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79.8%</w:t>
            </w:r>
          </w:p>
        </w:tc>
        <w:tc>
          <w:tcPr>
            <w:tcW w:w="463" w:type="pct"/>
            <w:tcBorders>
              <w:top w:val="nil"/>
              <w:left w:val="nil"/>
              <w:bottom w:val="single" w:sz="8" w:space="0" w:color="FFFFFF"/>
              <w:right w:val="single" w:sz="8" w:space="0" w:color="FFFFFF"/>
            </w:tcBorders>
            <w:shd w:val="clear" w:color="000000" w:fill="E7EEEF"/>
            <w:vAlign w:val="center"/>
            <w:hideMark/>
          </w:tcPr>
          <w:p w14:paraId="4D883BE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76.4%</w:t>
            </w:r>
          </w:p>
        </w:tc>
        <w:tc>
          <w:tcPr>
            <w:tcW w:w="463" w:type="pct"/>
            <w:tcBorders>
              <w:top w:val="nil"/>
              <w:left w:val="nil"/>
              <w:bottom w:val="single" w:sz="8" w:space="0" w:color="FFFFFF"/>
              <w:right w:val="single" w:sz="8" w:space="0" w:color="FFFFFF"/>
            </w:tcBorders>
            <w:shd w:val="clear" w:color="000000" w:fill="E7EEEF"/>
            <w:vAlign w:val="center"/>
            <w:hideMark/>
          </w:tcPr>
          <w:p w14:paraId="7E6EACE9"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77.7%</w:t>
            </w:r>
          </w:p>
        </w:tc>
        <w:tc>
          <w:tcPr>
            <w:tcW w:w="463" w:type="pct"/>
            <w:tcBorders>
              <w:top w:val="nil"/>
              <w:left w:val="nil"/>
              <w:bottom w:val="single" w:sz="8" w:space="0" w:color="FFFFFF"/>
              <w:right w:val="single" w:sz="8" w:space="0" w:color="FFFFFF"/>
            </w:tcBorders>
            <w:shd w:val="clear" w:color="000000" w:fill="E7EEEF"/>
            <w:vAlign w:val="center"/>
            <w:hideMark/>
          </w:tcPr>
          <w:p w14:paraId="76EC55F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78.2%</w:t>
            </w:r>
          </w:p>
        </w:tc>
        <w:tc>
          <w:tcPr>
            <w:tcW w:w="463" w:type="pct"/>
            <w:tcBorders>
              <w:top w:val="nil"/>
              <w:left w:val="nil"/>
              <w:bottom w:val="single" w:sz="8" w:space="0" w:color="FFFFFF"/>
              <w:right w:val="single" w:sz="8" w:space="0" w:color="FFFFFF"/>
            </w:tcBorders>
            <w:shd w:val="clear" w:color="000000" w:fill="E7EEEF"/>
            <w:vAlign w:val="center"/>
            <w:hideMark/>
          </w:tcPr>
          <w:p w14:paraId="63ABA1C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78.9%</w:t>
            </w:r>
          </w:p>
        </w:tc>
        <w:tc>
          <w:tcPr>
            <w:tcW w:w="463" w:type="pct"/>
            <w:tcBorders>
              <w:top w:val="nil"/>
              <w:left w:val="nil"/>
              <w:bottom w:val="single" w:sz="8" w:space="0" w:color="FFFFFF"/>
              <w:right w:val="single" w:sz="8" w:space="0" w:color="FFFFFF"/>
            </w:tcBorders>
            <w:shd w:val="clear" w:color="000000" w:fill="E7EEEF"/>
            <w:vAlign w:val="center"/>
            <w:hideMark/>
          </w:tcPr>
          <w:p w14:paraId="4A6930A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80.3%</w:t>
            </w:r>
          </w:p>
        </w:tc>
        <w:tc>
          <w:tcPr>
            <w:tcW w:w="463" w:type="pct"/>
            <w:tcBorders>
              <w:top w:val="nil"/>
              <w:left w:val="nil"/>
              <w:bottom w:val="single" w:sz="8" w:space="0" w:color="FFFFFF"/>
              <w:right w:val="single" w:sz="8" w:space="0" w:color="FFFFFF"/>
            </w:tcBorders>
            <w:shd w:val="clear" w:color="000000" w:fill="E7EEEF"/>
            <w:vAlign w:val="center"/>
            <w:hideMark/>
          </w:tcPr>
          <w:p w14:paraId="407CFBDE"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78.3%</w:t>
            </w:r>
          </w:p>
        </w:tc>
        <w:tc>
          <w:tcPr>
            <w:tcW w:w="463" w:type="pct"/>
            <w:tcBorders>
              <w:top w:val="nil"/>
              <w:left w:val="nil"/>
              <w:bottom w:val="single" w:sz="8" w:space="0" w:color="FFFFFF"/>
              <w:right w:val="single" w:sz="8" w:space="0" w:color="FFFFFF"/>
            </w:tcBorders>
            <w:shd w:val="clear" w:color="000000" w:fill="E7EEEF"/>
            <w:vAlign w:val="center"/>
            <w:hideMark/>
          </w:tcPr>
          <w:p w14:paraId="15D7552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81.5%</w:t>
            </w:r>
          </w:p>
        </w:tc>
      </w:tr>
      <w:tr w:rsidR="004575E7" w:rsidRPr="004575E7" w14:paraId="30365973"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2166DDDE"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Scotland</w:t>
            </w:r>
          </w:p>
        </w:tc>
        <w:tc>
          <w:tcPr>
            <w:tcW w:w="463" w:type="pct"/>
            <w:tcBorders>
              <w:top w:val="nil"/>
              <w:left w:val="nil"/>
              <w:bottom w:val="single" w:sz="8" w:space="0" w:color="FFFFFF"/>
              <w:right w:val="single" w:sz="8" w:space="0" w:color="FFFFFF"/>
            </w:tcBorders>
            <w:shd w:val="clear" w:color="000000" w:fill="D0CECE"/>
            <w:vAlign w:val="center"/>
            <w:hideMark/>
          </w:tcPr>
          <w:p w14:paraId="025A5BB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11.6%</w:t>
            </w:r>
          </w:p>
        </w:tc>
        <w:tc>
          <w:tcPr>
            <w:tcW w:w="463" w:type="pct"/>
            <w:tcBorders>
              <w:top w:val="nil"/>
              <w:left w:val="nil"/>
              <w:bottom w:val="single" w:sz="8" w:space="0" w:color="FFFFFF"/>
              <w:right w:val="single" w:sz="8" w:space="0" w:color="FFFFFF"/>
            </w:tcBorders>
            <w:shd w:val="clear" w:color="000000" w:fill="D0CECE"/>
            <w:vAlign w:val="center"/>
            <w:hideMark/>
          </w:tcPr>
          <w:p w14:paraId="5F7DB7E3"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13.1%</w:t>
            </w:r>
          </w:p>
        </w:tc>
        <w:tc>
          <w:tcPr>
            <w:tcW w:w="463" w:type="pct"/>
            <w:tcBorders>
              <w:top w:val="nil"/>
              <w:left w:val="nil"/>
              <w:bottom w:val="single" w:sz="8" w:space="0" w:color="FFFFFF"/>
              <w:right w:val="single" w:sz="8" w:space="0" w:color="FFFFFF"/>
            </w:tcBorders>
            <w:shd w:val="clear" w:color="000000" w:fill="D0CECE"/>
            <w:vAlign w:val="center"/>
            <w:hideMark/>
          </w:tcPr>
          <w:p w14:paraId="7504625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13.9%</w:t>
            </w:r>
          </w:p>
        </w:tc>
        <w:tc>
          <w:tcPr>
            <w:tcW w:w="463" w:type="pct"/>
            <w:tcBorders>
              <w:top w:val="nil"/>
              <w:left w:val="nil"/>
              <w:bottom w:val="single" w:sz="8" w:space="0" w:color="FFFFFF"/>
              <w:right w:val="single" w:sz="8" w:space="0" w:color="FFFFFF"/>
            </w:tcBorders>
            <w:shd w:val="clear" w:color="000000" w:fill="D0CECE"/>
            <w:vAlign w:val="center"/>
            <w:hideMark/>
          </w:tcPr>
          <w:p w14:paraId="443D4E6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13.0%</w:t>
            </w:r>
          </w:p>
        </w:tc>
        <w:tc>
          <w:tcPr>
            <w:tcW w:w="463" w:type="pct"/>
            <w:tcBorders>
              <w:top w:val="nil"/>
              <w:left w:val="nil"/>
              <w:bottom w:val="single" w:sz="8" w:space="0" w:color="FFFFFF"/>
              <w:right w:val="single" w:sz="8" w:space="0" w:color="FFFFFF"/>
            </w:tcBorders>
            <w:shd w:val="clear" w:color="000000" w:fill="D0CECE"/>
            <w:vAlign w:val="center"/>
            <w:hideMark/>
          </w:tcPr>
          <w:p w14:paraId="7EF5216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14.8%</w:t>
            </w:r>
          </w:p>
        </w:tc>
        <w:tc>
          <w:tcPr>
            <w:tcW w:w="463" w:type="pct"/>
            <w:tcBorders>
              <w:top w:val="nil"/>
              <w:left w:val="nil"/>
              <w:bottom w:val="single" w:sz="8" w:space="0" w:color="FFFFFF"/>
              <w:right w:val="single" w:sz="8" w:space="0" w:color="FFFFFF"/>
            </w:tcBorders>
            <w:shd w:val="clear" w:color="000000" w:fill="D0CECE"/>
            <w:vAlign w:val="center"/>
            <w:hideMark/>
          </w:tcPr>
          <w:p w14:paraId="1D0E51E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12.4%</w:t>
            </w:r>
          </w:p>
        </w:tc>
        <w:tc>
          <w:tcPr>
            <w:tcW w:w="463" w:type="pct"/>
            <w:tcBorders>
              <w:top w:val="nil"/>
              <w:left w:val="nil"/>
              <w:bottom w:val="single" w:sz="8" w:space="0" w:color="FFFFFF"/>
              <w:right w:val="single" w:sz="8" w:space="0" w:color="FFFFFF"/>
            </w:tcBorders>
            <w:shd w:val="clear" w:color="000000" w:fill="D0CECE"/>
            <w:vAlign w:val="center"/>
            <w:hideMark/>
          </w:tcPr>
          <w:p w14:paraId="4969698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13.9%</w:t>
            </w:r>
          </w:p>
        </w:tc>
        <w:tc>
          <w:tcPr>
            <w:tcW w:w="463" w:type="pct"/>
            <w:tcBorders>
              <w:top w:val="nil"/>
              <w:left w:val="nil"/>
              <w:bottom w:val="single" w:sz="8" w:space="0" w:color="FFFFFF"/>
              <w:right w:val="single" w:sz="8" w:space="0" w:color="FFFFFF"/>
            </w:tcBorders>
            <w:shd w:val="clear" w:color="000000" w:fill="D0CECE"/>
            <w:vAlign w:val="center"/>
            <w:hideMark/>
          </w:tcPr>
          <w:p w14:paraId="6C0252F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13.9%</w:t>
            </w:r>
          </w:p>
        </w:tc>
      </w:tr>
      <w:tr w:rsidR="004575E7" w:rsidRPr="004575E7" w14:paraId="1E0CA425"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30126AC4"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Wales</w:t>
            </w:r>
          </w:p>
        </w:tc>
        <w:tc>
          <w:tcPr>
            <w:tcW w:w="463" w:type="pct"/>
            <w:tcBorders>
              <w:top w:val="nil"/>
              <w:left w:val="nil"/>
              <w:bottom w:val="single" w:sz="8" w:space="0" w:color="FFFFFF"/>
              <w:right w:val="single" w:sz="8" w:space="0" w:color="FFFFFF"/>
            </w:tcBorders>
            <w:shd w:val="clear" w:color="000000" w:fill="E7EEEF"/>
            <w:vAlign w:val="center"/>
            <w:hideMark/>
          </w:tcPr>
          <w:p w14:paraId="4D96C0D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6.0%</w:t>
            </w:r>
          </w:p>
        </w:tc>
        <w:tc>
          <w:tcPr>
            <w:tcW w:w="463" w:type="pct"/>
            <w:tcBorders>
              <w:top w:val="nil"/>
              <w:left w:val="nil"/>
              <w:bottom w:val="single" w:sz="8" w:space="0" w:color="FFFFFF"/>
              <w:right w:val="single" w:sz="8" w:space="0" w:color="FFFFFF"/>
            </w:tcBorders>
            <w:shd w:val="clear" w:color="000000" w:fill="E7EEEF"/>
            <w:vAlign w:val="center"/>
            <w:hideMark/>
          </w:tcPr>
          <w:p w14:paraId="2B6FBCB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7.0%</w:t>
            </w:r>
          </w:p>
        </w:tc>
        <w:tc>
          <w:tcPr>
            <w:tcW w:w="463" w:type="pct"/>
            <w:tcBorders>
              <w:top w:val="nil"/>
              <w:left w:val="nil"/>
              <w:bottom w:val="single" w:sz="8" w:space="0" w:color="FFFFFF"/>
              <w:right w:val="single" w:sz="8" w:space="0" w:color="FFFFFF"/>
            </w:tcBorders>
            <w:shd w:val="clear" w:color="000000" w:fill="E7EEEF"/>
            <w:vAlign w:val="center"/>
            <w:hideMark/>
          </w:tcPr>
          <w:p w14:paraId="78A7611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5.2%</w:t>
            </w:r>
          </w:p>
        </w:tc>
        <w:tc>
          <w:tcPr>
            <w:tcW w:w="463" w:type="pct"/>
            <w:tcBorders>
              <w:top w:val="nil"/>
              <w:left w:val="nil"/>
              <w:bottom w:val="single" w:sz="8" w:space="0" w:color="FFFFFF"/>
              <w:right w:val="single" w:sz="8" w:space="0" w:color="FFFFFF"/>
            </w:tcBorders>
            <w:shd w:val="clear" w:color="000000" w:fill="E7EEEF"/>
            <w:vAlign w:val="center"/>
            <w:hideMark/>
          </w:tcPr>
          <w:p w14:paraId="48449A6E"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6.0%</w:t>
            </w:r>
          </w:p>
        </w:tc>
        <w:tc>
          <w:tcPr>
            <w:tcW w:w="463" w:type="pct"/>
            <w:tcBorders>
              <w:top w:val="nil"/>
              <w:left w:val="nil"/>
              <w:bottom w:val="single" w:sz="8" w:space="0" w:color="FFFFFF"/>
              <w:right w:val="single" w:sz="8" w:space="0" w:color="FFFFFF"/>
            </w:tcBorders>
            <w:shd w:val="clear" w:color="000000" w:fill="E7EEEF"/>
            <w:vAlign w:val="center"/>
            <w:hideMark/>
          </w:tcPr>
          <w:p w14:paraId="0AE5372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4.0%</w:t>
            </w:r>
          </w:p>
        </w:tc>
        <w:tc>
          <w:tcPr>
            <w:tcW w:w="463" w:type="pct"/>
            <w:tcBorders>
              <w:top w:val="nil"/>
              <w:left w:val="nil"/>
              <w:bottom w:val="single" w:sz="8" w:space="0" w:color="FFFFFF"/>
              <w:right w:val="single" w:sz="8" w:space="0" w:color="FFFFFF"/>
            </w:tcBorders>
            <w:shd w:val="clear" w:color="000000" w:fill="E7EEEF"/>
            <w:vAlign w:val="center"/>
            <w:hideMark/>
          </w:tcPr>
          <w:p w14:paraId="168231D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5.1%</w:t>
            </w:r>
          </w:p>
        </w:tc>
        <w:tc>
          <w:tcPr>
            <w:tcW w:w="463" w:type="pct"/>
            <w:tcBorders>
              <w:top w:val="nil"/>
              <w:left w:val="nil"/>
              <w:bottom w:val="single" w:sz="8" w:space="0" w:color="FFFFFF"/>
              <w:right w:val="single" w:sz="8" w:space="0" w:color="FFFFFF"/>
            </w:tcBorders>
            <w:shd w:val="clear" w:color="000000" w:fill="E7EEEF"/>
            <w:vAlign w:val="center"/>
            <w:hideMark/>
          </w:tcPr>
          <w:p w14:paraId="1BBF721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5.5%</w:t>
            </w:r>
          </w:p>
        </w:tc>
        <w:tc>
          <w:tcPr>
            <w:tcW w:w="463" w:type="pct"/>
            <w:tcBorders>
              <w:top w:val="nil"/>
              <w:left w:val="nil"/>
              <w:bottom w:val="single" w:sz="8" w:space="0" w:color="FFFFFF"/>
              <w:right w:val="single" w:sz="8" w:space="0" w:color="FFFFFF"/>
            </w:tcBorders>
            <w:shd w:val="clear" w:color="000000" w:fill="E7EEEF"/>
            <w:vAlign w:val="center"/>
            <w:hideMark/>
          </w:tcPr>
          <w:p w14:paraId="1A893D9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2.3%</w:t>
            </w:r>
          </w:p>
        </w:tc>
      </w:tr>
      <w:tr w:rsidR="004575E7" w:rsidRPr="004575E7" w14:paraId="03B4737E"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6601F48F"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Northern Ireland</w:t>
            </w:r>
          </w:p>
        </w:tc>
        <w:tc>
          <w:tcPr>
            <w:tcW w:w="463" w:type="pct"/>
            <w:tcBorders>
              <w:top w:val="nil"/>
              <w:left w:val="nil"/>
              <w:bottom w:val="single" w:sz="8" w:space="0" w:color="FFFFFF"/>
              <w:right w:val="single" w:sz="8" w:space="0" w:color="FFFFFF"/>
            </w:tcBorders>
            <w:shd w:val="clear" w:color="000000" w:fill="D0CECE"/>
            <w:vAlign w:val="center"/>
            <w:hideMark/>
          </w:tcPr>
          <w:p w14:paraId="740FF8F9"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2.6%</w:t>
            </w:r>
          </w:p>
        </w:tc>
        <w:tc>
          <w:tcPr>
            <w:tcW w:w="463" w:type="pct"/>
            <w:tcBorders>
              <w:top w:val="nil"/>
              <w:left w:val="nil"/>
              <w:bottom w:val="single" w:sz="8" w:space="0" w:color="FFFFFF"/>
              <w:right w:val="single" w:sz="8" w:space="0" w:color="FFFFFF"/>
            </w:tcBorders>
            <w:shd w:val="clear" w:color="000000" w:fill="D0CECE"/>
            <w:vAlign w:val="center"/>
            <w:hideMark/>
          </w:tcPr>
          <w:p w14:paraId="23CF5F4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3.6%</w:t>
            </w:r>
          </w:p>
        </w:tc>
        <w:tc>
          <w:tcPr>
            <w:tcW w:w="463" w:type="pct"/>
            <w:tcBorders>
              <w:top w:val="nil"/>
              <w:left w:val="nil"/>
              <w:bottom w:val="single" w:sz="8" w:space="0" w:color="FFFFFF"/>
              <w:right w:val="single" w:sz="8" w:space="0" w:color="FFFFFF"/>
            </w:tcBorders>
            <w:shd w:val="clear" w:color="000000" w:fill="D0CECE"/>
            <w:vAlign w:val="center"/>
            <w:hideMark/>
          </w:tcPr>
          <w:p w14:paraId="65879D6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3.3%</w:t>
            </w:r>
          </w:p>
        </w:tc>
        <w:tc>
          <w:tcPr>
            <w:tcW w:w="463" w:type="pct"/>
            <w:tcBorders>
              <w:top w:val="nil"/>
              <w:left w:val="nil"/>
              <w:bottom w:val="single" w:sz="8" w:space="0" w:color="FFFFFF"/>
              <w:right w:val="single" w:sz="8" w:space="0" w:color="FFFFFF"/>
            </w:tcBorders>
            <w:shd w:val="clear" w:color="000000" w:fill="D0CECE"/>
            <w:vAlign w:val="center"/>
            <w:hideMark/>
          </w:tcPr>
          <w:p w14:paraId="1EAD89FA"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2.8%</w:t>
            </w:r>
          </w:p>
        </w:tc>
        <w:tc>
          <w:tcPr>
            <w:tcW w:w="463" w:type="pct"/>
            <w:tcBorders>
              <w:top w:val="nil"/>
              <w:left w:val="nil"/>
              <w:bottom w:val="single" w:sz="8" w:space="0" w:color="FFFFFF"/>
              <w:right w:val="single" w:sz="8" w:space="0" w:color="FFFFFF"/>
            </w:tcBorders>
            <w:shd w:val="clear" w:color="000000" w:fill="D0CECE"/>
            <w:vAlign w:val="center"/>
            <w:hideMark/>
          </w:tcPr>
          <w:p w14:paraId="0292F95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2.3%</w:t>
            </w:r>
          </w:p>
        </w:tc>
        <w:tc>
          <w:tcPr>
            <w:tcW w:w="463" w:type="pct"/>
            <w:tcBorders>
              <w:top w:val="nil"/>
              <w:left w:val="nil"/>
              <w:bottom w:val="single" w:sz="8" w:space="0" w:color="FFFFFF"/>
              <w:right w:val="single" w:sz="8" w:space="0" w:color="FFFFFF"/>
            </w:tcBorders>
            <w:shd w:val="clear" w:color="000000" w:fill="D0CECE"/>
            <w:vAlign w:val="center"/>
            <w:hideMark/>
          </w:tcPr>
          <w:p w14:paraId="5B7436F3"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2.2%</w:t>
            </w:r>
          </w:p>
        </w:tc>
        <w:tc>
          <w:tcPr>
            <w:tcW w:w="463" w:type="pct"/>
            <w:tcBorders>
              <w:top w:val="nil"/>
              <w:left w:val="nil"/>
              <w:bottom w:val="single" w:sz="8" w:space="0" w:color="FFFFFF"/>
              <w:right w:val="single" w:sz="8" w:space="0" w:color="FFFFFF"/>
            </w:tcBorders>
            <w:shd w:val="clear" w:color="000000" w:fill="D0CECE"/>
            <w:vAlign w:val="center"/>
            <w:hideMark/>
          </w:tcPr>
          <w:p w14:paraId="146CF8E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2.3%</w:t>
            </w:r>
          </w:p>
        </w:tc>
        <w:tc>
          <w:tcPr>
            <w:tcW w:w="463" w:type="pct"/>
            <w:tcBorders>
              <w:top w:val="nil"/>
              <w:left w:val="nil"/>
              <w:bottom w:val="single" w:sz="8" w:space="0" w:color="FFFFFF"/>
              <w:right w:val="single" w:sz="8" w:space="0" w:color="FFFFFF"/>
            </w:tcBorders>
            <w:shd w:val="clear" w:color="000000" w:fill="D0CECE"/>
            <w:vAlign w:val="center"/>
            <w:hideMark/>
          </w:tcPr>
          <w:p w14:paraId="33955A4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2.3%</w:t>
            </w:r>
          </w:p>
        </w:tc>
      </w:tr>
      <w:tr w:rsidR="004575E7" w:rsidRPr="004575E7" w14:paraId="7A556B3A"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3CBF5043"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East of England</w:t>
            </w:r>
          </w:p>
        </w:tc>
        <w:tc>
          <w:tcPr>
            <w:tcW w:w="463" w:type="pct"/>
            <w:tcBorders>
              <w:top w:val="nil"/>
              <w:left w:val="nil"/>
              <w:bottom w:val="single" w:sz="8" w:space="0" w:color="FFFFFF"/>
              <w:right w:val="single" w:sz="8" w:space="0" w:color="FFFFFF"/>
            </w:tcBorders>
            <w:shd w:val="clear" w:color="000000" w:fill="E7EEEF"/>
            <w:vAlign w:val="center"/>
            <w:hideMark/>
          </w:tcPr>
          <w:p w14:paraId="1276E99E"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7.1%</w:t>
            </w:r>
          </w:p>
        </w:tc>
        <w:tc>
          <w:tcPr>
            <w:tcW w:w="463" w:type="pct"/>
            <w:tcBorders>
              <w:top w:val="nil"/>
              <w:left w:val="nil"/>
              <w:bottom w:val="single" w:sz="8" w:space="0" w:color="FFFFFF"/>
              <w:right w:val="single" w:sz="8" w:space="0" w:color="FFFFFF"/>
            </w:tcBorders>
            <w:shd w:val="clear" w:color="000000" w:fill="E7EEEF"/>
            <w:vAlign w:val="center"/>
            <w:hideMark/>
          </w:tcPr>
          <w:p w14:paraId="76ED0C9D"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8.1%</w:t>
            </w:r>
          </w:p>
        </w:tc>
        <w:tc>
          <w:tcPr>
            <w:tcW w:w="463" w:type="pct"/>
            <w:tcBorders>
              <w:top w:val="nil"/>
              <w:left w:val="nil"/>
              <w:bottom w:val="single" w:sz="8" w:space="0" w:color="FFFFFF"/>
              <w:right w:val="single" w:sz="8" w:space="0" w:color="FFFFFF"/>
            </w:tcBorders>
            <w:shd w:val="clear" w:color="000000" w:fill="E7EEEF"/>
            <w:vAlign w:val="center"/>
            <w:hideMark/>
          </w:tcPr>
          <w:p w14:paraId="7F09E86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5.4%</w:t>
            </w:r>
          </w:p>
        </w:tc>
        <w:tc>
          <w:tcPr>
            <w:tcW w:w="463" w:type="pct"/>
            <w:tcBorders>
              <w:top w:val="nil"/>
              <w:left w:val="nil"/>
              <w:bottom w:val="single" w:sz="8" w:space="0" w:color="FFFFFF"/>
              <w:right w:val="single" w:sz="8" w:space="0" w:color="FFFFFF"/>
            </w:tcBorders>
            <w:shd w:val="clear" w:color="000000" w:fill="E7EEEF"/>
            <w:vAlign w:val="center"/>
            <w:hideMark/>
          </w:tcPr>
          <w:p w14:paraId="3A25C3E9"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6.7%</w:t>
            </w:r>
          </w:p>
        </w:tc>
        <w:tc>
          <w:tcPr>
            <w:tcW w:w="463" w:type="pct"/>
            <w:tcBorders>
              <w:top w:val="nil"/>
              <w:left w:val="nil"/>
              <w:bottom w:val="single" w:sz="8" w:space="0" w:color="FFFFFF"/>
              <w:right w:val="single" w:sz="8" w:space="0" w:color="FFFFFF"/>
            </w:tcBorders>
            <w:shd w:val="clear" w:color="000000" w:fill="E7EEEF"/>
            <w:vAlign w:val="center"/>
            <w:hideMark/>
          </w:tcPr>
          <w:p w14:paraId="55D98B4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7.2%</w:t>
            </w:r>
          </w:p>
        </w:tc>
        <w:tc>
          <w:tcPr>
            <w:tcW w:w="463" w:type="pct"/>
            <w:tcBorders>
              <w:top w:val="nil"/>
              <w:left w:val="nil"/>
              <w:bottom w:val="single" w:sz="8" w:space="0" w:color="FFFFFF"/>
              <w:right w:val="single" w:sz="8" w:space="0" w:color="FFFFFF"/>
            </w:tcBorders>
            <w:shd w:val="clear" w:color="000000" w:fill="E7EEEF"/>
            <w:vAlign w:val="center"/>
            <w:hideMark/>
          </w:tcPr>
          <w:p w14:paraId="15C1D1A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4.8%</w:t>
            </w:r>
          </w:p>
        </w:tc>
        <w:tc>
          <w:tcPr>
            <w:tcW w:w="463" w:type="pct"/>
            <w:tcBorders>
              <w:top w:val="nil"/>
              <w:left w:val="nil"/>
              <w:bottom w:val="single" w:sz="8" w:space="0" w:color="FFFFFF"/>
              <w:right w:val="single" w:sz="8" w:space="0" w:color="FFFFFF"/>
            </w:tcBorders>
            <w:shd w:val="clear" w:color="000000" w:fill="E7EEEF"/>
            <w:vAlign w:val="center"/>
            <w:hideMark/>
          </w:tcPr>
          <w:p w14:paraId="4794D4DA"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9.4%</w:t>
            </w:r>
          </w:p>
        </w:tc>
        <w:tc>
          <w:tcPr>
            <w:tcW w:w="463" w:type="pct"/>
            <w:tcBorders>
              <w:top w:val="nil"/>
              <w:left w:val="nil"/>
              <w:bottom w:val="single" w:sz="8" w:space="0" w:color="FFFFFF"/>
              <w:right w:val="single" w:sz="8" w:space="0" w:color="FFFFFF"/>
            </w:tcBorders>
            <w:shd w:val="clear" w:color="000000" w:fill="E7EEEF"/>
            <w:vAlign w:val="center"/>
            <w:hideMark/>
          </w:tcPr>
          <w:p w14:paraId="33B6793A"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6.1%</w:t>
            </w:r>
          </w:p>
        </w:tc>
      </w:tr>
      <w:tr w:rsidR="004575E7" w:rsidRPr="004575E7" w14:paraId="24211282"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39FF8303"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East Midlands</w:t>
            </w:r>
          </w:p>
        </w:tc>
        <w:tc>
          <w:tcPr>
            <w:tcW w:w="463" w:type="pct"/>
            <w:tcBorders>
              <w:top w:val="nil"/>
              <w:left w:val="nil"/>
              <w:bottom w:val="single" w:sz="8" w:space="0" w:color="FFFFFF"/>
              <w:right w:val="single" w:sz="8" w:space="0" w:color="FFFFFF"/>
            </w:tcBorders>
            <w:shd w:val="clear" w:color="000000" w:fill="D0CECE"/>
            <w:vAlign w:val="center"/>
            <w:hideMark/>
          </w:tcPr>
          <w:p w14:paraId="1A51D62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1.7%</w:t>
            </w:r>
          </w:p>
        </w:tc>
        <w:tc>
          <w:tcPr>
            <w:tcW w:w="463" w:type="pct"/>
            <w:tcBorders>
              <w:top w:val="nil"/>
              <w:left w:val="nil"/>
              <w:bottom w:val="single" w:sz="8" w:space="0" w:color="FFFFFF"/>
              <w:right w:val="single" w:sz="8" w:space="0" w:color="FFFFFF"/>
            </w:tcBorders>
            <w:shd w:val="clear" w:color="000000" w:fill="D0CECE"/>
            <w:vAlign w:val="center"/>
            <w:hideMark/>
          </w:tcPr>
          <w:p w14:paraId="50910AEE"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0.4%</w:t>
            </w:r>
          </w:p>
        </w:tc>
        <w:tc>
          <w:tcPr>
            <w:tcW w:w="463" w:type="pct"/>
            <w:tcBorders>
              <w:top w:val="nil"/>
              <w:left w:val="nil"/>
              <w:bottom w:val="single" w:sz="8" w:space="0" w:color="FFFFFF"/>
              <w:right w:val="single" w:sz="8" w:space="0" w:color="FFFFFF"/>
            </w:tcBorders>
            <w:shd w:val="clear" w:color="000000" w:fill="D0CECE"/>
            <w:vAlign w:val="center"/>
            <w:hideMark/>
          </w:tcPr>
          <w:p w14:paraId="675D1CD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0.3%</w:t>
            </w:r>
          </w:p>
        </w:tc>
        <w:tc>
          <w:tcPr>
            <w:tcW w:w="463" w:type="pct"/>
            <w:tcBorders>
              <w:top w:val="nil"/>
              <w:left w:val="nil"/>
              <w:bottom w:val="single" w:sz="8" w:space="0" w:color="FFFFFF"/>
              <w:right w:val="single" w:sz="8" w:space="0" w:color="FFFFFF"/>
            </w:tcBorders>
            <w:shd w:val="clear" w:color="000000" w:fill="D0CECE"/>
            <w:vAlign w:val="center"/>
            <w:hideMark/>
          </w:tcPr>
          <w:p w14:paraId="7A28F9F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1.2%</w:t>
            </w:r>
          </w:p>
        </w:tc>
        <w:tc>
          <w:tcPr>
            <w:tcW w:w="463" w:type="pct"/>
            <w:tcBorders>
              <w:top w:val="nil"/>
              <w:left w:val="nil"/>
              <w:bottom w:val="single" w:sz="8" w:space="0" w:color="FFFFFF"/>
              <w:right w:val="single" w:sz="8" w:space="0" w:color="FFFFFF"/>
            </w:tcBorders>
            <w:shd w:val="clear" w:color="000000" w:fill="D0CECE"/>
            <w:vAlign w:val="center"/>
            <w:hideMark/>
          </w:tcPr>
          <w:p w14:paraId="11095A1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5.6%</w:t>
            </w:r>
          </w:p>
        </w:tc>
        <w:tc>
          <w:tcPr>
            <w:tcW w:w="463" w:type="pct"/>
            <w:tcBorders>
              <w:top w:val="nil"/>
              <w:left w:val="nil"/>
              <w:bottom w:val="single" w:sz="8" w:space="0" w:color="FFFFFF"/>
              <w:right w:val="single" w:sz="8" w:space="0" w:color="FFFFFF"/>
            </w:tcBorders>
            <w:shd w:val="clear" w:color="000000" w:fill="D0CECE"/>
            <w:vAlign w:val="center"/>
            <w:hideMark/>
          </w:tcPr>
          <w:p w14:paraId="2ED2A9A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D0CECE"/>
            <w:vAlign w:val="center"/>
            <w:hideMark/>
          </w:tcPr>
          <w:p w14:paraId="62C26DF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D0CECE"/>
            <w:vAlign w:val="center"/>
            <w:hideMark/>
          </w:tcPr>
          <w:p w14:paraId="580071F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0.1%</w:t>
            </w:r>
          </w:p>
        </w:tc>
      </w:tr>
      <w:tr w:rsidR="004575E7" w:rsidRPr="004575E7" w14:paraId="2A7C0705"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23CFCFC8"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London</w:t>
            </w:r>
          </w:p>
        </w:tc>
        <w:tc>
          <w:tcPr>
            <w:tcW w:w="463" w:type="pct"/>
            <w:tcBorders>
              <w:top w:val="nil"/>
              <w:left w:val="nil"/>
              <w:bottom w:val="single" w:sz="8" w:space="0" w:color="FFFFFF"/>
              <w:right w:val="single" w:sz="8" w:space="0" w:color="FFFFFF"/>
            </w:tcBorders>
            <w:shd w:val="clear" w:color="000000" w:fill="E7EEEF"/>
            <w:vAlign w:val="center"/>
            <w:hideMark/>
          </w:tcPr>
          <w:p w14:paraId="7662FB3A"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24.0%</w:t>
            </w:r>
          </w:p>
        </w:tc>
        <w:tc>
          <w:tcPr>
            <w:tcW w:w="463" w:type="pct"/>
            <w:tcBorders>
              <w:top w:val="nil"/>
              <w:left w:val="nil"/>
              <w:bottom w:val="single" w:sz="8" w:space="0" w:color="FFFFFF"/>
              <w:right w:val="single" w:sz="8" w:space="0" w:color="FFFFFF"/>
            </w:tcBorders>
            <w:shd w:val="clear" w:color="000000" w:fill="E7EEEF"/>
            <w:vAlign w:val="center"/>
            <w:hideMark/>
          </w:tcPr>
          <w:p w14:paraId="4E4CDC8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26.7%</w:t>
            </w:r>
          </w:p>
        </w:tc>
        <w:tc>
          <w:tcPr>
            <w:tcW w:w="463" w:type="pct"/>
            <w:tcBorders>
              <w:top w:val="nil"/>
              <w:left w:val="nil"/>
              <w:bottom w:val="single" w:sz="8" w:space="0" w:color="FFFFFF"/>
              <w:right w:val="single" w:sz="8" w:space="0" w:color="FFFFFF"/>
            </w:tcBorders>
            <w:shd w:val="clear" w:color="000000" w:fill="E7EEEF"/>
            <w:vAlign w:val="center"/>
            <w:hideMark/>
          </w:tcPr>
          <w:p w14:paraId="75B4F5A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23.1%</w:t>
            </w:r>
          </w:p>
        </w:tc>
        <w:tc>
          <w:tcPr>
            <w:tcW w:w="463" w:type="pct"/>
            <w:tcBorders>
              <w:top w:val="nil"/>
              <w:left w:val="nil"/>
              <w:bottom w:val="single" w:sz="8" w:space="0" w:color="FFFFFF"/>
              <w:right w:val="single" w:sz="8" w:space="0" w:color="FFFFFF"/>
            </w:tcBorders>
            <w:shd w:val="clear" w:color="000000" w:fill="E7EEEF"/>
            <w:vAlign w:val="center"/>
            <w:hideMark/>
          </w:tcPr>
          <w:p w14:paraId="3A40832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21.5%</w:t>
            </w:r>
          </w:p>
        </w:tc>
        <w:tc>
          <w:tcPr>
            <w:tcW w:w="463" w:type="pct"/>
            <w:tcBorders>
              <w:top w:val="nil"/>
              <w:left w:val="nil"/>
              <w:bottom w:val="single" w:sz="8" w:space="0" w:color="FFFFFF"/>
              <w:right w:val="single" w:sz="8" w:space="0" w:color="FFFFFF"/>
            </w:tcBorders>
            <w:shd w:val="clear" w:color="000000" w:fill="E7EEEF"/>
            <w:vAlign w:val="center"/>
            <w:hideMark/>
          </w:tcPr>
          <w:p w14:paraId="57F50CB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25.6%</w:t>
            </w:r>
          </w:p>
        </w:tc>
        <w:tc>
          <w:tcPr>
            <w:tcW w:w="463" w:type="pct"/>
            <w:tcBorders>
              <w:top w:val="nil"/>
              <w:left w:val="nil"/>
              <w:bottom w:val="single" w:sz="8" w:space="0" w:color="FFFFFF"/>
              <w:right w:val="single" w:sz="8" w:space="0" w:color="FFFFFF"/>
            </w:tcBorders>
            <w:shd w:val="clear" w:color="000000" w:fill="E7EEEF"/>
            <w:vAlign w:val="center"/>
            <w:hideMark/>
          </w:tcPr>
          <w:p w14:paraId="6EF5D199"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35.2%</w:t>
            </w:r>
          </w:p>
        </w:tc>
        <w:tc>
          <w:tcPr>
            <w:tcW w:w="463" w:type="pct"/>
            <w:tcBorders>
              <w:top w:val="nil"/>
              <w:left w:val="nil"/>
              <w:bottom w:val="single" w:sz="8" w:space="0" w:color="FFFFFF"/>
              <w:right w:val="single" w:sz="8" w:space="0" w:color="FFFFFF"/>
            </w:tcBorders>
            <w:shd w:val="clear" w:color="000000" w:fill="E7EEEF"/>
            <w:vAlign w:val="center"/>
            <w:hideMark/>
          </w:tcPr>
          <w:p w14:paraId="6776C3D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21.8%</w:t>
            </w:r>
          </w:p>
        </w:tc>
        <w:tc>
          <w:tcPr>
            <w:tcW w:w="463" w:type="pct"/>
            <w:tcBorders>
              <w:top w:val="nil"/>
              <w:left w:val="nil"/>
              <w:bottom w:val="single" w:sz="8" w:space="0" w:color="FFFFFF"/>
              <w:right w:val="single" w:sz="8" w:space="0" w:color="FFFFFF"/>
            </w:tcBorders>
            <w:shd w:val="clear" w:color="000000" w:fill="E7EEEF"/>
            <w:vAlign w:val="center"/>
            <w:hideMark/>
          </w:tcPr>
          <w:p w14:paraId="52448A5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22.4%</w:t>
            </w:r>
          </w:p>
        </w:tc>
      </w:tr>
      <w:tr w:rsidR="004575E7" w:rsidRPr="004575E7" w14:paraId="09B26393"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7326155E"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North East</w:t>
            </w:r>
          </w:p>
        </w:tc>
        <w:tc>
          <w:tcPr>
            <w:tcW w:w="463" w:type="pct"/>
            <w:tcBorders>
              <w:top w:val="nil"/>
              <w:left w:val="nil"/>
              <w:bottom w:val="single" w:sz="8" w:space="0" w:color="FFFFFF"/>
              <w:right w:val="single" w:sz="8" w:space="0" w:color="FFFFFF"/>
            </w:tcBorders>
            <w:shd w:val="clear" w:color="000000" w:fill="D0CECE"/>
            <w:vAlign w:val="center"/>
            <w:hideMark/>
          </w:tcPr>
          <w:p w14:paraId="170EAD1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1.0%</w:t>
            </w:r>
          </w:p>
        </w:tc>
        <w:tc>
          <w:tcPr>
            <w:tcW w:w="463" w:type="pct"/>
            <w:tcBorders>
              <w:top w:val="nil"/>
              <w:left w:val="nil"/>
              <w:bottom w:val="single" w:sz="8" w:space="0" w:color="FFFFFF"/>
              <w:right w:val="single" w:sz="8" w:space="0" w:color="FFFFFF"/>
            </w:tcBorders>
            <w:shd w:val="clear" w:color="000000" w:fill="D0CECE"/>
            <w:vAlign w:val="center"/>
            <w:hideMark/>
          </w:tcPr>
          <w:p w14:paraId="2912FB3D"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1.1%</w:t>
            </w:r>
          </w:p>
        </w:tc>
        <w:tc>
          <w:tcPr>
            <w:tcW w:w="463" w:type="pct"/>
            <w:tcBorders>
              <w:top w:val="nil"/>
              <w:left w:val="nil"/>
              <w:bottom w:val="single" w:sz="8" w:space="0" w:color="FFFFFF"/>
              <w:right w:val="single" w:sz="8" w:space="0" w:color="FFFFFF"/>
            </w:tcBorders>
            <w:shd w:val="clear" w:color="000000" w:fill="D0CECE"/>
            <w:vAlign w:val="center"/>
            <w:hideMark/>
          </w:tcPr>
          <w:p w14:paraId="583D094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0.8%</w:t>
            </w:r>
          </w:p>
        </w:tc>
        <w:tc>
          <w:tcPr>
            <w:tcW w:w="463" w:type="pct"/>
            <w:tcBorders>
              <w:top w:val="nil"/>
              <w:left w:val="nil"/>
              <w:bottom w:val="single" w:sz="8" w:space="0" w:color="FFFFFF"/>
              <w:right w:val="single" w:sz="8" w:space="0" w:color="FFFFFF"/>
            </w:tcBorders>
            <w:shd w:val="clear" w:color="000000" w:fill="D0CECE"/>
            <w:vAlign w:val="center"/>
            <w:hideMark/>
          </w:tcPr>
          <w:p w14:paraId="3899085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D0CECE"/>
            <w:vAlign w:val="center"/>
            <w:hideMark/>
          </w:tcPr>
          <w:p w14:paraId="61E2940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1.2%</w:t>
            </w:r>
          </w:p>
        </w:tc>
        <w:tc>
          <w:tcPr>
            <w:tcW w:w="463" w:type="pct"/>
            <w:tcBorders>
              <w:top w:val="nil"/>
              <w:left w:val="nil"/>
              <w:bottom w:val="single" w:sz="8" w:space="0" w:color="FFFFFF"/>
              <w:right w:val="single" w:sz="8" w:space="0" w:color="FFFFFF"/>
            </w:tcBorders>
            <w:shd w:val="clear" w:color="000000" w:fill="D0CECE"/>
            <w:vAlign w:val="center"/>
            <w:hideMark/>
          </w:tcPr>
          <w:p w14:paraId="4C55ABE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1.7%</w:t>
            </w:r>
          </w:p>
        </w:tc>
        <w:tc>
          <w:tcPr>
            <w:tcW w:w="463" w:type="pct"/>
            <w:tcBorders>
              <w:top w:val="nil"/>
              <w:left w:val="nil"/>
              <w:bottom w:val="single" w:sz="8" w:space="0" w:color="FFFFFF"/>
              <w:right w:val="single" w:sz="8" w:space="0" w:color="FFFFFF"/>
            </w:tcBorders>
            <w:shd w:val="clear" w:color="000000" w:fill="D0CECE"/>
            <w:vAlign w:val="center"/>
            <w:hideMark/>
          </w:tcPr>
          <w:p w14:paraId="0DAFC0B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0.4%</w:t>
            </w:r>
          </w:p>
        </w:tc>
        <w:tc>
          <w:tcPr>
            <w:tcW w:w="463" w:type="pct"/>
            <w:tcBorders>
              <w:top w:val="nil"/>
              <w:left w:val="nil"/>
              <w:bottom w:val="single" w:sz="8" w:space="0" w:color="FFFFFF"/>
              <w:right w:val="single" w:sz="8" w:space="0" w:color="FFFFFF"/>
            </w:tcBorders>
            <w:shd w:val="clear" w:color="000000" w:fill="D0CECE"/>
            <w:vAlign w:val="center"/>
            <w:hideMark/>
          </w:tcPr>
          <w:p w14:paraId="2A7FF3A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0.2%</w:t>
            </w:r>
          </w:p>
        </w:tc>
      </w:tr>
      <w:tr w:rsidR="004575E7" w:rsidRPr="004575E7" w14:paraId="5B4CB618"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1BA2AA17"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North West</w:t>
            </w:r>
          </w:p>
        </w:tc>
        <w:tc>
          <w:tcPr>
            <w:tcW w:w="463" w:type="pct"/>
            <w:tcBorders>
              <w:top w:val="nil"/>
              <w:left w:val="nil"/>
              <w:bottom w:val="single" w:sz="8" w:space="0" w:color="FFFFFF"/>
              <w:right w:val="single" w:sz="8" w:space="0" w:color="FFFFFF"/>
            </w:tcBorders>
            <w:shd w:val="clear" w:color="000000" w:fill="E7EEEF"/>
            <w:vAlign w:val="center"/>
            <w:hideMark/>
          </w:tcPr>
          <w:p w14:paraId="4A63E3D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7.8%</w:t>
            </w:r>
          </w:p>
        </w:tc>
        <w:tc>
          <w:tcPr>
            <w:tcW w:w="463" w:type="pct"/>
            <w:tcBorders>
              <w:top w:val="nil"/>
              <w:left w:val="nil"/>
              <w:bottom w:val="single" w:sz="8" w:space="0" w:color="FFFFFF"/>
              <w:right w:val="single" w:sz="8" w:space="0" w:color="FFFFFF"/>
            </w:tcBorders>
            <w:shd w:val="clear" w:color="000000" w:fill="E7EEEF"/>
            <w:vAlign w:val="center"/>
            <w:hideMark/>
          </w:tcPr>
          <w:p w14:paraId="75294EE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8.2%</w:t>
            </w:r>
          </w:p>
        </w:tc>
        <w:tc>
          <w:tcPr>
            <w:tcW w:w="463" w:type="pct"/>
            <w:tcBorders>
              <w:top w:val="nil"/>
              <w:left w:val="nil"/>
              <w:bottom w:val="single" w:sz="8" w:space="0" w:color="FFFFFF"/>
              <w:right w:val="single" w:sz="8" w:space="0" w:color="FFFFFF"/>
            </w:tcBorders>
            <w:shd w:val="clear" w:color="000000" w:fill="E7EEEF"/>
            <w:vAlign w:val="center"/>
            <w:hideMark/>
          </w:tcPr>
          <w:p w14:paraId="4CC4E7E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6.6%</w:t>
            </w:r>
          </w:p>
        </w:tc>
        <w:tc>
          <w:tcPr>
            <w:tcW w:w="463" w:type="pct"/>
            <w:tcBorders>
              <w:top w:val="nil"/>
              <w:left w:val="nil"/>
              <w:bottom w:val="single" w:sz="8" w:space="0" w:color="FFFFFF"/>
              <w:right w:val="single" w:sz="8" w:space="0" w:color="FFFFFF"/>
            </w:tcBorders>
            <w:shd w:val="clear" w:color="000000" w:fill="E7EEEF"/>
            <w:vAlign w:val="center"/>
            <w:hideMark/>
          </w:tcPr>
          <w:p w14:paraId="3901900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8.1%</w:t>
            </w:r>
          </w:p>
        </w:tc>
        <w:tc>
          <w:tcPr>
            <w:tcW w:w="463" w:type="pct"/>
            <w:tcBorders>
              <w:top w:val="nil"/>
              <w:left w:val="nil"/>
              <w:bottom w:val="single" w:sz="8" w:space="0" w:color="FFFFFF"/>
              <w:right w:val="single" w:sz="8" w:space="0" w:color="FFFFFF"/>
            </w:tcBorders>
            <w:shd w:val="clear" w:color="000000" w:fill="E7EEEF"/>
            <w:vAlign w:val="center"/>
            <w:hideMark/>
          </w:tcPr>
          <w:p w14:paraId="0BFEB00A"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8.3%</w:t>
            </w:r>
          </w:p>
        </w:tc>
        <w:tc>
          <w:tcPr>
            <w:tcW w:w="463" w:type="pct"/>
            <w:tcBorders>
              <w:top w:val="nil"/>
              <w:left w:val="nil"/>
              <w:bottom w:val="single" w:sz="8" w:space="0" w:color="FFFFFF"/>
              <w:right w:val="single" w:sz="8" w:space="0" w:color="FFFFFF"/>
            </w:tcBorders>
            <w:shd w:val="clear" w:color="000000" w:fill="E7EEEF"/>
            <w:vAlign w:val="center"/>
            <w:hideMark/>
          </w:tcPr>
          <w:p w14:paraId="44B4272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7.7%</w:t>
            </w:r>
          </w:p>
        </w:tc>
        <w:tc>
          <w:tcPr>
            <w:tcW w:w="463" w:type="pct"/>
            <w:tcBorders>
              <w:top w:val="nil"/>
              <w:left w:val="nil"/>
              <w:bottom w:val="single" w:sz="8" w:space="0" w:color="FFFFFF"/>
              <w:right w:val="single" w:sz="8" w:space="0" w:color="FFFFFF"/>
            </w:tcBorders>
            <w:shd w:val="clear" w:color="000000" w:fill="E7EEEF"/>
            <w:vAlign w:val="center"/>
            <w:hideMark/>
          </w:tcPr>
          <w:p w14:paraId="4E4EF3D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9.3%</w:t>
            </w:r>
          </w:p>
        </w:tc>
        <w:tc>
          <w:tcPr>
            <w:tcW w:w="463" w:type="pct"/>
            <w:tcBorders>
              <w:top w:val="nil"/>
              <w:left w:val="nil"/>
              <w:bottom w:val="single" w:sz="8" w:space="0" w:color="FFFFFF"/>
              <w:right w:val="single" w:sz="8" w:space="0" w:color="FFFFFF"/>
            </w:tcBorders>
            <w:shd w:val="clear" w:color="000000" w:fill="E7EEEF"/>
            <w:vAlign w:val="center"/>
            <w:hideMark/>
          </w:tcPr>
          <w:p w14:paraId="45EE1FF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9.0%</w:t>
            </w:r>
          </w:p>
        </w:tc>
      </w:tr>
      <w:tr w:rsidR="004575E7" w:rsidRPr="004575E7" w14:paraId="743ADA6A"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28F2AA7C"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South East</w:t>
            </w:r>
          </w:p>
        </w:tc>
        <w:tc>
          <w:tcPr>
            <w:tcW w:w="463" w:type="pct"/>
            <w:tcBorders>
              <w:top w:val="nil"/>
              <w:left w:val="nil"/>
              <w:bottom w:val="single" w:sz="8" w:space="0" w:color="FFFFFF"/>
              <w:right w:val="single" w:sz="8" w:space="0" w:color="FFFFFF"/>
            </w:tcBorders>
            <w:shd w:val="clear" w:color="000000" w:fill="D0CECE"/>
            <w:vAlign w:val="center"/>
            <w:hideMark/>
          </w:tcPr>
          <w:p w14:paraId="008322E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25.1%</w:t>
            </w:r>
          </w:p>
        </w:tc>
        <w:tc>
          <w:tcPr>
            <w:tcW w:w="463" w:type="pct"/>
            <w:tcBorders>
              <w:top w:val="nil"/>
              <w:left w:val="nil"/>
              <w:bottom w:val="single" w:sz="8" w:space="0" w:color="FFFFFF"/>
              <w:right w:val="single" w:sz="8" w:space="0" w:color="FFFFFF"/>
            </w:tcBorders>
            <w:shd w:val="clear" w:color="000000" w:fill="D0CECE"/>
            <w:vAlign w:val="center"/>
            <w:hideMark/>
          </w:tcPr>
          <w:p w14:paraId="41DDBE5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23.7%</w:t>
            </w:r>
          </w:p>
        </w:tc>
        <w:tc>
          <w:tcPr>
            <w:tcW w:w="463" w:type="pct"/>
            <w:tcBorders>
              <w:top w:val="nil"/>
              <w:left w:val="nil"/>
              <w:bottom w:val="single" w:sz="8" w:space="0" w:color="FFFFFF"/>
              <w:right w:val="single" w:sz="8" w:space="0" w:color="FFFFFF"/>
            </w:tcBorders>
            <w:shd w:val="clear" w:color="000000" w:fill="D0CECE"/>
            <w:vAlign w:val="center"/>
            <w:hideMark/>
          </w:tcPr>
          <w:p w14:paraId="72DB2C8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26.2%</w:t>
            </w:r>
          </w:p>
        </w:tc>
        <w:tc>
          <w:tcPr>
            <w:tcW w:w="463" w:type="pct"/>
            <w:tcBorders>
              <w:top w:val="nil"/>
              <w:left w:val="nil"/>
              <w:bottom w:val="single" w:sz="8" w:space="0" w:color="FFFFFF"/>
              <w:right w:val="single" w:sz="8" w:space="0" w:color="FFFFFF"/>
            </w:tcBorders>
            <w:shd w:val="clear" w:color="000000" w:fill="D0CECE"/>
            <w:vAlign w:val="center"/>
            <w:hideMark/>
          </w:tcPr>
          <w:p w14:paraId="5D48FD9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28.6%</w:t>
            </w:r>
          </w:p>
        </w:tc>
        <w:tc>
          <w:tcPr>
            <w:tcW w:w="463" w:type="pct"/>
            <w:tcBorders>
              <w:top w:val="nil"/>
              <w:left w:val="nil"/>
              <w:bottom w:val="single" w:sz="8" w:space="0" w:color="FFFFFF"/>
              <w:right w:val="single" w:sz="8" w:space="0" w:color="FFFFFF"/>
            </w:tcBorders>
            <w:shd w:val="clear" w:color="000000" w:fill="D0CECE"/>
            <w:vAlign w:val="center"/>
            <w:hideMark/>
          </w:tcPr>
          <w:p w14:paraId="5435076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24.4%</w:t>
            </w:r>
          </w:p>
        </w:tc>
        <w:tc>
          <w:tcPr>
            <w:tcW w:w="463" w:type="pct"/>
            <w:tcBorders>
              <w:top w:val="nil"/>
              <w:left w:val="nil"/>
              <w:bottom w:val="single" w:sz="8" w:space="0" w:color="FFFFFF"/>
              <w:right w:val="single" w:sz="8" w:space="0" w:color="FFFFFF"/>
            </w:tcBorders>
            <w:shd w:val="clear" w:color="000000" w:fill="D0CECE"/>
            <w:vAlign w:val="center"/>
            <w:hideMark/>
          </w:tcPr>
          <w:p w14:paraId="116914A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20.4%</w:t>
            </w:r>
          </w:p>
        </w:tc>
        <w:tc>
          <w:tcPr>
            <w:tcW w:w="463" w:type="pct"/>
            <w:tcBorders>
              <w:top w:val="nil"/>
              <w:left w:val="nil"/>
              <w:bottom w:val="single" w:sz="8" w:space="0" w:color="FFFFFF"/>
              <w:right w:val="single" w:sz="8" w:space="0" w:color="FFFFFF"/>
            </w:tcBorders>
            <w:shd w:val="clear" w:color="000000" w:fill="D0CECE"/>
            <w:vAlign w:val="center"/>
            <w:hideMark/>
          </w:tcPr>
          <w:p w14:paraId="074AA45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28.4%</w:t>
            </w:r>
          </w:p>
        </w:tc>
        <w:tc>
          <w:tcPr>
            <w:tcW w:w="463" w:type="pct"/>
            <w:tcBorders>
              <w:top w:val="nil"/>
              <w:left w:val="nil"/>
              <w:bottom w:val="single" w:sz="8" w:space="0" w:color="FFFFFF"/>
              <w:right w:val="single" w:sz="8" w:space="0" w:color="FFFFFF"/>
            </w:tcBorders>
            <w:shd w:val="clear" w:color="000000" w:fill="D0CECE"/>
            <w:vAlign w:val="center"/>
            <w:hideMark/>
          </w:tcPr>
          <w:p w14:paraId="558F444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33.1%</w:t>
            </w:r>
          </w:p>
        </w:tc>
      </w:tr>
      <w:tr w:rsidR="004575E7" w:rsidRPr="004575E7" w14:paraId="727884BA"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10D9FC10"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South West</w:t>
            </w:r>
          </w:p>
        </w:tc>
        <w:tc>
          <w:tcPr>
            <w:tcW w:w="463" w:type="pct"/>
            <w:tcBorders>
              <w:top w:val="nil"/>
              <w:left w:val="nil"/>
              <w:bottom w:val="single" w:sz="8" w:space="0" w:color="FFFFFF"/>
              <w:right w:val="single" w:sz="8" w:space="0" w:color="FFFFFF"/>
            </w:tcBorders>
            <w:shd w:val="clear" w:color="000000" w:fill="E7EEEF"/>
            <w:vAlign w:val="center"/>
            <w:hideMark/>
          </w:tcPr>
          <w:p w14:paraId="15A7A67D"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5.8%</w:t>
            </w:r>
          </w:p>
        </w:tc>
        <w:tc>
          <w:tcPr>
            <w:tcW w:w="463" w:type="pct"/>
            <w:tcBorders>
              <w:top w:val="nil"/>
              <w:left w:val="nil"/>
              <w:bottom w:val="single" w:sz="8" w:space="0" w:color="FFFFFF"/>
              <w:right w:val="single" w:sz="8" w:space="0" w:color="FFFFFF"/>
            </w:tcBorders>
            <w:shd w:val="clear" w:color="000000" w:fill="E7EEEF"/>
            <w:vAlign w:val="center"/>
            <w:hideMark/>
          </w:tcPr>
          <w:p w14:paraId="5BAAD77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4.2%</w:t>
            </w:r>
          </w:p>
        </w:tc>
        <w:tc>
          <w:tcPr>
            <w:tcW w:w="463" w:type="pct"/>
            <w:tcBorders>
              <w:top w:val="nil"/>
              <w:left w:val="nil"/>
              <w:bottom w:val="single" w:sz="8" w:space="0" w:color="FFFFFF"/>
              <w:right w:val="single" w:sz="8" w:space="0" w:color="FFFFFF"/>
            </w:tcBorders>
            <w:shd w:val="clear" w:color="000000" w:fill="E7EEEF"/>
            <w:vAlign w:val="center"/>
            <w:hideMark/>
          </w:tcPr>
          <w:p w14:paraId="4419943A"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9.1%</w:t>
            </w:r>
          </w:p>
        </w:tc>
        <w:tc>
          <w:tcPr>
            <w:tcW w:w="463" w:type="pct"/>
            <w:tcBorders>
              <w:top w:val="nil"/>
              <w:left w:val="nil"/>
              <w:bottom w:val="single" w:sz="8" w:space="0" w:color="FFFFFF"/>
              <w:right w:val="single" w:sz="8" w:space="0" w:color="FFFFFF"/>
            </w:tcBorders>
            <w:shd w:val="clear" w:color="000000" w:fill="E7EEEF"/>
            <w:vAlign w:val="center"/>
            <w:hideMark/>
          </w:tcPr>
          <w:p w14:paraId="2458494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7.2%</w:t>
            </w:r>
          </w:p>
        </w:tc>
        <w:tc>
          <w:tcPr>
            <w:tcW w:w="463" w:type="pct"/>
            <w:tcBorders>
              <w:top w:val="nil"/>
              <w:left w:val="nil"/>
              <w:bottom w:val="single" w:sz="8" w:space="0" w:color="FFFFFF"/>
              <w:right w:val="single" w:sz="8" w:space="0" w:color="FFFFFF"/>
            </w:tcBorders>
            <w:shd w:val="clear" w:color="000000" w:fill="E7EEEF"/>
            <w:vAlign w:val="center"/>
            <w:hideMark/>
          </w:tcPr>
          <w:p w14:paraId="6A007C03"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3.6%</w:t>
            </w:r>
          </w:p>
        </w:tc>
        <w:tc>
          <w:tcPr>
            <w:tcW w:w="463" w:type="pct"/>
            <w:tcBorders>
              <w:top w:val="nil"/>
              <w:left w:val="nil"/>
              <w:bottom w:val="single" w:sz="8" w:space="0" w:color="FFFFFF"/>
              <w:right w:val="single" w:sz="8" w:space="0" w:color="FFFFFF"/>
            </w:tcBorders>
            <w:shd w:val="clear" w:color="000000" w:fill="E7EEEF"/>
            <w:vAlign w:val="center"/>
            <w:hideMark/>
          </w:tcPr>
          <w:p w14:paraId="2FA2810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6.0%</w:t>
            </w:r>
          </w:p>
        </w:tc>
        <w:tc>
          <w:tcPr>
            <w:tcW w:w="463" w:type="pct"/>
            <w:tcBorders>
              <w:top w:val="nil"/>
              <w:left w:val="nil"/>
              <w:bottom w:val="single" w:sz="8" w:space="0" w:color="FFFFFF"/>
              <w:right w:val="single" w:sz="8" w:space="0" w:color="FFFFFF"/>
            </w:tcBorders>
            <w:shd w:val="clear" w:color="000000" w:fill="E7EEEF"/>
            <w:vAlign w:val="center"/>
            <w:hideMark/>
          </w:tcPr>
          <w:p w14:paraId="083C4EF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5.5%</w:t>
            </w:r>
          </w:p>
        </w:tc>
        <w:tc>
          <w:tcPr>
            <w:tcW w:w="463" w:type="pct"/>
            <w:tcBorders>
              <w:top w:val="nil"/>
              <w:left w:val="nil"/>
              <w:bottom w:val="single" w:sz="8" w:space="0" w:color="FFFFFF"/>
              <w:right w:val="single" w:sz="8" w:space="0" w:color="FFFFFF"/>
            </w:tcBorders>
            <w:shd w:val="clear" w:color="000000" w:fill="E7EEEF"/>
            <w:vAlign w:val="center"/>
            <w:hideMark/>
          </w:tcPr>
          <w:p w14:paraId="0CAD614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8.3%</w:t>
            </w:r>
          </w:p>
        </w:tc>
      </w:tr>
      <w:tr w:rsidR="004575E7" w:rsidRPr="004575E7" w14:paraId="560F476C"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1488C16B"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West Midlands</w:t>
            </w:r>
          </w:p>
        </w:tc>
        <w:tc>
          <w:tcPr>
            <w:tcW w:w="463" w:type="pct"/>
            <w:tcBorders>
              <w:top w:val="nil"/>
              <w:left w:val="nil"/>
              <w:bottom w:val="single" w:sz="8" w:space="0" w:color="FFFFFF"/>
              <w:right w:val="single" w:sz="8" w:space="0" w:color="FFFFFF"/>
            </w:tcBorders>
            <w:shd w:val="clear" w:color="000000" w:fill="D0CECE"/>
            <w:vAlign w:val="center"/>
            <w:hideMark/>
          </w:tcPr>
          <w:p w14:paraId="5D70E46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3.3%</w:t>
            </w:r>
          </w:p>
        </w:tc>
        <w:tc>
          <w:tcPr>
            <w:tcW w:w="463" w:type="pct"/>
            <w:tcBorders>
              <w:top w:val="nil"/>
              <w:left w:val="nil"/>
              <w:bottom w:val="single" w:sz="8" w:space="0" w:color="FFFFFF"/>
              <w:right w:val="single" w:sz="8" w:space="0" w:color="FFFFFF"/>
            </w:tcBorders>
            <w:shd w:val="clear" w:color="000000" w:fill="D0CECE"/>
            <w:vAlign w:val="center"/>
            <w:hideMark/>
          </w:tcPr>
          <w:p w14:paraId="4EF869DD"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0.8%</w:t>
            </w:r>
          </w:p>
        </w:tc>
        <w:tc>
          <w:tcPr>
            <w:tcW w:w="463" w:type="pct"/>
            <w:tcBorders>
              <w:top w:val="nil"/>
              <w:left w:val="nil"/>
              <w:bottom w:val="single" w:sz="8" w:space="0" w:color="FFFFFF"/>
              <w:right w:val="single" w:sz="8" w:space="0" w:color="FFFFFF"/>
            </w:tcBorders>
            <w:shd w:val="clear" w:color="000000" w:fill="D0CECE"/>
            <w:vAlign w:val="center"/>
            <w:hideMark/>
          </w:tcPr>
          <w:p w14:paraId="2B022093"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0.4%</w:t>
            </w:r>
          </w:p>
        </w:tc>
        <w:tc>
          <w:tcPr>
            <w:tcW w:w="463" w:type="pct"/>
            <w:tcBorders>
              <w:top w:val="nil"/>
              <w:left w:val="nil"/>
              <w:bottom w:val="single" w:sz="8" w:space="0" w:color="FFFFFF"/>
              <w:right w:val="single" w:sz="8" w:space="0" w:color="FFFFFF"/>
            </w:tcBorders>
            <w:shd w:val="clear" w:color="000000" w:fill="D0CECE"/>
            <w:vAlign w:val="center"/>
            <w:hideMark/>
          </w:tcPr>
          <w:p w14:paraId="0BA8605A"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0.9%</w:t>
            </w:r>
          </w:p>
        </w:tc>
        <w:tc>
          <w:tcPr>
            <w:tcW w:w="463" w:type="pct"/>
            <w:tcBorders>
              <w:top w:val="nil"/>
              <w:left w:val="nil"/>
              <w:bottom w:val="single" w:sz="8" w:space="0" w:color="FFFFFF"/>
              <w:right w:val="single" w:sz="8" w:space="0" w:color="FFFFFF"/>
            </w:tcBorders>
            <w:shd w:val="clear" w:color="000000" w:fill="D0CECE"/>
            <w:vAlign w:val="center"/>
            <w:hideMark/>
          </w:tcPr>
          <w:p w14:paraId="558511F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2.2%</w:t>
            </w:r>
          </w:p>
        </w:tc>
        <w:tc>
          <w:tcPr>
            <w:tcW w:w="463" w:type="pct"/>
            <w:tcBorders>
              <w:top w:val="nil"/>
              <w:left w:val="nil"/>
              <w:bottom w:val="single" w:sz="8" w:space="0" w:color="FFFFFF"/>
              <w:right w:val="single" w:sz="8" w:space="0" w:color="FFFFFF"/>
            </w:tcBorders>
            <w:shd w:val="clear" w:color="000000" w:fill="D0CECE"/>
            <w:vAlign w:val="center"/>
            <w:hideMark/>
          </w:tcPr>
          <w:p w14:paraId="6D0F368D"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0.8%</w:t>
            </w:r>
          </w:p>
        </w:tc>
        <w:tc>
          <w:tcPr>
            <w:tcW w:w="463" w:type="pct"/>
            <w:tcBorders>
              <w:top w:val="nil"/>
              <w:left w:val="nil"/>
              <w:bottom w:val="single" w:sz="8" w:space="0" w:color="FFFFFF"/>
              <w:right w:val="single" w:sz="8" w:space="0" w:color="FFFFFF"/>
            </w:tcBorders>
            <w:shd w:val="clear" w:color="000000" w:fill="D0CECE"/>
            <w:vAlign w:val="center"/>
            <w:hideMark/>
          </w:tcPr>
          <w:p w14:paraId="7BACA8C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1.5%</w:t>
            </w:r>
          </w:p>
        </w:tc>
        <w:tc>
          <w:tcPr>
            <w:tcW w:w="463" w:type="pct"/>
            <w:tcBorders>
              <w:top w:val="nil"/>
              <w:left w:val="nil"/>
              <w:bottom w:val="single" w:sz="8" w:space="0" w:color="FFFFFF"/>
              <w:right w:val="single" w:sz="8" w:space="0" w:color="FFFFFF"/>
            </w:tcBorders>
            <w:shd w:val="clear" w:color="000000" w:fill="D0CECE"/>
            <w:vAlign w:val="center"/>
            <w:hideMark/>
          </w:tcPr>
          <w:p w14:paraId="29D4716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0.9%</w:t>
            </w:r>
          </w:p>
        </w:tc>
      </w:tr>
      <w:tr w:rsidR="004575E7" w:rsidRPr="004575E7" w14:paraId="4B477AB1" w14:textId="77777777" w:rsidTr="004575E7">
        <w:trPr>
          <w:trHeight w:val="330"/>
        </w:trPr>
        <w:tc>
          <w:tcPr>
            <w:tcW w:w="1293" w:type="pct"/>
            <w:tcBorders>
              <w:top w:val="single" w:sz="8" w:space="0" w:color="FFFFFF"/>
              <w:left w:val="nil"/>
              <w:bottom w:val="single" w:sz="12" w:space="0" w:color="FFFFFF"/>
              <w:right w:val="single" w:sz="8" w:space="0" w:color="FFFFFF"/>
            </w:tcBorders>
            <w:shd w:val="clear" w:color="000000" w:fill="008C9B"/>
            <w:vAlign w:val="center"/>
            <w:hideMark/>
          </w:tcPr>
          <w:p w14:paraId="2333CD42"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Yorkshire and the Humber</w:t>
            </w:r>
          </w:p>
        </w:tc>
        <w:tc>
          <w:tcPr>
            <w:tcW w:w="463" w:type="pct"/>
            <w:tcBorders>
              <w:top w:val="nil"/>
              <w:left w:val="nil"/>
              <w:bottom w:val="single" w:sz="8" w:space="0" w:color="FFFFFF"/>
              <w:right w:val="single" w:sz="8" w:space="0" w:color="FFFFFF"/>
            </w:tcBorders>
            <w:shd w:val="clear" w:color="000000" w:fill="E7EEEF"/>
            <w:vAlign w:val="center"/>
            <w:hideMark/>
          </w:tcPr>
          <w:p w14:paraId="15561A59"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4.2%</w:t>
            </w:r>
          </w:p>
        </w:tc>
        <w:tc>
          <w:tcPr>
            <w:tcW w:w="463" w:type="pct"/>
            <w:tcBorders>
              <w:top w:val="nil"/>
              <w:left w:val="nil"/>
              <w:bottom w:val="single" w:sz="8" w:space="0" w:color="FFFFFF"/>
              <w:right w:val="single" w:sz="8" w:space="0" w:color="FFFFFF"/>
            </w:tcBorders>
            <w:shd w:val="clear" w:color="000000" w:fill="E7EEEF"/>
            <w:vAlign w:val="center"/>
            <w:hideMark/>
          </w:tcPr>
          <w:p w14:paraId="233D72BE"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3.2%</w:t>
            </w:r>
          </w:p>
        </w:tc>
        <w:tc>
          <w:tcPr>
            <w:tcW w:w="463" w:type="pct"/>
            <w:tcBorders>
              <w:top w:val="nil"/>
              <w:left w:val="nil"/>
              <w:bottom w:val="single" w:sz="8" w:space="0" w:color="FFFFFF"/>
              <w:right w:val="single" w:sz="8" w:space="0" w:color="FFFFFF"/>
            </w:tcBorders>
            <w:shd w:val="clear" w:color="000000" w:fill="E7EEEF"/>
            <w:vAlign w:val="center"/>
            <w:hideMark/>
          </w:tcPr>
          <w:p w14:paraId="0767B58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5.8%</w:t>
            </w:r>
          </w:p>
        </w:tc>
        <w:tc>
          <w:tcPr>
            <w:tcW w:w="463" w:type="pct"/>
            <w:tcBorders>
              <w:top w:val="nil"/>
              <w:left w:val="nil"/>
              <w:bottom w:val="single" w:sz="8" w:space="0" w:color="FFFFFF"/>
              <w:right w:val="single" w:sz="8" w:space="0" w:color="FFFFFF"/>
            </w:tcBorders>
            <w:shd w:val="clear" w:color="000000" w:fill="E7EEEF"/>
            <w:vAlign w:val="center"/>
            <w:hideMark/>
          </w:tcPr>
          <w:p w14:paraId="30AB88A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3.2%</w:t>
            </w:r>
          </w:p>
        </w:tc>
        <w:tc>
          <w:tcPr>
            <w:tcW w:w="463" w:type="pct"/>
            <w:tcBorders>
              <w:top w:val="nil"/>
              <w:left w:val="nil"/>
              <w:bottom w:val="single" w:sz="8" w:space="0" w:color="FFFFFF"/>
              <w:right w:val="single" w:sz="8" w:space="0" w:color="FFFFFF"/>
            </w:tcBorders>
            <w:shd w:val="clear" w:color="000000" w:fill="E7EEEF"/>
            <w:vAlign w:val="center"/>
            <w:hideMark/>
          </w:tcPr>
          <w:p w14:paraId="3FA5761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E7EEEF"/>
            <w:vAlign w:val="center"/>
            <w:hideMark/>
          </w:tcPr>
          <w:p w14:paraId="49B0E00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3.3%</w:t>
            </w:r>
          </w:p>
        </w:tc>
        <w:tc>
          <w:tcPr>
            <w:tcW w:w="463" w:type="pct"/>
            <w:tcBorders>
              <w:top w:val="nil"/>
              <w:left w:val="nil"/>
              <w:bottom w:val="single" w:sz="8" w:space="0" w:color="FFFFFF"/>
              <w:right w:val="single" w:sz="8" w:space="0" w:color="FFFFFF"/>
            </w:tcBorders>
            <w:shd w:val="clear" w:color="000000" w:fill="E7EEEF"/>
            <w:vAlign w:val="center"/>
            <w:hideMark/>
          </w:tcPr>
          <w:p w14:paraId="218FF7F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2.0%</w:t>
            </w:r>
          </w:p>
        </w:tc>
        <w:tc>
          <w:tcPr>
            <w:tcW w:w="463" w:type="pct"/>
            <w:tcBorders>
              <w:top w:val="nil"/>
              <w:left w:val="nil"/>
              <w:bottom w:val="single" w:sz="8" w:space="0" w:color="FFFFFF"/>
              <w:right w:val="single" w:sz="8" w:space="0" w:color="FFFFFF"/>
            </w:tcBorders>
            <w:shd w:val="clear" w:color="000000" w:fill="E7EEEF"/>
            <w:vAlign w:val="center"/>
            <w:hideMark/>
          </w:tcPr>
          <w:p w14:paraId="2B287CC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1.3%</w:t>
            </w:r>
          </w:p>
        </w:tc>
      </w:tr>
    </w:tbl>
    <w:p w14:paraId="48C58511" w14:textId="77777777" w:rsidR="00445751" w:rsidRDefault="00445751" w:rsidP="005476D9">
      <w:pPr>
        <w:keepNext/>
        <w:keepLines/>
        <w:spacing w:before="60" w:after="120"/>
        <w:ind w:left="6480" w:firstLine="720"/>
        <w:jc w:val="right"/>
        <w:rPr>
          <w:i/>
          <w:color w:val="000000" w:themeColor="text1"/>
          <w:sz w:val="18"/>
        </w:rPr>
      </w:pPr>
      <w:r w:rsidRPr="00BB097C">
        <w:rPr>
          <w:i/>
          <w:color w:val="000000" w:themeColor="text1"/>
          <w:sz w:val="18"/>
        </w:rPr>
        <w:t>Source:</w:t>
      </w:r>
      <w:r>
        <w:rPr>
          <w:i/>
          <w:color w:val="000000" w:themeColor="text1"/>
          <w:sz w:val="18"/>
        </w:rPr>
        <w:t xml:space="preserve"> ONS</w:t>
      </w:r>
      <w:r w:rsidRPr="00BB097C">
        <w:rPr>
          <w:i/>
          <w:color w:val="000000" w:themeColor="text1"/>
          <w:sz w:val="18"/>
        </w:rPr>
        <w:t>, Cebr analysis</w:t>
      </w:r>
    </w:p>
    <w:p w14:paraId="660A1B2A" w14:textId="68F9993E" w:rsidR="00EB4749" w:rsidRDefault="00EB4749" w:rsidP="005476D9">
      <w:pPr>
        <w:pStyle w:val="Heading3"/>
      </w:pPr>
      <w:r>
        <w:t>Ports</w:t>
      </w:r>
    </w:p>
    <w:p w14:paraId="6D912872" w14:textId="655E0B5A" w:rsidR="00C262BC" w:rsidRDefault="00310B28" w:rsidP="00EB4749">
      <w:pPr>
        <w:pStyle w:val="ListBullet"/>
        <w:spacing w:after="120"/>
        <w:rPr>
          <w:rFonts w:ascii="Calibri" w:eastAsia="Microsoft JhengHei" w:hAnsi="Calibri"/>
          <w:szCs w:val="22"/>
        </w:rPr>
      </w:pPr>
      <w:r>
        <w:rPr>
          <w:rFonts w:ascii="Calibri" w:eastAsia="Microsoft JhengHei" w:hAnsi="Calibri"/>
          <w:szCs w:val="22"/>
        </w:rPr>
        <w:t xml:space="preserve">The first step in disaggregating the economic activity of </w:t>
      </w:r>
      <w:r w:rsidR="00432A94">
        <w:rPr>
          <w:rFonts w:ascii="Calibri" w:eastAsia="Microsoft JhengHei" w:hAnsi="Calibri"/>
          <w:szCs w:val="22"/>
        </w:rPr>
        <w:t xml:space="preserve">the </w:t>
      </w:r>
      <w:r w:rsidR="004575E7">
        <w:rPr>
          <w:rFonts w:ascii="Calibri" w:eastAsia="Microsoft JhengHei" w:hAnsi="Calibri"/>
          <w:szCs w:val="22"/>
        </w:rPr>
        <w:t>p</w:t>
      </w:r>
      <w:r>
        <w:rPr>
          <w:rFonts w:ascii="Calibri" w:eastAsia="Microsoft JhengHei" w:hAnsi="Calibri"/>
          <w:szCs w:val="22"/>
        </w:rPr>
        <w:t xml:space="preserve">orts industry has been to identify the proportion </w:t>
      </w:r>
      <w:r w:rsidR="00B672CA">
        <w:rPr>
          <w:rFonts w:ascii="Calibri" w:eastAsia="Microsoft JhengHei" w:hAnsi="Calibri"/>
          <w:szCs w:val="22"/>
        </w:rPr>
        <w:t xml:space="preserve">of employment within council wards which </w:t>
      </w:r>
      <w:r>
        <w:rPr>
          <w:rFonts w:ascii="Calibri" w:eastAsia="Microsoft JhengHei" w:hAnsi="Calibri"/>
          <w:szCs w:val="22"/>
        </w:rPr>
        <w:t>co</w:t>
      </w:r>
      <w:r w:rsidR="00F9113F">
        <w:rPr>
          <w:rFonts w:ascii="Calibri" w:eastAsia="Microsoft JhengHei" w:hAnsi="Calibri"/>
          <w:szCs w:val="22"/>
        </w:rPr>
        <w:t xml:space="preserve">ntain a major or minor UK port. </w:t>
      </w:r>
      <w:r w:rsidR="00B672CA">
        <w:rPr>
          <w:rFonts w:ascii="Calibri" w:eastAsia="Microsoft JhengHei" w:hAnsi="Calibri"/>
          <w:szCs w:val="22"/>
        </w:rPr>
        <w:t>It</w:t>
      </w:r>
      <w:r w:rsidR="004575E7">
        <w:rPr>
          <w:rFonts w:ascii="Calibri" w:eastAsia="Microsoft JhengHei" w:hAnsi="Calibri"/>
          <w:szCs w:val="22"/>
        </w:rPr>
        <w:t xml:space="preserve"> is assumed that employment in p</w:t>
      </w:r>
      <w:r w:rsidR="00B672CA">
        <w:rPr>
          <w:rFonts w:ascii="Calibri" w:eastAsia="Microsoft JhengHei" w:hAnsi="Calibri"/>
          <w:szCs w:val="22"/>
        </w:rPr>
        <w:t xml:space="preserve">orts-related activities (as set out in </w:t>
      </w:r>
      <w:r w:rsidR="00916D86">
        <w:rPr>
          <w:rFonts w:ascii="Calibri" w:eastAsia="Microsoft JhengHei" w:hAnsi="Calibri"/>
          <w:szCs w:val="22"/>
        </w:rPr>
        <w:fldChar w:fldCharType="begin"/>
      </w:r>
      <w:r w:rsidR="00916D86">
        <w:rPr>
          <w:rFonts w:ascii="Calibri" w:eastAsia="Microsoft JhengHei" w:hAnsi="Calibri"/>
          <w:szCs w:val="22"/>
        </w:rPr>
        <w:instrText xml:space="preserve"> REF _Ref16685176 \h </w:instrText>
      </w:r>
      <w:r w:rsidR="00916D86">
        <w:rPr>
          <w:rFonts w:ascii="Calibri" w:eastAsia="Microsoft JhengHei" w:hAnsi="Calibri"/>
          <w:szCs w:val="22"/>
        </w:rPr>
      </w:r>
      <w:r w:rsidR="00916D86">
        <w:rPr>
          <w:rFonts w:ascii="Calibri" w:eastAsia="Microsoft JhengHei" w:hAnsi="Calibri"/>
          <w:szCs w:val="22"/>
        </w:rPr>
        <w:fldChar w:fldCharType="separate"/>
      </w:r>
      <w:r w:rsidR="00916D86">
        <w:t xml:space="preserve">Table </w:t>
      </w:r>
      <w:r w:rsidR="00916D86">
        <w:rPr>
          <w:noProof/>
        </w:rPr>
        <w:t>6</w:t>
      </w:r>
      <w:r w:rsidR="00916D86">
        <w:rPr>
          <w:rFonts w:ascii="Calibri" w:eastAsia="Microsoft JhengHei" w:hAnsi="Calibri"/>
          <w:szCs w:val="22"/>
        </w:rPr>
        <w:fldChar w:fldCharType="end"/>
      </w:r>
      <w:r w:rsidR="00916D86">
        <w:rPr>
          <w:rFonts w:ascii="Calibri" w:eastAsia="Microsoft JhengHei" w:hAnsi="Calibri"/>
          <w:szCs w:val="22"/>
        </w:rPr>
        <w:t xml:space="preserve"> below</w:t>
      </w:r>
      <w:r w:rsidR="00B672CA">
        <w:rPr>
          <w:rFonts w:ascii="Calibri" w:eastAsia="Microsoft JhengHei" w:hAnsi="Calibri"/>
          <w:szCs w:val="22"/>
        </w:rPr>
        <w:t xml:space="preserve">) within a council ward containing a UK port directly relates to </w:t>
      </w:r>
      <w:r w:rsidR="009545A4">
        <w:rPr>
          <w:rFonts w:ascii="Calibri" w:eastAsia="Microsoft JhengHei" w:hAnsi="Calibri"/>
          <w:szCs w:val="22"/>
        </w:rPr>
        <w:t>the</w:t>
      </w:r>
      <w:r w:rsidR="00B672CA">
        <w:rPr>
          <w:rFonts w:ascii="Calibri" w:eastAsia="Microsoft JhengHei" w:hAnsi="Calibri"/>
          <w:szCs w:val="22"/>
        </w:rPr>
        <w:t xml:space="preserve"> port. </w:t>
      </w:r>
      <w:r w:rsidR="00F9113F">
        <w:rPr>
          <w:rFonts w:ascii="Calibri" w:eastAsia="Microsoft JhengHei" w:hAnsi="Calibri"/>
          <w:szCs w:val="22"/>
        </w:rPr>
        <w:t xml:space="preserve">The major source of employment in council </w:t>
      </w:r>
      <w:r w:rsidR="00036581">
        <w:rPr>
          <w:rFonts w:ascii="Calibri" w:eastAsia="Microsoft JhengHei" w:hAnsi="Calibri"/>
          <w:szCs w:val="22"/>
        </w:rPr>
        <w:t>wards used was BRES.</w:t>
      </w:r>
      <w:r w:rsidR="00F9113F">
        <w:rPr>
          <w:rFonts w:ascii="Calibri" w:eastAsia="Microsoft JhengHei" w:hAnsi="Calibri"/>
          <w:szCs w:val="22"/>
        </w:rPr>
        <w:t xml:space="preserve"> </w:t>
      </w:r>
    </w:p>
    <w:p w14:paraId="705B8191" w14:textId="17941F93" w:rsidR="003F3392" w:rsidRDefault="00C262BC" w:rsidP="00C262BC">
      <w:pPr>
        <w:pStyle w:val="ListBullet"/>
        <w:spacing w:after="120"/>
        <w:rPr>
          <w:rFonts w:ascii="Calibri" w:eastAsia="Microsoft JhengHei" w:hAnsi="Calibri"/>
          <w:szCs w:val="22"/>
        </w:rPr>
      </w:pPr>
      <w:r>
        <w:rPr>
          <w:rFonts w:ascii="Calibri" w:eastAsia="Microsoft JhengHei" w:hAnsi="Calibri"/>
          <w:szCs w:val="22"/>
        </w:rPr>
        <w:t xml:space="preserve">A full list of Scottish ports considered as part of this report is provided in the Annex. </w:t>
      </w:r>
      <w:r w:rsidR="004575E7">
        <w:rPr>
          <w:rFonts w:ascii="Calibri" w:eastAsia="Microsoft JhengHei" w:hAnsi="Calibri"/>
          <w:szCs w:val="22"/>
        </w:rPr>
        <w:t>As with s</w:t>
      </w:r>
      <w:r w:rsidR="003C3588">
        <w:rPr>
          <w:rFonts w:ascii="Calibri" w:eastAsia="Microsoft JhengHei" w:hAnsi="Calibri"/>
          <w:szCs w:val="22"/>
        </w:rPr>
        <w:t xml:space="preserve">hipping employment, </w:t>
      </w:r>
      <w:r w:rsidR="004575E7">
        <w:rPr>
          <w:rFonts w:ascii="Calibri" w:eastAsia="Microsoft JhengHei" w:hAnsi="Calibri"/>
          <w:szCs w:val="22"/>
        </w:rPr>
        <w:t>p</w:t>
      </w:r>
      <w:r w:rsidR="00F9113F">
        <w:rPr>
          <w:rFonts w:ascii="Calibri" w:eastAsia="Microsoft JhengHei" w:hAnsi="Calibri"/>
          <w:szCs w:val="22"/>
        </w:rPr>
        <w:t>orts employment in Northern Ireland</w:t>
      </w:r>
      <w:r>
        <w:rPr>
          <w:rFonts w:ascii="Calibri" w:eastAsia="Microsoft JhengHei" w:hAnsi="Calibri"/>
          <w:szCs w:val="22"/>
        </w:rPr>
        <w:t xml:space="preserve"> has been estimated using a combination of BRES and the Annual Business Survey, the latter providing the proportion of employment in Northern Ireland across the broader industrial sector categories. </w:t>
      </w:r>
      <w:r w:rsidR="00916D86">
        <w:rPr>
          <w:rFonts w:ascii="Calibri" w:eastAsia="Microsoft JhengHei" w:hAnsi="Calibri"/>
          <w:szCs w:val="22"/>
        </w:rPr>
        <w:fldChar w:fldCharType="begin"/>
      </w:r>
      <w:r w:rsidR="00916D86">
        <w:rPr>
          <w:rFonts w:ascii="Calibri" w:eastAsia="Microsoft JhengHei" w:hAnsi="Calibri"/>
          <w:szCs w:val="22"/>
        </w:rPr>
        <w:instrText xml:space="preserve"> REF _Ref16685176 \h </w:instrText>
      </w:r>
      <w:r w:rsidR="00916D86">
        <w:rPr>
          <w:rFonts w:ascii="Calibri" w:eastAsia="Microsoft JhengHei" w:hAnsi="Calibri"/>
          <w:szCs w:val="22"/>
        </w:rPr>
      </w:r>
      <w:r w:rsidR="00916D86">
        <w:rPr>
          <w:rFonts w:ascii="Calibri" w:eastAsia="Microsoft JhengHei" w:hAnsi="Calibri"/>
          <w:szCs w:val="22"/>
        </w:rPr>
        <w:fldChar w:fldCharType="separate"/>
      </w:r>
      <w:r w:rsidR="00916D86">
        <w:t xml:space="preserve">Table </w:t>
      </w:r>
      <w:r w:rsidR="00916D86">
        <w:rPr>
          <w:noProof/>
        </w:rPr>
        <w:t>6</w:t>
      </w:r>
      <w:r w:rsidR="00916D86">
        <w:rPr>
          <w:rFonts w:ascii="Calibri" w:eastAsia="Microsoft JhengHei" w:hAnsi="Calibri"/>
          <w:szCs w:val="22"/>
        </w:rPr>
        <w:fldChar w:fldCharType="end"/>
      </w:r>
      <w:r w:rsidR="00916D86">
        <w:rPr>
          <w:rFonts w:ascii="Calibri" w:eastAsia="Microsoft JhengHei" w:hAnsi="Calibri"/>
          <w:szCs w:val="22"/>
        </w:rPr>
        <w:t xml:space="preserve"> </w:t>
      </w:r>
      <w:r>
        <w:rPr>
          <w:rFonts w:ascii="Calibri" w:eastAsia="Microsoft JhengHei" w:hAnsi="Calibri"/>
          <w:szCs w:val="22"/>
        </w:rPr>
        <w:t>below shows the prop</w:t>
      </w:r>
      <w:r w:rsidR="004575E7">
        <w:rPr>
          <w:rFonts w:ascii="Calibri" w:eastAsia="Microsoft JhengHei" w:hAnsi="Calibri"/>
          <w:szCs w:val="22"/>
        </w:rPr>
        <w:t>ortion of employment in the UK p</w:t>
      </w:r>
      <w:r>
        <w:rPr>
          <w:rFonts w:ascii="Calibri" w:eastAsia="Microsoft JhengHei" w:hAnsi="Calibri"/>
          <w:szCs w:val="22"/>
        </w:rPr>
        <w:t xml:space="preserve">orts industry which applies to Scotland, as estimated using the approach described above. </w:t>
      </w:r>
    </w:p>
    <w:p w14:paraId="66FA1B1A" w14:textId="77777777" w:rsidR="00B212E7" w:rsidRDefault="00B212E7" w:rsidP="00C262BC">
      <w:pPr>
        <w:pStyle w:val="ListBullet"/>
        <w:spacing w:after="120"/>
        <w:rPr>
          <w:rFonts w:ascii="Calibri" w:eastAsia="Microsoft JhengHei" w:hAnsi="Calibri"/>
          <w:szCs w:val="22"/>
        </w:rPr>
      </w:pPr>
    </w:p>
    <w:p w14:paraId="23EE9495" w14:textId="77777777" w:rsidR="00B212E7" w:rsidRDefault="00B212E7" w:rsidP="00C262BC">
      <w:pPr>
        <w:pStyle w:val="ListBullet"/>
        <w:spacing w:after="120"/>
        <w:rPr>
          <w:rFonts w:ascii="Calibri" w:eastAsia="Microsoft JhengHei" w:hAnsi="Calibri"/>
          <w:szCs w:val="22"/>
        </w:rPr>
      </w:pPr>
    </w:p>
    <w:p w14:paraId="12C6CD55" w14:textId="77777777" w:rsidR="00B212E7" w:rsidRDefault="00B212E7" w:rsidP="00C262BC">
      <w:pPr>
        <w:pStyle w:val="ListBullet"/>
        <w:spacing w:after="120"/>
        <w:rPr>
          <w:rFonts w:ascii="Calibri" w:eastAsia="Microsoft JhengHei" w:hAnsi="Calibri"/>
          <w:szCs w:val="22"/>
        </w:rPr>
      </w:pPr>
    </w:p>
    <w:p w14:paraId="2F8C5055" w14:textId="77777777" w:rsidR="00F3256B" w:rsidRDefault="00F3256B" w:rsidP="00C262BC">
      <w:pPr>
        <w:pStyle w:val="ListBullet"/>
        <w:spacing w:after="120"/>
        <w:rPr>
          <w:rFonts w:ascii="Calibri" w:eastAsia="Microsoft JhengHei" w:hAnsi="Calibri"/>
          <w:szCs w:val="22"/>
        </w:rPr>
      </w:pPr>
    </w:p>
    <w:p w14:paraId="34F2A8D1" w14:textId="77777777" w:rsidR="00F3256B" w:rsidRDefault="00F3256B" w:rsidP="00C262BC">
      <w:pPr>
        <w:pStyle w:val="ListBullet"/>
        <w:spacing w:after="120"/>
        <w:rPr>
          <w:rFonts w:ascii="Calibri" w:eastAsia="Microsoft JhengHei" w:hAnsi="Calibri"/>
          <w:szCs w:val="22"/>
        </w:rPr>
      </w:pPr>
    </w:p>
    <w:p w14:paraId="6FBFE801" w14:textId="77777777" w:rsidR="00B212E7" w:rsidRDefault="00B212E7" w:rsidP="00C262BC">
      <w:pPr>
        <w:pStyle w:val="ListBullet"/>
        <w:spacing w:after="120"/>
        <w:rPr>
          <w:rFonts w:ascii="Calibri" w:eastAsia="Microsoft JhengHei" w:hAnsi="Calibri"/>
          <w:szCs w:val="22"/>
        </w:rPr>
      </w:pPr>
    </w:p>
    <w:p w14:paraId="30345C0F" w14:textId="77777777" w:rsidR="00B212E7" w:rsidRDefault="00B212E7" w:rsidP="00C262BC">
      <w:pPr>
        <w:pStyle w:val="ListBullet"/>
        <w:spacing w:after="120"/>
        <w:rPr>
          <w:rFonts w:ascii="Calibri" w:eastAsia="Microsoft JhengHei" w:hAnsi="Calibri"/>
          <w:szCs w:val="22"/>
        </w:rPr>
      </w:pPr>
    </w:p>
    <w:p w14:paraId="63BC824A" w14:textId="77777777" w:rsidR="00B212E7" w:rsidRDefault="00B212E7" w:rsidP="00C262BC">
      <w:pPr>
        <w:pStyle w:val="ListBullet"/>
        <w:spacing w:after="120"/>
        <w:rPr>
          <w:rFonts w:ascii="Calibri" w:eastAsia="Microsoft JhengHei" w:hAnsi="Calibri"/>
          <w:szCs w:val="22"/>
        </w:rPr>
      </w:pPr>
    </w:p>
    <w:p w14:paraId="51DF3EBA" w14:textId="77777777" w:rsidR="00B212E7" w:rsidRDefault="00B212E7" w:rsidP="00C262BC">
      <w:pPr>
        <w:pStyle w:val="ListBullet"/>
        <w:spacing w:after="120"/>
        <w:rPr>
          <w:rFonts w:ascii="Calibri" w:eastAsia="Microsoft JhengHei" w:hAnsi="Calibri"/>
          <w:szCs w:val="22"/>
        </w:rPr>
      </w:pPr>
    </w:p>
    <w:p w14:paraId="7C764A58" w14:textId="77777777" w:rsidR="00B212E7" w:rsidRDefault="00B212E7" w:rsidP="00C262BC">
      <w:pPr>
        <w:pStyle w:val="ListBullet"/>
        <w:spacing w:after="120"/>
        <w:rPr>
          <w:rFonts w:ascii="Calibri" w:eastAsia="Microsoft JhengHei" w:hAnsi="Calibri"/>
          <w:szCs w:val="22"/>
        </w:rPr>
      </w:pPr>
    </w:p>
    <w:p w14:paraId="610F1DEF" w14:textId="77777777" w:rsidR="00B212E7" w:rsidRDefault="00B212E7" w:rsidP="00C262BC">
      <w:pPr>
        <w:pStyle w:val="ListBullet"/>
        <w:spacing w:after="120"/>
        <w:rPr>
          <w:rFonts w:ascii="Calibri" w:eastAsia="Microsoft JhengHei" w:hAnsi="Calibri"/>
          <w:szCs w:val="22"/>
        </w:rPr>
      </w:pPr>
    </w:p>
    <w:p w14:paraId="1BFC3F5B" w14:textId="77777777" w:rsidR="00B212E7" w:rsidRDefault="00B212E7" w:rsidP="00C262BC">
      <w:pPr>
        <w:pStyle w:val="ListBullet"/>
        <w:spacing w:after="120"/>
        <w:rPr>
          <w:rFonts w:ascii="Calibri" w:eastAsia="Microsoft JhengHei" w:hAnsi="Calibri"/>
          <w:szCs w:val="22"/>
        </w:rPr>
      </w:pPr>
    </w:p>
    <w:p w14:paraId="22721097" w14:textId="525580DF" w:rsidR="003F3392" w:rsidRDefault="00916D86" w:rsidP="00916D86">
      <w:pPr>
        <w:pStyle w:val="Caption"/>
      </w:pPr>
      <w:bookmarkStart w:id="56" w:name="_Ref16685176"/>
      <w:r>
        <w:lastRenderedPageBreak/>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6</w:t>
      </w:r>
      <w:r w:rsidR="00BF1DE1">
        <w:rPr>
          <w:noProof/>
        </w:rPr>
        <w:fldChar w:fldCharType="end"/>
      </w:r>
      <w:bookmarkEnd w:id="56"/>
      <w:r w:rsidR="003F3392">
        <w:t xml:space="preserve">: The breakdown of </w:t>
      </w:r>
      <w:r w:rsidR="00942FBC">
        <w:t xml:space="preserve">UK </w:t>
      </w:r>
      <w:r w:rsidR="00B212E7">
        <w:t>employment in p</w:t>
      </w:r>
      <w:r w:rsidR="003F3392">
        <w:t>orts as impli</w:t>
      </w:r>
      <w:r w:rsidR="00B212E7">
        <w:t>ed by BRES and ABS, 2010 to 2017</w:t>
      </w:r>
    </w:p>
    <w:tbl>
      <w:tblPr>
        <w:tblW w:w="5000" w:type="pct"/>
        <w:tblLook w:val="04A0" w:firstRow="1" w:lastRow="0" w:firstColumn="1" w:lastColumn="0" w:noHBand="0" w:noVBand="1"/>
      </w:tblPr>
      <w:tblGrid>
        <w:gridCol w:w="2493"/>
        <w:gridCol w:w="891"/>
        <w:gridCol w:w="892"/>
        <w:gridCol w:w="892"/>
        <w:gridCol w:w="892"/>
        <w:gridCol w:w="892"/>
        <w:gridCol w:w="892"/>
        <w:gridCol w:w="892"/>
        <w:gridCol w:w="892"/>
      </w:tblGrid>
      <w:tr w:rsidR="004575E7" w:rsidRPr="004575E7" w14:paraId="385124EC" w14:textId="77777777" w:rsidTr="00B212E7">
        <w:trPr>
          <w:trHeight w:val="315"/>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1D4C2974" w14:textId="77777777" w:rsidR="004575E7" w:rsidRPr="004575E7" w:rsidRDefault="004575E7" w:rsidP="004575E7">
            <w:pPr>
              <w:spacing w:after="0"/>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Ports Employment</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0DDF13F2"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2010</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420CE55C"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2011</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03C7C7FA"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2012</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224F7539"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2013</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5D50D669"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2014</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013E57A9"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2015</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4FB595E2"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2016</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0443CE61" w14:textId="77777777" w:rsidR="004575E7" w:rsidRPr="004575E7" w:rsidRDefault="004575E7" w:rsidP="004575E7">
            <w:pPr>
              <w:spacing w:after="0"/>
              <w:jc w:val="center"/>
              <w:rPr>
                <w:rFonts w:ascii="Calibri" w:eastAsia="Times New Roman" w:hAnsi="Calibri"/>
                <w:b/>
                <w:bCs/>
                <w:color w:val="FFFFFF"/>
                <w:sz w:val="20"/>
                <w:lang w:eastAsia="en-GB"/>
              </w:rPr>
            </w:pPr>
            <w:r w:rsidRPr="004575E7">
              <w:rPr>
                <w:rFonts w:ascii="Calibri" w:eastAsia="Times New Roman" w:hAnsi="Calibri"/>
                <w:b/>
                <w:bCs/>
                <w:color w:val="FFFFFF"/>
                <w:sz w:val="20"/>
                <w:lang w:eastAsia="en-GB"/>
              </w:rPr>
              <w:t>2017</w:t>
            </w:r>
          </w:p>
        </w:tc>
      </w:tr>
      <w:tr w:rsidR="004575E7" w:rsidRPr="004575E7" w14:paraId="7C539346"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1C0248BB"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England</w:t>
            </w:r>
          </w:p>
        </w:tc>
        <w:tc>
          <w:tcPr>
            <w:tcW w:w="463" w:type="pct"/>
            <w:tcBorders>
              <w:top w:val="nil"/>
              <w:left w:val="nil"/>
              <w:bottom w:val="single" w:sz="8" w:space="0" w:color="FFFFFF"/>
              <w:right w:val="single" w:sz="8" w:space="0" w:color="FFFFFF"/>
            </w:tcBorders>
            <w:shd w:val="clear" w:color="000000" w:fill="E7EEEF"/>
            <w:vAlign w:val="center"/>
            <w:hideMark/>
          </w:tcPr>
          <w:p w14:paraId="1EACDCFE"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83.8%</w:t>
            </w:r>
          </w:p>
        </w:tc>
        <w:tc>
          <w:tcPr>
            <w:tcW w:w="463" w:type="pct"/>
            <w:tcBorders>
              <w:top w:val="nil"/>
              <w:left w:val="nil"/>
              <w:bottom w:val="single" w:sz="8" w:space="0" w:color="FFFFFF"/>
              <w:right w:val="single" w:sz="8" w:space="0" w:color="FFFFFF"/>
            </w:tcBorders>
            <w:shd w:val="clear" w:color="000000" w:fill="E7EEEF"/>
            <w:vAlign w:val="center"/>
            <w:hideMark/>
          </w:tcPr>
          <w:p w14:paraId="68A6B27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82.2%</w:t>
            </w:r>
          </w:p>
        </w:tc>
        <w:tc>
          <w:tcPr>
            <w:tcW w:w="463" w:type="pct"/>
            <w:tcBorders>
              <w:top w:val="nil"/>
              <w:left w:val="nil"/>
              <w:bottom w:val="single" w:sz="8" w:space="0" w:color="FFFFFF"/>
              <w:right w:val="single" w:sz="8" w:space="0" w:color="FFFFFF"/>
            </w:tcBorders>
            <w:shd w:val="clear" w:color="000000" w:fill="E7EEEF"/>
            <w:vAlign w:val="center"/>
            <w:hideMark/>
          </w:tcPr>
          <w:p w14:paraId="5E18A5C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84.6%</w:t>
            </w:r>
          </w:p>
        </w:tc>
        <w:tc>
          <w:tcPr>
            <w:tcW w:w="463" w:type="pct"/>
            <w:tcBorders>
              <w:top w:val="nil"/>
              <w:left w:val="nil"/>
              <w:bottom w:val="single" w:sz="8" w:space="0" w:color="FFFFFF"/>
              <w:right w:val="single" w:sz="8" w:space="0" w:color="FFFFFF"/>
            </w:tcBorders>
            <w:shd w:val="clear" w:color="000000" w:fill="E7EEEF"/>
            <w:vAlign w:val="center"/>
            <w:hideMark/>
          </w:tcPr>
          <w:p w14:paraId="729C2EA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83.1%</w:t>
            </w:r>
          </w:p>
        </w:tc>
        <w:tc>
          <w:tcPr>
            <w:tcW w:w="463" w:type="pct"/>
            <w:tcBorders>
              <w:top w:val="nil"/>
              <w:left w:val="nil"/>
              <w:bottom w:val="single" w:sz="8" w:space="0" w:color="FFFFFF"/>
              <w:right w:val="single" w:sz="8" w:space="0" w:color="FFFFFF"/>
            </w:tcBorders>
            <w:shd w:val="clear" w:color="000000" w:fill="E7EEEF"/>
            <w:vAlign w:val="center"/>
            <w:hideMark/>
          </w:tcPr>
          <w:p w14:paraId="6CB7F1A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83.9%</w:t>
            </w:r>
          </w:p>
        </w:tc>
        <w:tc>
          <w:tcPr>
            <w:tcW w:w="463" w:type="pct"/>
            <w:tcBorders>
              <w:top w:val="nil"/>
              <w:left w:val="nil"/>
              <w:bottom w:val="single" w:sz="8" w:space="0" w:color="FFFFFF"/>
              <w:right w:val="single" w:sz="8" w:space="0" w:color="FFFFFF"/>
            </w:tcBorders>
            <w:shd w:val="clear" w:color="000000" w:fill="E7EEEF"/>
            <w:vAlign w:val="center"/>
            <w:hideMark/>
          </w:tcPr>
          <w:p w14:paraId="67BE53B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85.8%</w:t>
            </w:r>
          </w:p>
        </w:tc>
        <w:tc>
          <w:tcPr>
            <w:tcW w:w="463" w:type="pct"/>
            <w:tcBorders>
              <w:top w:val="nil"/>
              <w:left w:val="nil"/>
              <w:bottom w:val="single" w:sz="8" w:space="0" w:color="FFFFFF"/>
              <w:right w:val="single" w:sz="8" w:space="0" w:color="FFFFFF"/>
            </w:tcBorders>
            <w:shd w:val="clear" w:color="000000" w:fill="E7EEEF"/>
            <w:vAlign w:val="center"/>
            <w:hideMark/>
          </w:tcPr>
          <w:p w14:paraId="0B9F127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85.6%</w:t>
            </w:r>
          </w:p>
        </w:tc>
        <w:tc>
          <w:tcPr>
            <w:tcW w:w="463" w:type="pct"/>
            <w:tcBorders>
              <w:top w:val="nil"/>
              <w:left w:val="nil"/>
              <w:bottom w:val="single" w:sz="8" w:space="0" w:color="FFFFFF"/>
              <w:right w:val="single" w:sz="8" w:space="0" w:color="FFFFFF"/>
            </w:tcBorders>
            <w:shd w:val="clear" w:color="000000" w:fill="E7EEEF"/>
            <w:vAlign w:val="center"/>
            <w:hideMark/>
          </w:tcPr>
          <w:p w14:paraId="7094176D"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85.4%</w:t>
            </w:r>
          </w:p>
        </w:tc>
      </w:tr>
      <w:tr w:rsidR="004575E7" w:rsidRPr="004575E7" w14:paraId="37B31BC6"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2D45ED2D"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Scotland</w:t>
            </w:r>
          </w:p>
        </w:tc>
        <w:tc>
          <w:tcPr>
            <w:tcW w:w="463" w:type="pct"/>
            <w:tcBorders>
              <w:top w:val="nil"/>
              <w:left w:val="nil"/>
              <w:bottom w:val="single" w:sz="8" w:space="0" w:color="FFFFFF"/>
              <w:right w:val="single" w:sz="8" w:space="0" w:color="FFFFFF"/>
            </w:tcBorders>
            <w:shd w:val="clear" w:color="000000" w:fill="D0CECE"/>
            <w:vAlign w:val="center"/>
            <w:hideMark/>
          </w:tcPr>
          <w:p w14:paraId="6EA89DDA"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9.1%</w:t>
            </w:r>
          </w:p>
        </w:tc>
        <w:tc>
          <w:tcPr>
            <w:tcW w:w="463" w:type="pct"/>
            <w:tcBorders>
              <w:top w:val="nil"/>
              <w:left w:val="nil"/>
              <w:bottom w:val="single" w:sz="8" w:space="0" w:color="FFFFFF"/>
              <w:right w:val="single" w:sz="8" w:space="0" w:color="FFFFFF"/>
            </w:tcBorders>
            <w:shd w:val="clear" w:color="000000" w:fill="D0CECE"/>
            <w:vAlign w:val="center"/>
            <w:hideMark/>
          </w:tcPr>
          <w:p w14:paraId="55BCB179"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9.6%</w:t>
            </w:r>
          </w:p>
        </w:tc>
        <w:tc>
          <w:tcPr>
            <w:tcW w:w="463" w:type="pct"/>
            <w:tcBorders>
              <w:top w:val="nil"/>
              <w:left w:val="nil"/>
              <w:bottom w:val="single" w:sz="8" w:space="0" w:color="FFFFFF"/>
              <w:right w:val="single" w:sz="8" w:space="0" w:color="FFFFFF"/>
            </w:tcBorders>
            <w:shd w:val="clear" w:color="000000" w:fill="D0CECE"/>
            <w:vAlign w:val="center"/>
            <w:hideMark/>
          </w:tcPr>
          <w:p w14:paraId="42F163C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9.2%</w:t>
            </w:r>
          </w:p>
        </w:tc>
        <w:tc>
          <w:tcPr>
            <w:tcW w:w="463" w:type="pct"/>
            <w:tcBorders>
              <w:top w:val="nil"/>
              <w:left w:val="nil"/>
              <w:bottom w:val="single" w:sz="8" w:space="0" w:color="FFFFFF"/>
              <w:right w:val="single" w:sz="8" w:space="0" w:color="FFFFFF"/>
            </w:tcBorders>
            <w:shd w:val="clear" w:color="000000" w:fill="D0CECE"/>
            <w:vAlign w:val="center"/>
            <w:hideMark/>
          </w:tcPr>
          <w:p w14:paraId="418D5D39"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10.9%</w:t>
            </w:r>
          </w:p>
        </w:tc>
        <w:tc>
          <w:tcPr>
            <w:tcW w:w="463" w:type="pct"/>
            <w:tcBorders>
              <w:top w:val="nil"/>
              <w:left w:val="nil"/>
              <w:bottom w:val="single" w:sz="8" w:space="0" w:color="FFFFFF"/>
              <w:right w:val="single" w:sz="8" w:space="0" w:color="FFFFFF"/>
            </w:tcBorders>
            <w:shd w:val="clear" w:color="000000" w:fill="D0CECE"/>
            <w:vAlign w:val="center"/>
            <w:hideMark/>
          </w:tcPr>
          <w:p w14:paraId="673E39A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8.9%</w:t>
            </w:r>
          </w:p>
        </w:tc>
        <w:tc>
          <w:tcPr>
            <w:tcW w:w="463" w:type="pct"/>
            <w:tcBorders>
              <w:top w:val="nil"/>
              <w:left w:val="nil"/>
              <w:bottom w:val="single" w:sz="8" w:space="0" w:color="FFFFFF"/>
              <w:right w:val="single" w:sz="8" w:space="0" w:color="FFFFFF"/>
            </w:tcBorders>
            <w:shd w:val="clear" w:color="000000" w:fill="D0CECE"/>
            <w:vAlign w:val="center"/>
            <w:hideMark/>
          </w:tcPr>
          <w:p w14:paraId="5937D09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8.4%</w:t>
            </w:r>
          </w:p>
        </w:tc>
        <w:tc>
          <w:tcPr>
            <w:tcW w:w="463" w:type="pct"/>
            <w:tcBorders>
              <w:top w:val="nil"/>
              <w:left w:val="nil"/>
              <w:bottom w:val="single" w:sz="8" w:space="0" w:color="FFFFFF"/>
              <w:right w:val="single" w:sz="8" w:space="0" w:color="FFFFFF"/>
            </w:tcBorders>
            <w:shd w:val="clear" w:color="000000" w:fill="D0CECE"/>
            <w:vAlign w:val="center"/>
            <w:hideMark/>
          </w:tcPr>
          <w:p w14:paraId="4D49AE1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9.6%</w:t>
            </w:r>
          </w:p>
        </w:tc>
        <w:tc>
          <w:tcPr>
            <w:tcW w:w="463" w:type="pct"/>
            <w:tcBorders>
              <w:top w:val="nil"/>
              <w:left w:val="nil"/>
              <w:bottom w:val="single" w:sz="8" w:space="0" w:color="FFFFFF"/>
              <w:right w:val="single" w:sz="8" w:space="0" w:color="FFFFFF"/>
            </w:tcBorders>
            <w:shd w:val="clear" w:color="000000" w:fill="D0CECE"/>
            <w:vAlign w:val="center"/>
            <w:hideMark/>
          </w:tcPr>
          <w:p w14:paraId="1EA8402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10.1%</w:t>
            </w:r>
          </w:p>
        </w:tc>
      </w:tr>
      <w:tr w:rsidR="004575E7" w:rsidRPr="004575E7" w14:paraId="0EAECF11"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6D3D4674"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Wales</w:t>
            </w:r>
          </w:p>
        </w:tc>
        <w:tc>
          <w:tcPr>
            <w:tcW w:w="463" w:type="pct"/>
            <w:tcBorders>
              <w:top w:val="nil"/>
              <w:left w:val="nil"/>
              <w:bottom w:val="single" w:sz="8" w:space="0" w:color="FFFFFF"/>
              <w:right w:val="single" w:sz="8" w:space="0" w:color="FFFFFF"/>
            </w:tcBorders>
            <w:shd w:val="clear" w:color="000000" w:fill="E7EEEF"/>
            <w:vAlign w:val="center"/>
            <w:hideMark/>
          </w:tcPr>
          <w:p w14:paraId="62C4D3F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5.5%</w:t>
            </w:r>
          </w:p>
        </w:tc>
        <w:tc>
          <w:tcPr>
            <w:tcW w:w="463" w:type="pct"/>
            <w:tcBorders>
              <w:top w:val="nil"/>
              <w:left w:val="nil"/>
              <w:bottom w:val="single" w:sz="8" w:space="0" w:color="FFFFFF"/>
              <w:right w:val="single" w:sz="8" w:space="0" w:color="FFFFFF"/>
            </w:tcBorders>
            <w:shd w:val="clear" w:color="000000" w:fill="E7EEEF"/>
            <w:vAlign w:val="center"/>
            <w:hideMark/>
          </w:tcPr>
          <w:p w14:paraId="34038B8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6.5%</w:t>
            </w:r>
          </w:p>
        </w:tc>
        <w:tc>
          <w:tcPr>
            <w:tcW w:w="463" w:type="pct"/>
            <w:tcBorders>
              <w:top w:val="nil"/>
              <w:left w:val="nil"/>
              <w:bottom w:val="single" w:sz="8" w:space="0" w:color="FFFFFF"/>
              <w:right w:val="single" w:sz="8" w:space="0" w:color="FFFFFF"/>
            </w:tcBorders>
            <w:shd w:val="clear" w:color="000000" w:fill="E7EEEF"/>
            <w:vAlign w:val="center"/>
            <w:hideMark/>
          </w:tcPr>
          <w:p w14:paraId="070BD49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4.7%</w:t>
            </w:r>
          </w:p>
        </w:tc>
        <w:tc>
          <w:tcPr>
            <w:tcW w:w="463" w:type="pct"/>
            <w:tcBorders>
              <w:top w:val="nil"/>
              <w:left w:val="nil"/>
              <w:bottom w:val="single" w:sz="8" w:space="0" w:color="FFFFFF"/>
              <w:right w:val="single" w:sz="8" w:space="0" w:color="FFFFFF"/>
            </w:tcBorders>
            <w:shd w:val="clear" w:color="000000" w:fill="E7EEEF"/>
            <w:vAlign w:val="center"/>
            <w:hideMark/>
          </w:tcPr>
          <w:p w14:paraId="6BE780F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4.5%</w:t>
            </w:r>
          </w:p>
        </w:tc>
        <w:tc>
          <w:tcPr>
            <w:tcW w:w="463" w:type="pct"/>
            <w:tcBorders>
              <w:top w:val="nil"/>
              <w:left w:val="nil"/>
              <w:bottom w:val="single" w:sz="8" w:space="0" w:color="FFFFFF"/>
              <w:right w:val="single" w:sz="8" w:space="0" w:color="FFFFFF"/>
            </w:tcBorders>
            <w:shd w:val="clear" w:color="000000" w:fill="E7EEEF"/>
            <w:vAlign w:val="center"/>
            <w:hideMark/>
          </w:tcPr>
          <w:p w14:paraId="2B4A807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5.7%</w:t>
            </w:r>
          </w:p>
        </w:tc>
        <w:tc>
          <w:tcPr>
            <w:tcW w:w="463" w:type="pct"/>
            <w:tcBorders>
              <w:top w:val="nil"/>
              <w:left w:val="nil"/>
              <w:bottom w:val="single" w:sz="8" w:space="0" w:color="FFFFFF"/>
              <w:right w:val="single" w:sz="8" w:space="0" w:color="FFFFFF"/>
            </w:tcBorders>
            <w:shd w:val="clear" w:color="000000" w:fill="E7EEEF"/>
            <w:vAlign w:val="center"/>
            <w:hideMark/>
          </w:tcPr>
          <w:p w14:paraId="642ED95A"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4.5%</w:t>
            </w:r>
          </w:p>
        </w:tc>
        <w:tc>
          <w:tcPr>
            <w:tcW w:w="463" w:type="pct"/>
            <w:tcBorders>
              <w:top w:val="nil"/>
              <w:left w:val="nil"/>
              <w:bottom w:val="single" w:sz="8" w:space="0" w:color="FFFFFF"/>
              <w:right w:val="single" w:sz="8" w:space="0" w:color="FFFFFF"/>
            </w:tcBorders>
            <w:shd w:val="clear" w:color="000000" w:fill="E7EEEF"/>
            <w:vAlign w:val="center"/>
            <w:hideMark/>
          </w:tcPr>
          <w:p w14:paraId="74552B2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3.2%</w:t>
            </w:r>
          </w:p>
        </w:tc>
        <w:tc>
          <w:tcPr>
            <w:tcW w:w="463" w:type="pct"/>
            <w:tcBorders>
              <w:top w:val="nil"/>
              <w:left w:val="nil"/>
              <w:bottom w:val="single" w:sz="8" w:space="0" w:color="FFFFFF"/>
              <w:right w:val="single" w:sz="8" w:space="0" w:color="FFFFFF"/>
            </w:tcBorders>
            <w:shd w:val="clear" w:color="000000" w:fill="E7EEEF"/>
            <w:vAlign w:val="center"/>
            <w:hideMark/>
          </w:tcPr>
          <w:p w14:paraId="0265991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3.0%</w:t>
            </w:r>
          </w:p>
        </w:tc>
      </w:tr>
      <w:tr w:rsidR="004575E7" w:rsidRPr="004575E7" w14:paraId="7EAD8ECA"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634A6C22"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Northern Ireland</w:t>
            </w:r>
          </w:p>
        </w:tc>
        <w:tc>
          <w:tcPr>
            <w:tcW w:w="463" w:type="pct"/>
            <w:tcBorders>
              <w:top w:val="nil"/>
              <w:left w:val="nil"/>
              <w:bottom w:val="single" w:sz="8" w:space="0" w:color="FFFFFF"/>
              <w:right w:val="single" w:sz="8" w:space="0" w:color="FFFFFF"/>
            </w:tcBorders>
            <w:shd w:val="clear" w:color="000000" w:fill="D0CECE"/>
            <w:vAlign w:val="center"/>
            <w:hideMark/>
          </w:tcPr>
          <w:p w14:paraId="3923449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1.6%</w:t>
            </w:r>
          </w:p>
        </w:tc>
        <w:tc>
          <w:tcPr>
            <w:tcW w:w="463" w:type="pct"/>
            <w:tcBorders>
              <w:top w:val="nil"/>
              <w:left w:val="nil"/>
              <w:bottom w:val="single" w:sz="8" w:space="0" w:color="FFFFFF"/>
              <w:right w:val="single" w:sz="8" w:space="0" w:color="FFFFFF"/>
            </w:tcBorders>
            <w:shd w:val="clear" w:color="000000" w:fill="D0CECE"/>
            <w:vAlign w:val="center"/>
            <w:hideMark/>
          </w:tcPr>
          <w:p w14:paraId="190B58C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1.6%</w:t>
            </w:r>
          </w:p>
        </w:tc>
        <w:tc>
          <w:tcPr>
            <w:tcW w:w="463" w:type="pct"/>
            <w:tcBorders>
              <w:top w:val="nil"/>
              <w:left w:val="nil"/>
              <w:bottom w:val="single" w:sz="8" w:space="0" w:color="FFFFFF"/>
              <w:right w:val="single" w:sz="8" w:space="0" w:color="FFFFFF"/>
            </w:tcBorders>
            <w:shd w:val="clear" w:color="000000" w:fill="D0CECE"/>
            <w:vAlign w:val="center"/>
            <w:hideMark/>
          </w:tcPr>
          <w:p w14:paraId="635AABA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1.5%</w:t>
            </w:r>
          </w:p>
        </w:tc>
        <w:tc>
          <w:tcPr>
            <w:tcW w:w="463" w:type="pct"/>
            <w:tcBorders>
              <w:top w:val="nil"/>
              <w:left w:val="nil"/>
              <w:bottom w:val="single" w:sz="8" w:space="0" w:color="FFFFFF"/>
              <w:right w:val="single" w:sz="8" w:space="0" w:color="FFFFFF"/>
            </w:tcBorders>
            <w:shd w:val="clear" w:color="000000" w:fill="D0CECE"/>
            <w:vAlign w:val="center"/>
            <w:hideMark/>
          </w:tcPr>
          <w:p w14:paraId="2878173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1.5%</w:t>
            </w:r>
          </w:p>
        </w:tc>
        <w:tc>
          <w:tcPr>
            <w:tcW w:w="463" w:type="pct"/>
            <w:tcBorders>
              <w:top w:val="nil"/>
              <w:left w:val="nil"/>
              <w:bottom w:val="single" w:sz="8" w:space="0" w:color="FFFFFF"/>
              <w:right w:val="single" w:sz="8" w:space="0" w:color="FFFFFF"/>
            </w:tcBorders>
            <w:shd w:val="clear" w:color="000000" w:fill="D0CECE"/>
            <w:vAlign w:val="center"/>
            <w:hideMark/>
          </w:tcPr>
          <w:p w14:paraId="221E4709"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1.5%</w:t>
            </w:r>
          </w:p>
        </w:tc>
        <w:tc>
          <w:tcPr>
            <w:tcW w:w="463" w:type="pct"/>
            <w:tcBorders>
              <w:top w:val="nil"/>
              <w:left w:val="nil"/>
              <w:bottom w:val="single" w:sz="8" w:space="0" w:color="FFFFFF"/>
              <w:right w:val="single" w:sz="8" w:space="0" w:color="FFFFFF"/>
            </w:tcBorders>
            <w:shd w:val="clear" w:color="000000" w:fill="D0CECE"/>
            <w:vAlign w:val="center"/>
            <w:hideMark/>
          </w:tcPr>
          <w:p w14:paraId="7E97D96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1.4%</w:t>
            </w:r>
          </w:p>
        </w:tc>
        <w:tc>
          <w:tcPr>
            <w:tcW w:w="463" w:type="pct"/>
            <w:tcBorders>
              <w:top w:val="nil"/>
              <w:left w:val="nil"/>
              <w:bottom w:val="single" w:sz="8" w:space="0" w:color="FFFFFF"/>
              <w:right w:val="single" w:sz="8" w:space="0" w:color="FFFFFF"/>
            </w:tcBorders>
            <w:shd w:val="clear" w:color="000000" w:fill="D0CECE"/>
            <w:vAlign w:val="center"/>
            <w:hideMark/>
          </w:tcPr>
          <w:p w14:paraId="227BC93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1.7%</w:t>
            </w:r>
          </w:p>
        </w:tc>
        <w:tc>
          <w:tcPr>
            <w:tcW w:w="463" w:type="pct"/>
            <w:tcBorders>
              <w:top w:val="nil"/>
              <w:left w:val="nil"/>
              <w:bottom w:val="single" w:sz="8" w:space="0" w:color="FFFFFF"/>
              <w:right w:val="single" w:sz="8" w:space="0" w:color="FFFFFF"/>
            </w:tcBorders>
            <w:shd w:val="clear" w:color="000000" w:fill="D0CECE"/>
            <w:vAlign w:val="center"/>
            <w:hideMark/>
          </w:tcPr>
          <w:p w14:paraId="01E30E7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1.4%</w:t>
            </w:r>
          </w:p>
        </w:tc>
      </w:tr>
      <w:tr w:rsidR="004575E7" w:rsidRPr="004575E7" w14:paraId="2C0C8B08"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634BCCC0"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East of England</w:t>
            </w:r>
          </w:p>
        </w:tc>
        <w:tc>
          <w:tcPr>
            <w:tcW w:w="463" w:type="pct"/>
            <w:tcBorders>
              <w:top w:val="nil"/>
              <w:left w:val="nil"/>
              <w:bottom w:val="single" w:sz="8" w:space="0" w:color="FFFFFF"/>
              <w:right w:val="single" w:sz="8" w:space="0" w:color="FFFFFF"/>
            </w:tcBorders>
            <w:shd w:val="clear" w:color="000000" w:fill="E7EEEF"/>
            <w:vAlign w:val="center"/>
            <w:hideMark/>
          </w:tcPr>
          <w:p w14:paraId="6DFACBC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16.6%</w:t>
            </w:r>
          </w:p>
        </w:tc>
        <w:tc>
          <w:tcPr>
            <w:tcW w:w="463" w:type="pct"/>
            <w:tcBorders>
              <w:top w:val="nil"/>
              <w:left w:val="nil"/>
              <w:bottom w:val="single" w:sz="8" w:space="0" w:color="FFFFFF"/>
              <w:right w:val="single" w:sz="8" w:space="0" w:color="FFFFFF"/>
            </w:tcBorders>
            <w:shd w:val="clear" w:color="000000" w:fill="E7EEEF"/>
            <w:vAlign w:val="center"/>
            <w:hideMark/>
          </w:tcPr>
          <w:p w14:paraId="4968459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15.2%</w:t>
            </w:r>
          </w:p>
        </w:tc>
        <w:tc>
          <w:tcPr>
            <w:tcW w:w="463" w:type="pct"/>
            <w:tcBorders>
              <w:top w:val="nil"/>
              <w:left w:val="nil"/>
              <w:bottom w:val="single" w:sz="8" w:space="0" w:color="FFFFFF"/>
              <w:right w:val="single" w:sz="8" w:space="0" w:color="FFFFFF"/>
            </w:tcBorders>
            <w:shd w:val="clear" w:color="000000" w:fill="E7EEEF"/>
            <w:vAlign w:val="center"/>
            <w:hideMark/>
          </w:tcPr>
          <w:p w14:paraId="4042A9F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16.7%</w:t>
            </w:r>
          </w:p>
        </w:tc>
        <w:tc>
          <w:tcPr>
            <w:tcW w:w="463" w:type="pct"/>
            <w:tcBorders>
              <w:top w:val="nil"/>
              <w:left w:val="nil"/>
              <w:bottom w:val="single" w:sz="8" w:space="0" w:color="FFFFFF"/>
              <w:right w:val="single" w:sz="8" w:space="0" w:color="FFFFFF"/>
            </w:tcBorders>
            <w:shd w:val="clear" w:color="000000" w:fill="E7EEEF"/>
            <w:vAlign w:val="center"/>
            <w:hideMark/>
          </w:tcPr>
          <w:p w14:paraId="587F491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14.7%</w:t>
            </w:r>
          </w:p>
        </w:tc>
        <w:tc>
          <w:tcPr>
            <w:tcW w:w="463" w:type="pct"/>
            <w:tcBorders>
              <w:top w:val="nil"/>
              <w:left w:val="nil"/>
              <w:bottom w:val="single" w:sz="8" w:space="0" w:color="FFFFFF"/>
              <w:right w:val="single" w:sz="8" w:space="0" w:color="FFFFFF"/>
            </w:tcBorders>
            <w:shd w:val="clear" w:color="000000" w:fill="E7EEEF"/>
            <w:vAlign w:val="center"/>
            <w:hideMark/>
          </w:tcPr>
          <w:p w14:paraId="2623C17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15.0%</w:t>
            </w:r>
          </w:p>
        </w:tc>
        <w:tc>
          <w:tcPr>
            <w:tcW w:w="463" w:type="pct"/>
            <w:tcBorders>
              <w:top w:val="nil"/>
              <w:left w:val="nil"/>
              <w:bottom w:val="single" w:sz="8" w:space="0" w:color="FFFFFF"/>
              <w:right w:val="single" w:sz="8" w:space="0" w:color="FFFFFF"/>
            </w:tcBorders>
            <w:shd w:val="clear" w:color="000000" w:fill="E7EEEF"/>
            <w:vAlign w:val="center"/>
            <w:hideMark/>
          </w:tcPr>
          <w:p w14:paraId="44C197F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13.5%</w:t>
            </w:r>
          </w:p>
        </w:tc>
        <w:tc>
          <w:tcPr>
            <w:tcW w:w="463" w:type="pct"/>
            <w:tcBorders>
              <w:top w:val="nil"/>
              <w:left w:val="nil"/>
              <w:bottom w:val="single" w:sz="8" w:space="0" w:color="FFFFFF"/>
              <w:right w:val="single" w:sz="8" w:space="0" w:color="FFFFFF"/>
            </w:tcBorders>
            <w:shd w:val="clear" w:color="000000" w:fill="E7EEEF"/>
            <w:vAlign w:val="center"/>
            <w:hideMark/>
          </w:tcPr>
          <w:p w14:paraId="51F0DA1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14.9%</w:t>
            </w:r>
          </w:p>
        </w:tc>
        <w:tc>
          <w:tcPr>
            <w:tcW w:w="463" w:type="pct"/>
            <w:tcBorders>
              <w:top w:val="nil"/>
              <w:left w:val="nil"/>
              <w:bottom w:val="single" w:sz="8" w:space="0" w:color="FFFFFF"/>
              <w:right w:val="single" w:sz="8" w:space="0" w:color="FFFFFF"/>
            </w:tcBorders>
            <w:shd w:val="clear" w:color="000000" w:fill="E7EEEF"/>
            <w:vAlign w:val="center"/>
            <w:hideMark/>
          </w:tcPr>
          <w:p w14:paraId="1FEB96F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16.0%</w:t>
            </w:r>
          </w:p>
        </w:tc>
      </w:tr>
      <w:tr w:rsidR="004575E7" w:rsidRPr="004575E7" w14:paraId="6DEE0EE2"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783E75F0"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East Midlands</w:t>
            </w:r>
          </w:p>
        </w:tc>
        <w:tc>
          <w:tcPr>
            <w:tcW w:w="463" w:type="pct"/>
            <w:tcBorders>
              <w:top w:val="nil"/>
              <w:left w:val="nil"/>
              <w:bottom w:val="single" w:sz="8" w:space="0" w:color="FFFFFF"/>
              <w:right w:val="single" w:sz="8" w:space="0" w:color="FFFFFF"/>
            </w:tcBorders>
            <w:shd w:val="clear" w:color="000000" w:fill="D0CECE"/>
            <w:vAlign w:val="center"/>
            <w:hideMark/>
          </w:tcPr>
          <w:p w14:paraId="0F3F75B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D0CECE"/>
            <w:vAlign w:val="center"/>
            <w:hideMark/>
          </w:tcPr>
          <w:p w14:paraId="1092EAB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1.2%</w:t>
            </w:r>
          </w:p>
        </w:tc>
        <w:tc>
          <w:tcPr>
            <w:tcW w:w="463" w:type="pct"/>
            <w:tcBorders>
              <w:top w:val="nil"/>
              <w:left w:val="nil"/>
              <w:bottom w:val="single" w:sz="8" w:space="0" w:color="FFFFFF"/>
              <w:right w:val="single" w:sz="8" w:space="0" w:color="FFFFFF"/>
            </w:tcBorders>
            <w:shd w:val="clear" w:color="000000" w:fill="D0CECE"/>
            <w:vAlign w:val="center"/>
            <w:hideMark/>
          </w:tcPr>
          <w:p w14:paraId="6F43E33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1.1%</w:t>
            </w:r>
          </w:p>
        </w:tc>
        <w:tc>
          <w:tcPr>
            <w:tcW w:w="463" w:type="pct"/>
            <w:tcBorders>
              <w:top w:val="nil"/>
              <w:left w:val="nil"/>
              <w:bottom w:val="single" w:sz="8" w:space="0" w:color="FFFFFF"/>
              <w:right w:val="single" w:sz="8" w:space="0" w:color="FFFFFF"/>
            </w:tcBorders>
            <w:shd w:val="clear" w:color="000000" w:fill="D0CECE"/>
            <w:vAlign w:val="center"/>
            <w:hideMark/>
          </w:tcPr>
          <w:p w14:paraId="1A6FD82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1.3%</w:t>
            </w:r>
          </w:p>
        </w:tc>
        <w:tc>
          <w:tcPr>
            <w:tcW w:w="463" w:type="pct"/>
            <w:tcBorders>
              <w:top w:val="nil"/>
              <w:left w:val="nil"/>
              <w:bottom w:val="single" w:sz="8" w:space="0" w:color="FFFFFF"/>
              <w:right w:val="single" w:sz="8" w:space="0" w:color="FFFFFF"/>
            </w:tcBorders>
            <w:shd w:val="clear" w:color="000000" w:fill="D0CECE"/>
            <w:vAlign w:val="center"/>
            <w:hideMark/>
          </w:tcPr>
          <w:p w14:paraId="4FC3DB5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D0CECE"/>
            <w:vAlign w:val="center"/>
            <w:hideMark/>
          </w:tcPr>
          <w:p w14:paraId="27C2283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1.1%</w:t>
            </w:r>
          </w:p>
        </w:tc>
        <w:tc>
          <w:tcPr>
            <w:tcW w:w="463" w:type="pct"/>
            <w:tcBorders>
              <w:top w:val="nil"/>
              <w:left w:val="nil"/>
              <w:bottom w:val="single" w:sz="8" w:space="0" w:color="FFFFFF"/>
              <w:right w:val="single" w:sz="8" w:space="0" w:color="FFFFFF"/>
            </w:tcBorders>
            <w:shd w:val="clear" w:color="000000" w:fill="D0CECE"/>
            <w:vAlign w:val="center"/>
            <w:hideMark/>
          </w:tcPr>
          <w:p w14:paraId="5E8CB13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1.0%</w:t>
            </w:r>
          </w:p>
        </w:tc>
        <w:tc>
          <w:tcPr>
            <w:tcW w:w="463" w:type="pct"/>
            <w:tcBorders>
              <w:top w:val="nil"/>
              <w:left w:val="nil"/>
              <w:bottom w:val="single" w:sz="8" w:space="0" w:color="FFFFFF"/>
              <w:right w:val="single" w:sz="8" w:space="0" w:color="FFFFFF"/>
            </w:tcBorders>
            <w:shd w:val="clear" w:color="000000" w:fill="D0CECE"/>
            <w:vAlign w:val="center"/>
            <w:hideMark/>
          </w:tcPr>
          <w:p w14:paraId="5678A8B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1.4%</w:t>
            </w:r>
          </w:p>
        </w:tc>
      </w:tr>
      <w:tr w:rsidR="004575E7" w:rsidRPr="004575E7" w14:paraId="52A82A6F"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60BDE517"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London</w:t>
            </w:r>
          </w:p>
        </w:tc>
        <w:tc>
          <w:tcPr>
            <w:tcW w:w="463" w:type="pct"/>
            <w:tcBorders>
              <w:top w:val="nil"/>
              <w:left w:val="nil"/>
              <w:bottom w:val="single" w:sz="8" w:space="0" w:color="FFFFFF"/>
              <w:right w:val="single" w:sz="8" w:space="0" w:color="FFFFFF"/>
            </w:tcBorders>
            <w:shd w:val="clear" w:color="000000" w:fill="E7EEEF"/>
            <w:vAlign w:val="center"/>
            <w:hideMark/>
          </w:tcPr>
          <w:p w14:paraId="700AA04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5.2%</w:t>
            </w:r>
          </w:p>
        </w:tc>
        <w:tc>
          <w:tcPr>
            <w:tcW w:w="463" w:type="pct"/>
            <w:tcBorders>
              <w:top w:val="nil"/>
              <w:left w:val="nil"/>
              <w:bottom w:val="single" w:sz="8" w:space="0" w:color="FFFFFF"/>
              <w:right w:val="single" w:sz="8" w:space="0" w:color="FFFFFF"/>
            </w:tcBorders>
            <w:shd w:val="clear" w:color="000000" w:fill="E7EEEF"/>
            <w:vAlign w:val="center"/>
            <w:hideMark/>
          </w:tcPr>
          <w:p w14:paraId="62B2FC4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6.7%</w:t>
            </w:r>
          </w:p>
        </w:tc>
        <w:tc>
          <w:tcPr>
            <w:tcW w:w="463" w:type="pct"/>
            <w:tcBorders>
              <w:top w:val="nil"/>
              <w:left w:val="nil"/>
              <w:bottom w:val="single" w:sz="8" w:space="0" w:color="FFFFFF"/>
              <w:right w:val="single" w:sz="8" w:space="0" w:color="FFFFFF"/>
            </w:tcBorders>
            <w:shd w:val="clear" w:color="000000" w:fill="E7EEEF"/>
            <w:vAlign w:val="center"/>
            <w:hideMark/>
          </w:tcPr>
          <w:p w14:paraId="0786581E"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9.4%</w:t>
            </w:r>
          </w:p>
        </w:tc>
        <w:tc>
          <w:tcPr>
            <w:tcW w:w="463" w:type="pct"/>
            <w:tcBorders>
              <w:top w:val="nil"/>
              <w:left w:val="nil"/>
              <w:bottom w:val="single" w:sz="8" w:space="0" w:color="FFFFFF"/>
              <w:right w:val="single" w:sz="8" w:space="0" w:color="FFFFFF"/>
            </w:tcBorders>
            <w:shd w:val="clear" w:color="000000" w:fill="E7EEEF"/>
            <w:vAlign w:val="center"/>
            <w:hideMark/>
          </w:tcPr>
          <w:p w14:paraId="47EF1C3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5.8%</w:t>
            </w:r>
          </w:p>
        </w:tc>
        <w:tc>
          <w:tcPr>
            <w:tcW w:w="463" w:type="pct"/>
            <w:tcBorders>
              <w:top w:val="nil"/>
              <w:left w:val="nil"/>
              <w:bottom w:val="single" w:sz="8" w:space="0" w:color="FFFFFF"/>
              <w:right w:val="single" w:sz="8" w:space="0" w:color="FFFFFF"/>
            </w:tcBorders>
            <w:shd w:val="clear" w:color="000000" w:fill="E7EEEF"/>
            <w:vAlign w:val="center"/>
            <w:hideMark/>
          </w:tcPr>
          <w:p w14:paraId="3B1A2EFD"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7.3%</w:t>
            </w:r>
          </w:p>
        </w:tc>
        <w:tc>
          <w:tcPr>
            <w:tcW w:w="463" w:type="pct"/>
            <w:tcBorders>
              <w:top w:val="nil"/>
              <w:left w:val="nil"/>
              <w:bottom w:val="single" w:sz="8" w:space="0" w:color="FFFFFF"/>
              <w:right w:val="single" w:sz="8" w:space="0" w:color="FFFFFF"/>
            </w:tcBorders>
            <w:shd w:val="clear" w:color="000000" w:fill="E7EEEF"/>
            <w:vAlign w:val="center"/>
            <w:hideMark/>
          </w:tcPr>
          <w:p w14:paraId="768984E9"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6.6%</w:t>
            </w:r>
          </w:p>
        </w:tc>
        <w:tc>
          <w:tcPr>
            <w:tcW w:w="463" w:type="pct"/>
            <w:tcBorders>
              <w:top w:val="nil"/>
              <w:left w:val="nil"/>
              <w:bottom w:val="single" w:sz="8" w:space="0" w:color="FFFFFF"/>
              <w:right w:val="single" w:sz="8" w:space="0" w:color="FFFFFF"/>
            </w:tcBorders>
            <w:shd w:val="clear" w:color="000000" w:fill="E7EEEF"/>
            <w:vAlign w:val="center"/>
            <w:hideMark/>
          </w:tcPr>
          <w:p w14:paraId="14BCD92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5.8%</w:t>
            </w:r>
          </w:p>
        </w:tc>
        <w:tc>
          <w:tcPr>
            <w:tcW w:w="463" w:type="pct"/>
            <w:tcBorders>
              <w:top w:val="nil"/>
              <w:left w:val="nil"/>
              <w:bottom w:val="single" w:sz="8" w:space="0" w:color="FFFFFF"/>
              <w:right w:val="single" w:sz="8" w:space="0" w:color="FFFFFF"/>
            </w:tcBorders>
            <w:shd w:val="clear" w:color="000000" w:fill="E7EEEF"/>
            <w:vAlign w:val="center"/>
            <w:hideMark/>
          </w:tcPr>
          <w:p w14:paraId="2BE38669"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4.7%</w:t>
            </w:r>
          </w:p>
        </w:tc>
      </w:tr>
      <w:tr w:rsidR="004575E7" w:rsidRPr="004575E7" w14:paraId="466F91D8"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1870B852"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North East</w:t>
            </w:r>
          </w:p>
        </w:tc>
        <w:tc>
          <w:tcPr>
            <w:tcW w:w="463" w:type="pct"/>
            <w:tcBorders>
              <w:top w:val="nil"/>
              <w:left w:val="nil"/>
              <w:bottom w:val="single" w:sz="8" w:space="0" w:color="FFFFFF"/>
              <w:right w:val="single" w:sz="8" w:space="0" w:color="FFFFFF"/>
            </w:tcBorders>
            <w:shd w:val="clear" w:color="000000" w:fill="D0CECE"/>
            <w:vAlign w:val="center"/>
            <w:hideMark/>
          </w:tcPr>
          <w:p w14:paraId="375BED0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10.8%</w:t>
            </w:r>
          </w:p>
        </w:tc>
        <w:tc>
          <w:tcPr>
            <w:tcW w:w="463" w:type="pct"/>
            <w:tcBorders>
              <w:top w:val="nil"/>
              <w:left w:val="nil"/>
              <w:bottom w:val="single" w:sz="8" w:space="0" w:color="FFFFFF"/>
              <w:right w:val="single" w:sz="8" w:space="0" w:color="FFFFFF"/>
            </w:tcBorders>
            <w:shd w:val="clear" w:color="000000" w:fill="D0CECE"/>
            <w:vAlign w:val="center"/>
            <w:hideMark/>
          </w:tcPr>
          <w:p w14:paraId="5CA09A6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10.2%</w:t>
            </w:r>
          </w:p>
        </w:tc>
        <w:tc>
          <w:tcPr>
            <w:tcW w:w="463" w:type="pct"/>
            <w:tcBorders>
              <w:top w:val="nil"/>
              <w:left w:val="nil"/>
              <w:bottom w:val="single" w:sz="8" w:space="0" w:color="FFFFFF"/>
              <w:right w:val="single" w:sz="8" w:space="0" w:color="FFFFFF"/>
            </w:tcBorders>
            <w:shd w:val="clear" w:color="000000" w:fill="D0CECE"/>
            <w:vAlign w:val="center"/>
            <w:hideMark/>
          </w:tcPr>
          <w:p w14:paraId="184F529B"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11.9%</w:t>
            </w:r>
          </w:p>
        </w:tc>
        <w:tc>
          <w:tcPr>
            <w:tcW w:w="463" w:type="pct"/>
            <w:tcBorders>
              <w:top w:val="nil"/>
              <w:left w:val="nil"/>
              <w:bottom w:val="single" w:sz="8" w:space="0" w:color="FFFFFF"/>
              <w:right w:val="single" w:sz="8" w:space="0" w:color="FFFFFF"/>
            </w:tcBorders>
            <w:shd w:val="clear" w:color="000000" w:fill="D0CECE"/>
            <w:vAlign w:val="center"/>
            <w:hideMark/>
          </w:tcPr>
          <w:p w14:paraId="3620D63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17.0%</w:t>
            </w:r>
          </w:p>
        </w:tc>
        <w:tc>
          <w:tcPr>
            <w:tcW w:w="463" w:type="pct"/>
            <w:tcBorders>
              <w:top w:val="nil"/>
              <w:left w:val="nil"/>
              <w:bottom w:val="single" w:sz="8" w:space="0" w:color="FFFFFF"/>
              <w:right w:val="single" w:sz="8" w:space="0" w:color="FFFFFF"/>
            </w:tcBorders>
            <w:shd w:val="clear" w:color="000000" w:fill="D0CECE"/>
            <w:vAlign w:val="center"/>
            <w:hideMark/>
          </w:tcPr>
          <w:p w14:paraId="24C6773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17.4%</w:t>
            </w:r>
          </w:p>
        </w:tc>
        <w:tc>
          <w:tcPr>
            <w:tcW w:w="463" w:type="pct"/>
            <w:tcBorders>
              <w:top w:val="nil"/>
              <w:left w:val="nil"/>
              <w:bottom w:val="single" w:sz="8" w:space="0" w:color="FFFFFF"/>
              <w:right w:val="single" w:sz="8" w:space="0" w:color="FFFFFF"/>
            </w:tcBorders>
            <w:shd w:val="clear" w:color="000000" w:fill="D0CECE"/>
            <w:vAlign w:val="center"/>
            <w:hideMark/>
          </w:tcPr>
          <w:p w14:paraId="6CD72E4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12.5%</w:t>
            </w:r>
          </w:p>
        </w:tc>
        <w:tc>
          <w:tcPr>
            <w:tcW w:w="463" w:type="pct"/>
            <w:tcBorders>
              <w:top w:val="nil"/>
              <w:left w:val="nil"/>
              <w:bottom w:val="single" w:sz="8" w:space="0" w:color="FFFFFF"/>
              <w:right w:val="single" w:sz="8" w:space="0" w:color="FFFFFF"/>
            </w:tcBorders>
            <w:shd w:val="clear" w:color="000000" w:fill="D0CECE"/>
            <w:vAlign w:val="center"/>
            <w:hideMark/>
          </w:tcPr>
          <w:p w14:paraId="16180CDA"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10.7%</w:t>
            </w:r>
          </w:p>
        </w:tc>
        <w:tc>
          <w:tcPr>
            <w:tcW w:w="463" w:type="pct"/>
            <w:tcBorders>
              <w:top w:val="nil"/>
              <w:left w:val="nil"/>
              <w:bottom w:val="single" w:sz="8" w:space="0" w:color="FFFFFF"/>
              <w:right w:val="single" w:sz="8" w:space="0" w:color="FFFFFF"/>
            </w:tcBorders>
            <w:shd w:val="clear" w:color="000000" w:fill="D0CECE"/>
            <w:vAlign w:val="center"/>
            <w:hideMark/>
          </w:tcPr>
          <w:p w14:paraId="33B1C8C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7.1%</w:t>
            </w:r>
          </w:p>
        </w:tc>
      </w:tr>
      <w:tr w:rsidR="004575E7" w:rsidRPr="004575E7" w14:paraId="12EBE813"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413ADD5E"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North West</w:t>
            </w:r>
          </w:p>
        </w:tc>
        <w:tc>
          <w:tcPr>
            <w:tcW w:w="463" w:type="pct"/>
            <w:tcBorders>
              <w:top w:val="nil"/>
              <w:left w:val="nil"/>
              <w:bottom w:val="single" w:sz="8" w:space="0" w:color="FFFFFF"/>
              <w:right w:val="single" w:sz="8" w:space="0" w:color="FFFFFF"/>
            </w:tcBorders>
            <w:shd w:val="clear" w:color="000000" w:fill="E7EEEF"/>
            <w:vAlign w:val="center"/>
            <w:hideMark/>
          </w:tcPr>
          <w:p w14:paraId="0A4B271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5.2%</w:t>
            </w:r>
          </w:p>
        </w:tc>
        <w:tc>
          <w:tcPr>
            <w:tcW w:w="463" w:type="pct"/>
            <w:tcBorders>
              <w:top w:val="nil"/>
              <w:left w:val="nil"/>
              <w:bottom w:val="single" w:sz="8" w:space="0" w:color="FFFFFF"/>
              <w:right w:val="single" w:sz="8" w:space="0" w:color="FFFFFF"/>
            </w:tcBorders>
            <w:shd w:val="clear" w:color="000000" w:fill="E7EEEF"/>
            <w:vAlign w:val="center"/>
            <w:hideMark/>
          </w:tcPr>
          <w:p w14:paraId="0027127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5.5%</w:t>
            </w:r>
          </w:p>
        </w:tc>
        <w:tc>
          <w:tcPr>
            <w:tcW w:w="463" w:type="pct"/>
            <w:tcBorders>
              <w:top w:val="nil"/>
              <w:left w:val="nil"/>
              <w:bottom w:val="single" w:sz="8" w:space="0" w:color="FFFFFF"/>
              <w:right w:val="single" w:sz="8" w:space="0" w:color="FFFFFF"/>
            </w:tcBorders>
            <w:shd w:val="clear" w:color="000000" w:fill="E7EEEF"/>
            <w:vAlign w:val="center"/>
            <w:hideMark/>
          </w:tcPr>
          <w:p w14:paraId="75FD38A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6.9%</w:t>
            </w:r>
          </w:p>
        </w:tc>
        <w:tc>
          <w:tcPr>
            <w:tcW w:w="463" w:type="pct"/>
            <w:tcBorders>
              <w:top w:val="nil"/>
              <w:left w:val="nil"/>
              <w:bottom w:val="single" w:sz="8" w:space="0" w:color="FFFFFF"/>
              <w:right w:val="single" w:sz="8" w:space="0" w:color="FFFFFF"/>
            </w:tcBorders>
            <w:shd w:val="clear" w:color="000000" w:fill="E7EEEF"/>
            <w:vAlign w:val="center"/>
            <w:hideMark/>
          </w:tcPr>
          <w:p w14:paraId="0E73201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8.4%</w:t>
            </w:r>
          </w:p>
        </w:tc>
        <w:tc>
          <w:tcPr>
            <w:tcW w:w="463" w:type="pct"/>
            <w:tcBorders>
              <w:top w:val="nil"/>
              <w:left w:val="nil"/>
              <w:bottom w:val="single" w:sz="8" w:space="0" w:color="FFFFFF"/>
              <w:right w:val="single" w:sz="8" w:space="0" w:color="FFFFFF"/>
            </w:tcBorders>
            <w:shd w:val="clear" w:color="000000" w:fill="E7EEEF"/>
            <w:vAlign w:val="center"/>
            <w:hideMark/>
          </w:tcPr>
          <w:p w14:paraId="71A29D8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6.7%</w:t>
            </w:r>
          </w:p>
        </w:tc>
        <w:tc>
          <w:tcPr>
            <w:tcW w:w="463" w:type="pct"/>
            <w:tcBorders>
              <w:top w:val="nil"/>
              <w:left w:val="nil"/>
              <w:bottom w:val="single" w:sz="8" w:space="0" w:color="FFFFFF"/>
              <w:right w:val="single" w:sz="8" w:space="0" w:color="FFFFFF"/>
            </w:tcBorders>
            <w:shd w:val="clear" w:color="000000" w:fill="E7EEEF"/>
            <w:vAlign w:val="center"/>
            <w:hideMark/>
          </w:tcPr>
          <w:p w14:paraId="0681D3A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7.4%</w:t>
            </w:r>
          </w:p>
        </w:tc>
        <w:tc>
          <w:tcPr>
            <w:tcW w:w="463" w:type="pct"/>
            <w:tcBorders>
              <w:top w:val="nil"/>
              <w:left w:val="nil"/>
              <w:bottom w:val="single" w:sz="8" w:space="0" w:color="FFFFFF"/>
              <w:right w:val="single" w:sz="8" w:space="0" w:color="FFFFFF"/>
            </w:tcBorders>
            <w:shd w:val="clear" w:color="000000" w:fill="E7EEEF"/>
            <w:vAlign w:val="center"/>
            <w:hideMark/>
          </w:tcPr>
          <w:p w14:paraId="3DA098F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9.0%</w:t>
            </w:r>
          </w:p>
        </w:tc>
        <w:tc>
          <w:tcPr>
            <w:tcW w:w="463" w:type="pct"/>
            <w:tcBorders>
              <w:top w:val="nil"/>
              <w:left w:val="nil"/>
              <w:bottom w:val="single" w:sz="8" w:space="0" w:color="FFFFFF"/>
              <w:right w:val="single" w:sz="8" w:space="0" w:color="FFFFFF"/>
            </w:tcBorders>
            <w:shd w:val="clear" w:color="000000" w:fill="E7EEEF"/>
            <w:vAlign w:val="center"/>
            <w:hideMark/>
          </w:tcPr>
          <w:p w14:paraId="5517F3AC"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5.2%</w:t>
            </w:r>
          </w:p>
        </w:tc>
      </w:tr>
      <w:tr w:rsidR="004575E7" w:rsidRPr="004575E7" w14:paraId="0D521BDE"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7F32EB87"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South East</w:t>
            </w:r>
          </w:p>
        </w:tc>
        <w:tc>
          <w:tcPr>
            <w:tcW w:w="463" w:type="pct"/>
            <w:tcBorders>
              <w:top w:val="nil"/>
              <w:left w:val="nil"/>
              <w:bottom w:val="single" w:sz="8" w:space="0" w:color="FFFFFF"/>
              <w:right w:val="single" w:sz="8" w:space="0" w:color="FFFFFF"/>
            </w:tcBorders>
            <w:shd w:val="clear" w:color="000000" w:fill="D0CECE"/>
            <w:vAlign w:val="center"/>
            <w:hideMark/>
          </w:tcPr>
          <w:p w14:paraId="5F8296F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15.0%</w:t>
            </w:r>
          </w:p>
        </w:tc>
        <w:tc>
          <w:tcPr>
            <w:tcW w:w="463" w:type="pct"/>
            <w:tcBorders>
              <w:top w:val="nil"/>
              <w:left w:val="nil"/>
              <w:bottom w:val="single" w:sz="8" w:space="0" w:color="FFFFFF"/>
              <w:right w:val="single" w:sz="8" w:space="0" w:color="FFFFFF"/>
            </w:tcBorders>
            <w:shd w:val="clear" w:color="000000" w:fill="D0CECE"/>
            <w:vAlign w:val="center"/>
            <w:hideMark/>
          </w:tcPr>
          <w:p w14:paraId="2FE5BA53"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14.4%</w:t>
            </w:r>
          </w:p>
        </w:tc>
        <w:tc>
          <w:tcPr>
            <w:tcW w:w="463" w:type="pct"/>
            <w:tcBorders>
              <w:top w:val="nil"/>
              <w:left w:val="nil"/>
              <w:bottom w:val="single" w:sz="8" w:space="0" w:color="FFFFFF"/>
              <w:right w:val="single" w:sz="8" w:space="0" w:color="FFFFFF"/>
            </w:tcBorders>
            <w:shd w:val="clear" w:color="000000" w:fill="D0CECE"/>
            <w:vAlign w:val="center"/>
            <w:hideMark/>
          </w:tcPr>
          <w:p w14:paraId="1B29D80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15.6%</w:t>
            </w:r>
          </w:p>
        </w:tc>
        <w:tc>
          <w:tcPr>
            <w:tcW w:w="463" w:type="pct"/>
            <w:tcBorders>
              <w:top w:val="nil"/>
              <w:left w:val="nil"/>
              <w:bottom w:val="single" w:sz="8" w:space="0" w:color="FFFFFF"/>
              <w:right w:val="single" w:sz="8" w:space="0" w:color="FFFFFF"/>
            </w:tcBorders>
            <w:shd w:val="clear" w:color="000000" w:fill="D0CECE"/>
            <w:vAlign w:val="center"/>
            <w:hideMark/>
          </w:tcPr>
          <w:p w14:paraId="2F5117CD"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12.7%</w:t>
            </w:r>
          </w:p>
        </w:tc>
        <w:tc>
          <w:tcPr>
            <w:tcW w:w="463" w:type="pct"/>
            <w:tcBorders>
              <w:top w:val="nil"/>
              <w:left w:val="nil"/>
              <w:bottom w:val="single" w:sz="8" w:space="0" w:color="FFFFFF"/>
              <w:right w:val="single" w:sz="8" w:space="0" w:color="FFFFFF"/>
            </w:tcBorders>
            <w:shd w:val="clear" w:color="000000" w:fill="D0CECE"/>
            <w:vAlign w:val="center"/>
            <w:hideMark/>
          </w:tcPr>
          <w:p w14:paraId="550AE119"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17.4%</w:t>
            </w:r>
          </w:p>
        </w:tc>
        <w:tc>
          <w:tcPr>
            <w:tcW w:w="463" w:type="pct"/>
            <w:tcBorders>
              <w:top w:val="nil"/>
              <w:left w:val="nil"/>
              <w:bottom w:val="single" w:sz="8" w:space="0" w:color="FFFFFF"/>
              <w:right w:val="single" w:sz="8" w:space="0" w:color="FFFFFF"/>
            </w:tcBorders>
            <w:shd w:val="clear" w:color="000000" w:fill="D0CECE"/>
            <w:vAlign w:val="center"/>
            <w:hideMark/>
          </w:tcPr>
          <w:p w14:paraId="1D6A5CD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20.8%</w:t>
            </w:r>
          </w:p>
        </w:tc>
        <w:tc>
          <w:tcPr>
            <w:tcW w:w="463" w:type="pct"/>
            <w:tcBorders>
              <w:top w:val="nil"/>
              <w:left w:val="nil"/>
              <w:bottom w:val="single" w:sz="8" w:space="0" w:color="FFFFFF"/>
              <w:right w:val="single" w:sz="8" w:space="0" w:color="FFFFFF"/>
            </w:tcBorders>
            <w:shd w:val="clear" w:color="000000" w:fill="D0CECE"/>
            <w:vAlign w:val="center"/>
            <w:hideMark/>
          </w:tcPr>
          <w:p w14:paraId="14778483"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20.5%</w:t>
            </w:r>
          </w:p>
        </w:tc>
        <w:tc>
          <w:tcPr>
            <w:tcW w:w="463" w:type="pct"/>
            <w:tcBorders>
              <w:top w:val="nil"/>
              <w:left w:val="nil"/>
              <w:bottom w:val="single" w:sz="8" w:space="0" w:color="FFFFFF"/>
              <w:right w:val="single" w:sz="8" w:space="0" w:color="FFFFFF"/>
            </w:tcBorders>
            <w:shd w:val="clear" w:color="000000" w:fill="D0CECE"/>
            <w:vAlign w:val="center"/>
            <w:hideMark/>
          </w:tcPr>
          <w:p w14:paraId="48234D1D"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25.7%</w:t>
            </w:r>
          </w:p>
        </w:tc>
      </w:tr>
      <w:tr w:rsidR="004575E7" w:rsidRPr="004575E7" w14:paraId="00FE3CF2"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2203CE52"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South West</w:t>
            </w:r>
          </w:p>
        </w:tc>
        <w:tc>
          <w:tcPr>
            <w:tcW w:w="463" w:type="pct"/>
            <w:tcBorders>
              <w:top w:val="nil"/>
              <w:left w:val="nil"/>
              <w:bottom w:val="single" w:sz="8" w:space="0" w:color="FFFFFF"/>
              <w:right w:val="single" w:sz="8" w:space="0" w:color="FFFFFF"/>
            </w:tcBorders>
            <w:shd w:val="clear" w:color="000000" w:fill="E7EEEF"/>
            <w:vAlign w:val="center"/>
            <w:hideMark/>
          </w:tcPr>
          <w:p w14:paraId="070EDBE3"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4.9%</w:t>
            </w:r>
          </w:p>
        </w:tc>
        <w:tc>
          <w:tcPr>
            <w:tcW w:w="463" w:type="pct"/>
            <w:tcBorders>
              <w:top w:val="nil"/>
              <w:left w:val="nil"/>
              <w:bottom w:val="single" w:sz="8" w:space="0" w:color="FFFFFF"/>
              <w:right w:val="single" w:sz="8" w:space="0" w:color="FFFFFF"/>
            </w:tcBorders>
            <w:shd w:val="clear" w:color="000000" w:fill="E7EEEF"/>
            <w:vAlign w:val="center"/>
            <w:hideMark/>
          </w:tcPr>
          <w:p w14:paraId="60163A8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4.2%</w:t>
            </w:r>
          </w:p>
        </w:tc>
        <w:tc>
          <w:tcPr>
            <w:tcW w:w="463" w:type="pct"/>
            <w:tcBorders>
              <w:top w:val="nil"/>
              <w:left w:val="nil"/>
              <w:bottom w:val="single" w:sz="8" w:space="0" w:color="FFFFFF"/>
              <w:right w:val="single" w:sz="8" w:space="0" w:color="FFFFFF"/>
            </w:tcBorders>
            <w:shd w:val="clear" w:color="000000" w:fill="E7EEEF"/>
            <w:vAlign w:val="center"/>
            <w:hideMark/>
          </w:tcPr>
          <w:p w14:paraId="4FCF32B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6.3%</w:t>
            </w:r>
          </w:p>
        </w:tc>
        <w:tc>
          <w:tcPr>
            <w:tcW w:w="463" w:type="pct"/>
            <w:tcBorders>
              <w:top w:val="nil"/>
              <w:left w:val="nil"/>
              <w:bottom w:val="single" w:sz="8" w:space="0" w:color="FFFFFF"/>
              <w:right w:val="single" w:sz="8" w:space="0" w:color="FFFFFF"/>
            </w:tcBorders>
            <w:shd w:val="clear" w:color="000000" w:fill="E7EEEF"/>
            <w:vAlign w:val="center"/>
            <w:hideMark/>
          </w:tcPr>
          <w:p w14:paraId="5AD8833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7.4%</w:t>
            </w:r>
          </w:p>
        </w:tc>
        <w:tc>
          <w:tcPr>
            <w:tcW w:w="463" w:type="pct"/>
            <w:tcBorders>
              <w:top w:val="nil"/>
              <w:left w:val="nil"/>
              <w:bottom w:val="single" w:sz="8" w:space="0" w:color="FFFFFF"/>
              <w:right w:val="single" w:sz="8" w:space="0" w:color="FFFFFF"/>
            </w:tcBorders>
            <w:shd w:val="clear" w:color="000000" w:fill="E7EEEF"/>
            <w:vAlign w:val="center"/>
            <w:hideMark/>
          </w:tcPr>
          <w:p w14:paraId="3F2FE4A6"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6.0%</w:t>
            </w:r>
          </w:p>
        </w:tc>
        <w:tc>
          <w:tcPr>
            <w:tcW w:w="463" w:type="pct"/>
            <w:tcBorders>
              <w:top w:val="nil"/>
              <w:left w:val="nil"/>
              <w:bottom w:val="single" w:sz="8" w:space="0" w:color="FFFFFF"/>
              <w:right w:val="single" w:sz="8" w:space="0" w:color="FFFFFF"/>
            </w:tcBorders>
            <w:shd w:val="clear" w:color="000000" w:fill="E7EEEF"/>
            <w:vAlign w:val="center"/>
            <w:hideMark/>
          </w:tcPr>
          <w:p w14:paraId="2B638933"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6.6%</w:t>
            </w:r>
          </w:p>
        </w:tc>
        <w:tc>
          <w:tcPr>
            <w:tcW w:w="463" w:type="pct"/>
            <w:tcBorders>
              <w:top w:val="nil"/>
              <w:left w:val="nil"/>
              <w:bottom w:val="single" w:sz="8" w:space="0" w:color="FFFFFF"/>
              <w:right w:val="single" w:sz="8" w:space="0" w:color="FFFFFF"/>
            </w:tcBorders>
            <w:shd w:val="clear" w:color="000000" w:fill="E7EEEF"/>
            <w:vAlign w:val="center"/>
            <w:hideMark/>
          </w:tcPr>
          <w:p w14:paraId="24933BA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4.8%</w:t>
            </w:r>
          </w:p>
        </w:tc>
        <w:tc>
          <w:tcPr>
            <w:tcW w:w="463" w:type="pct"/>
            <w:tcBorders>
              <w:top w:val="nil"/>
              <w:left w:val="nil"/>
              <w:bottom w:val="single" w:sz="8" w:space="0" w:color="FFFFFF"/>
              <w:right w:val="single" w:sz="8" w:space="0" w:color="FFFFFF"/>
            </w:tcBorders>
            <w:shd w:val="clear" w:color="000000" w:fill="E7EEEF"/>
            <w:vAlign w:val="center"/>
            <w:hideMark/>
          </w:tcPr>
          <w:p w14:paraId="3F642C2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4.2%</w:t>
            </w:r>
          </w:p>
        </w:tc>
      </w:tr>
      <w:tr w:rsidR="004575E7" w:rsidRPr="004575E7" w14:paraId="2F9A8985"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3474B78D"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West Midlands</w:t>
            </w:r>
          </w:p>
        </w:tc>
        <w:tc>
          <w:tcPr>
            <w:tcW w:w="463" w:type="pct"/>
            <w:tcBorders>
              <w:top w:val="nil"/>
              <w:left w:val="nil"/>
              <w:bottom w:val="single" w:sz="8" w:space="0" w:color="FFFFFF"/>
              <w:right w:val="single" w:sz="8" w:space="0" w:color="FFFFFF"/>
            </w:tcBorders>
            <w:shd w:val="clear" w:color="000000" w:fill="D0CECE"/>
            <w:vAlign w:val="center"/>
            <w:hideMark/>
          </w:tcPr>
          <w:p w14:paraId="7CB2796E"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0.9%</w:t>
            </w:r>
          </w:p>
        </w:tc>
        <w:tc>
          <w:tcPr>
            <w:tcW w:w="463" w:type="pct"/>
            <w:tcBorders>
              <w:top w:val="nil"/>
              <w:left w:val="nil"/>
              <w:bottom w:val="single" w:sz="8" w:space="0" w:color="FFFFFF"/>
              <w:right w:val="single" w:sz="8" w:space="0" w:color="FFFFFF"/>
            </w:tcBorders>
            <w:shd w:val="clear" w:color="000000" w:fill="D0CECE"/>
            <w:vAlign w:val="center"/>
            <w:hideMark/>
          </w:tcPr>
          <w:p w14:paraId="65E97B2A"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D0CECE"/>
            <w:vAlign w:val="center"/>
            <w:hideMark/>
          </w:tcPr>
          <w:p w14:paraId="4926E8C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1.1%</w:t>
            </w:r>
          </w:p>
        </w:tc>
        <w:tc>
          <w:tcPr>
            <w:tcW w:w="463" w:type="pct"/>
            <w:tcBorders>
              <w:top w:val="nil"/>
              <w:left w:val="nil"/>
              <w:bottom w:val="single" w:sz="8" w:space="0" w:color="FFFFFF"/>
              <w:right w:val="single" w:sz="8" w:space="0" w:color="FFFFFF"/>
            </w:tcBorders>
            <w:shd w:val="clear" w:color="000000" w:fill="D0CECE"/>
            <w:vAlign w:val="center"/>
            <w:hideMark/>
          </w:tcPr>
          <w:p w14:paraId="74BCF10F"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1.2%</w:t>
            </w:r>
          </w:p>
        </w:tc>
        <w:tc>
          <w:tcPr>
            <w:tcW w:w="463" w:type="pct"/>
            <w:tcBorders>
              <w:top w:val="nil"/>
              <w:left w:val="nil"/>
              <w:bottom w:val="single" w:sz="8" w:space="0" w:color="FFFFFF"/>
              <w:right w:val="single" w:sz="8" w:space="0" w:color="FFFFFF"/>
            </w:tcBorders>
            <w:shd w:val="clear" w:color="000000" w:fill="D0CECE"/>
            <w:vAlign w:val="center"/>
            <w:hideMark/>
          </w:tcPr>
          <w:p w14:paraId="0F78B354"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1.6%</w:t>
            </w:r>
          </w:p>
        </w:tc>
        <w:tc>
          <w:tcPr>
            <w:tcW w:w="463" w:type="pct"/>
            <w:tcBorders>
              <w:top w:val="nil"/>
              <w:left w:val="nil"/>
              <w:bottom w:val="single" w:sz="8" w:space="0" w:color="FFFFFF"/>
              <w:right w:val="single" w:sz="8" w:space="0" w:color="FFFFFF"/>
            </w:tcBorders>
            <w:shd w:val="clear" w:color="000000" w:fill="D0CECE"/>
            <w:vAlign w:val="center"/>
            <w:hideMark/>
          </w:tcPr>
          <w:p w14:paraId="2484602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2.0%</w:t>
            </w:r>
          </w:p>
        </w:tc>
        <w:tc>
          <w:tcPr>
            <w:tcW w:w="463" w:type="pct"/>
            <w:tcBorders>
              <w:top w:val="nil"/>
              <w:left w:val="nil"/>
              <w:bottom w:val="single" w:sz="8" w:space="0" w:color="FFFFFF"/>
              <w:right w:val="single" w:sz="8" w:space="0" w:color="FFFFFF"/>
            </w:tcBorders>
            <w:shd w:val="clear" w:color="000000" w:fill="D0CECE"/>
            <w:vAlign w:val="center"/>
            <w:hideMark/>
          </w:tcPr>
          <w:p w14:paraId="056897D3"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2.2%</w:t>
            </w:r>
          </w:p>
        </w:tc>
        <w:tc>
          <w:tcPr>
            <w:tcW w:w="463" w:type="pct"/>
            <w:tcBorders>
              <w:top w:val="nil"/>
              <w:left w:val="nil"/>
              <w:bottom w:val="single" w:sz="8" w:space="0" w:color="FFFFFF"/>
              <w:right w:val="single" w:sz="8" w:space="0" w:color="FFFFFF"/>
            </w:tcBorders>
            <w:shd w:val="clear" w:color="000000" w:fill="D0CECE"/>
            <w:vAlign w:val="center"/>
            <w:hideMark/>
          </w:tcPr>
          <w:p w14:paraId="1895383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1.0%</w:t>
            </w:r>
          </w:p>
        </w:tc>
      </w:tr>
      <w:tr w:rsidR="004575E7" w:rsidRPr="004575E7" w14:paraId="563DFB5A" w14:textId="77777777" w:rsidTr="00B212E7">
        <w:trPr>
          <w:trHeight w:val="330"/>
        </w:trPr>
        <w:tc>
          <w:tcPr>
            <w:tcW w:w="1294" w:type="pct"/>
            <w:tcBorders>
              <w:top w:val="single" w:sz="8" w:space="0" w:color="FFFFFF"/>
              <w:left w:val="nil"/>
              <w:bottom w:val="single" w:sz="12" w:space="0" w:color="FFFFFF"/>
              <w:right w:val="single" w:sz="8" w:space="0" w:color="FFFFFF"/>
            </w:tcBorders>
            <w:shd w:val="clear" w:color="000000" w:fill="008C9B"/>
            <w:vAlign w:val="center"/>
            <w:hideMark/>
          </w:tcPr>
          <w:p w14:paraId="569A909A" w14:textId="77777777" w:rsidR="004575E7" w:rsidRPr="004575E7" w:rsidRDefault="004575E7" w:rsidP="004575E7">
            <w:pPr>
              <w:spacing w:after="0"/>
              <w:rPr>
                <w:rFonts w:ascii="Calibri" w:eastAsia="Times New Roman" w:hAnsi="Calibri"/>
                <w:color w:val="FFFFFF"/>
                <w:sz w:val="20"/>
                <w:lang w:eastAsia="en-GB"/>
              </w:rPr>
            </w:pPr>
            <w:r w:rsidRPr="004575E7">
              <w:rPr>
                <w:rFonts w:ascii="Calibri" w:eastAsia="Times New Roman" w:hAnsi="Calibri"/>
                <w:color w:val="FFFFFF"/>
                <w:sz w:val="20"/>
                <w:lang w:eastAsia="en-GB"/>
              </w:rPr>
              <w:t>Yorkshire and the Humber</w:t>
            </w:r>
          </w:p>
        </w:tc>
        <w:tc>
          <w:tcPr>
            <w:tcW w:w="463" w:type="pct"/>
            <w:tcBorders>
              <w:top w:val="nil"/>
              <w:left w:val="nil"/>
              <w:bottom w:val="single" w:sz="8" w:space="0" w:color="FFFFFF"/>
              <w:right w:val="single" w:sz="8" w:space="0" w:color="FFFFFF"/>
            </w:tcBorders>
            <w:shd w:val="clear" w:color="000000" w:fill="E7EEEF"/>
            <w:vAlign w:val="center"/>
            <w:hideMark/>
          </w:tcPr>
          <w:p w14:paraId="02AA4342"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24.7%</w:t>
            </w:r>
          </w:p>
        </w:tc>
        <w:tc>
          <w:tcPr>
            <w:tcW w:w="463" w:type="pct"/>
            <w:tcBorders>
              <w:top w:val="nil"/>
              <w:left w:val="nil"/>
              <w:bottom w:val="single" w:sz="8" w:space="0" w:color="FFFFFF"/>
              <w:right w:val="single" w:sz="8" w:space="0" w:color="FFFFFF"/>
            </w:tcBorders>
            <w:shd w:val="clear" w:color="000000" w:fill="E7EEEF"/>
            <w:vAlign w:val="center"/>
            <w:hideMark/>
          </w:tcPr>
          <w:p w14:paraId="58E2F040"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24.3%</w:t>
            </w:r>
          </w:p>
        </w:tc>
        <w:tc>
          <w:tcPr>
            <w:tcW w:w="463" w:type="pct"/>
            <w:tcBorders>
              <w:top w:val="nil"/>
              <w:left w:val="nil"/>
              <w:bottom w:val="single" w:sz="8" w:space="0" w:color="FFFFFF"/>
              <w:right w:val="single" w:sz="8" w:space="0" w:color="FFFFFF"/>
            </w:tcBorders>
            <w:shd w:val="clear" w:color="000000" w:fill="E7EEEF"/>
            <w:vAlign w:val="center"/>
            <w:hideMark/>
          </w:tcPr>
          <w:p w14:paraId="1527A6B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15.7%</w:t>
            </w:r>
          </w:p>
        </w:tc>
        <w:tc>
          <w:tcPr>
            <w:tcW w:w="463" w:type="pct"/>
            <w:tcBorders>
              <w:top w:val="nil"/>
              <w:left w:val="nil"/>
              <w:bottom w:val="single" w:sz="8" w:space="0" w:color="FFFFFF"/>
              <w:right w:val="single" w:sz="8" w:space="0" w:color="FFFFFF"/>
            </w:tcBorders>
            <w:shd w:val="clear" w:color="000000" w:fill="E7EEEF"/>
            <w:vAlign w:val="center"/>
            <w:hideMark/>
          </w:tcPr>
          <w:p w14:paraId="2D336E55"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14.6%</w:t>
            </w:r>
          </w:p>
        </w:tc>
        <w:tc>
          <w:tcPr>
            <w:tcW w:w="463" w:type="pct"/>
            <w:tcBorders>
              <w:top w:val="nil"/>
              <w:left w:val="nil"/>
              <w:bottom w:val="single" w:sz="8" w:space="0" w:color="FFFFFF"/>
              <w:right w:val="single" w:sz="8" w:space="0" w:color="FFFFFF"/>
            </w:tcBorders>
            <w:shd w:val="clear" w:color="000000" w:fill="E7EEEF"/>
            <w:vAlign w:val="center"/>
            <w:hideMark/>
          </w:tcPr>
          <w:p w14:paraId="291C8108"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12.2%</w:t>
            </w:r>
          </w:p>
        </w:tc>
        <w:tc>
          <w:tcPr>
            <w:tcW w:w="463" w:type="pct"/>
            <w:tcBorders>
              <w:top w:val="nil"/>
              <w:left w:val="nil"/>
              <w:bottom w:val="single" w:sz="8" w:space="0" w:color="FFFFFF"/>
              <w:right w:val="single" w:sz="8" w:space="0" w:color="FFFFFF"/>
            </w:tcBorders>
            <w:shd w:val="clear" w:color="000000" w:fill="E7EEEF"/>
            <w:vAlign w:val="center"/>
            <w:hideMark/>
          </w:tcPr>
          <w:p w14:paraId="458ED4B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15.2%</w:t>
            </w:r>
          </w:p>
        </w:tc>
        <w:tc>
          <w:tcPr>
            <w:tcW w:w="463" w:type="pct"/>
            <w:tcBorders>
              <w:top w:val="nil"/>
              <w:left w:val="nil"/>
              <w:bottom w:val="single" w:sz="8" w:space="0" w:color="FFFFFF"/>
              <w:right w:val="single" w:sz="8" w:space="0" w:color="FFFFFF"/>
            </w:tcBorders>
            <w:shd w:val="clear" w:color="000000" w:fill="E7EEEF"/>
            <w:vAlign w:val="center"/>
            <w:hideMark/>
          </w:tcPr>
          <w:p w14:paraId="13825A67"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16.5%</w:t>
            </w:r>
          </w:p>
        </w:tc>
        <w:tc>
          <w:tcPr>
            <w:tcW w:w="463" w:type="pct"/>
            <w:tcBorders>
              <w:top w:val="nil"/>
              <w:left w:val="nil"/>
              <w:bottom w:val="single" w:sz="8" w:space="0" w:color="FFFFFF"/>
              <w:right w:val="single" w:sz="8" w:space="0" w:color="FFFFFF"/>
            </w:tcBorders>
            <w:shd w:val="clear" w:color="000000" w:fill="E7EEEF"/>
            <w:vAlign w:val="center"/>
            <w:hideMark/>
          </w:tcPr>
          <w:p w14:paraId="0AD2DB91" w14:textId="77777777" w:rsidR="004575E7" w:rsidRPr="004575E7" w:rsidRDefault="004575E7" w:rsidP="004575E7">
            <w:pPr>
              <w:spacing w:after="0"/>
              <w:jc w:val="center"/>
              <w:rPr>
                <w:rFonts w:ascii="Calibri" w:eastAsia="Times New Roman" w:hAnsi="Calibri"/>
                <w:color w:val="000000"/>
                <w:sz w:val="20"/>
                <w:lang w:eastAsia="en-GB"/>
              </w:rPr>
            </w:pPr>
            <w:r w:rsidRPr="004575E7">
              <w:rPr>
                <w:rFonts w:ascii="Calibri" w:eastAsia="Times New Roman" w:hAnsi="Calibri"/>
                <w:color w:val="000000"/>
                <w:sz w:val="20"/>
                <w:lang w:eastAsia="en-GB"/>
              </w:rPr>
              <w:t>20.1%</w:t>
            </w:r>
          </w:p>
        </w:tc>
      </w:tr>
    </w:tbl>
    <w:p w14:paraId="75C70BDA" w14:textId="35B97774" w:rsidR="003F3392" w:rsidRDefault="003F3392" w:rsidP="005476D9">
      <w:pPr>
        <w:keepNext/>
        <w:keepLines/>
        <w:spacing w:before="60" w:after="120"/>
        <w:ind w:left="6480" w:firstLine="720"/>
        <w:jc w:val="right"/>
        <w:rPr>
          <w:i/>
          <w:color w:val="000000" w:themeColor="text1"/>
          <w:sz w:val="18"/>
        </w:rPr>
      </w:pPr>
      <w:r w:rsidRPr="00BB097C">
        <w:rPr>
          <w:i/>
          <w:color w:val="000000" w:themeColor="text1"/>
          <w:sz w:val="18"/>
        </w:rPr>
        <w:t>Source:</w:t>
      </w:r>
      <w:r>
        <w:rPr>
          <w:i/>
          <w:color w:val="000000" w:themeColor="text1"/>
          <w:sz w:val="18"/>
        </w:rPr>
        <w:t xml:space="preserve"> ONS</w:t>
      </w:r>
      <w:r w:rsidRPr="00BB097C">
        <w:rPr>
          <w:i/>
          <w:color w:val="000000" w:themeColor="text1"/>
          <w:sz w:val="18"/>
        </w:rPr>
        <w:t>, Cebr analysis</w:t>
      </w:r>
    </w:p>
    <w:p w14:paraId="7EBABF4B" w14:textId="21682BD1" w:rsidR="004E6593" w:rsidRDefault="00EA251D" w:rsidP="00EB4749">
      <w:pPr>
        <w:pStyle w:val="ListBullet"/>
        <w:spacing w:after="120"/>
        <w:rPr>
          <w:rFonts w:ascii="Calibri" w:eastAsia="Microsoft JhengHei" w:hAnsi="Calibri"/>
          <w:b/>
          <w:szCs w:val="22"/>
        </w:rPr>
      </w:pPr>
      <w:r>
        <w:rPr>
          <w:rFonts w:ascii="Calibri" w:eastAsia="Microsoft JhengHei" w:hAnsi="Calibri"/>
          <w:szCs w:val="22"/>
        </w:rPr>
        <w:t>The Scottish proportion has then been applied</w:t>
      </w:r>
      <w:r w:rsidR="00B212E7">
        <w:rPr>
          <w:rFonts w:ascii="Calibri" w:eastAsia="Microsoft JhengHei" w:hAnsi="Calibri"/>
          <w:szCs w:val="22"/>
        </w:rPr>
        <w:t xml:space="preserve"> to the UK-level estimates for p</w:t>
      </w:r>
      <w:r>
        <w:rPr>
          <w:rFonts w:ascii="Calibri" w:eastAsia="Microsoft JhengHei" w:hAnsi="Calibri"/>
          <w:szCs w:val="22"/>
        </w:rPr>
        <w:t>orts employment, with the other key macroeconomic indicators (GVA, Business Turnover and Compensation of Employees) estimated using the implied ratios to employment at UK-level.</w:t>
      </w:r>
    </w:p>
    <w:p w14:paraId="2CC10ACD" w14:textId="186AE049" w:rsidR="00EB4749" w:rsidRDefault="00F3256B" w:rsidP="005476D9">
      <w:pPr>
        <w:pStyle w:val="Heading3"/>
      </w:pPr>
      <w:r>
        <w:t>Leisure marine and m</w:t>
      </w:r>
      <w:r w:rsidR="00B212E7">
        <w:t xml:space="preserve">arine engineering and scientific industries </w:t>
      </w:r>
    </w:p>
    <w:p w14:paraId="6A230EE9" w14:textId="4ABB7185" w:rsidR="006343FC" w:rsidRDefault="006343FC" w:rsidP="00EB4749">
      <w:pPr>
        <w:pStyle w:val="ListBullet"/>
        <w:spacing w:after="120"/>
        <w:rPr>
          <w:rFonts w:ascii="Calibri" w:eastAsia="Microsoft JhengHei" w:hAnsi="Calibri"/>
          <w:szCs w:val="22"/>
        </w:rPr>
      </w:pPr>
      <w:r>
        <w:rPr>
          <w:rFonts w:ascii="Calibri" w:eastAsia="Microsoft JhengHei" w:hAnsi="Calibri"/>
          <w:szCs w:val="22"/>
        </w:rPr>
        <w:t>A key source informing the regional disaggregation of the economic activity of the</w:t>
      </w:r>
      <w:r w:rsidR="00B212E7">
        <w:rPr>
          <w:rFonts w:ascii="Calibri" w:eastAsia="Microsoft JhengHei" w:hAnsi="Calibri"/>
          <w:szCs w:val="22"/>
        </w:rPr>
        <w:t xml:space="preserve"> leisure marine and marine engineering and scientific industries</w:t>
      </w:r>
      <w:r>
        <w:rPr>
          <w:rFonts w:ascii="Calibri" w:eastAsia="Microsoft JhengHei" w:hAnsi="Calibri"/>
          <w:szCs w:val="22"/>
        </w:rPr>
        <w:t xml:space="preserve"> is the British Ma</w:t>
      </w:r>
      <w:r w:rsidR="00DA1944">
        <w:rPr>
          <w:rFonts w:ascii="Calibri" w:eastAsia="Microsoft JhengHei" w:hAnsi="Calibri"/>
          <w:szCs w:val="22"/>
        </w:rPr>
        <w:t xml:space="preserve">rine Key Performance Indicators, providing the share of leisure marine industry revenue, employment, exports and business numbers across each UK region </w:t>
      </w:r>
      <w:r w:rsidR="00B212E7">
        <w:rPr>
          <w:rFonts w:ascii="Calibri" w:eastAsia="Microsoft JhengHei" w:hAnsi="Calibri"/>
          <w:szCs w:val="22"/>
        </w:rPr>
        <w:t>between 2010 and 2017</w:t>
      </w:r>
      <w:r w:rsidR="009F6310">
        <w:rPr>
          <w:rFonts w:ascii="Calibri" w:eastAsia="Microsoft JhengHei" w:hAnsi="Calibri"/>
          <w:szCs w:val="22"/>
        </w:rPr>
        <w:t>.</w:t>
      </w:r>
      <w:r w:rsidR="007D6758">
        <w:rPr>
          <w:rFonts w:ascii="Calibri" w:eastAsia="Microsoft JhengHei" w:hAnsi="Calibri"/>
          <w:szCs w:val="22"/>
        </w:rPr>
        <w:t xml:space="preserve"> GVA for the leisure marine industry in each region has then been estimated using GVA-to-employment ratios.</w:t>
      </w:r>
    </w:p>
    <w:p w14:paraId="63E2C5FE" w14:textId="71C9BA8D" w:rsidR="00A353C8" w:rsidRDefault="00A67C2D" w:rsidP="00EB4749">
      <w:pPr>
        <w:pStyle w:val="ListBullet"/>
        <w:spacing w:after="120"/>
        <w:rPr>
          <w:rFonts w:ascii="Calibri" w:eastAsia="Microsoft JhengHei" w:hAnsi="Calibri"/>
          <w:szCs w:val="22"/>
        </w:rPr>
      </w:pPr>
      <w:r>
        <w:rPr>
          <w:rFonts w:ascii="Calibri" w:eastAsia="Microsoft JhengHei" w:hAnsi="Calibri"/>
          <w:szCs w:val="22"/>
        </w:rPr>
        <w:t>Follow</w:t>
      </w:r>
      <w:r w:rsidR="00B212E7">
        <w:rPr>
          <w:rFonts w:ascii="Calibri" w:eastAsia="Microsoft JhengHei" w:hAnsi="Calibri"/>
          <w:szCs w:val="22"/>
        </w:rPr>
        <w:t>ing the approach taken for the shipping and p</w:t>
      </w:r>
      <w:r>
        <w:rPr>
          <w:rFonts w:ascii="Calibri" w:eastAsia="Microsoft JhengHei" w:hAnsi="Calibri"/>
          <w:szCs w:val="22"/>
        </w:rPr>
        <w:t>orts industries (see above)</w:t>
      </w:r>
      <w:r w:rsidR="00805D90">
        <w:rPr>
          <w:rFonts w:ascii="Calibri" w:eastAsia="Microsoft JhengHei" w:hAnsi="Calibri"/>
          <w:szCs w:val="22"/>
        </w:rPr>
        <w:t xml:space="preserve">, a combination of data sourced from BRES and the Annual Business Survey have been used to estimate the proportion of employment in Shipbuilding </w:t>
      </w:r>
      <w:r w:rsidR="00187C18">
        <w:rPr>
          <w:rFonts w:ascii="Calibri" w:eastAsia="Microsoft JhengHei" w:hAnsi="Calibri"/>
          <w:szCs w:val="22"/>
        </w:rPr>
        <w:t xml:space="preserve">and Marine Offshore Oil and Gas support </w:t>
      </w:r>
      <w:r w:rsidR="00FE71AE">
        <w:rPr>
          <w:rFonts w:ascii="Calibri" w:eastAsia="Microsoft JhengHei" w:hAnsi="Calibri"/>
          <w:szCs w:val="22"/>
        </w:rPr>
        <w:t>activities across</w:t>
      </w:r>
      <w:r w:rsidR="00805D90">
        <w:rPr>
          <w:rFonts w:ascii="Calibri" w:eastAsia="Microsoft JhengHei" w:hAnsi="Calibri"/>
          <w:szCs w:val="22"/>
        </w:rPr>
        <w:t xml:space="preserve"> each UK region.</w:t>
      </w:r>
      <w:r w:rsidR="00FE71AE">
        <w:rPr>
          <w:rFonts w:ascii="Calibri" w:eastAsia="Microsoft JhengHei" w:hAnsi="Calibri"/>
          <w:szCs w:val="22"/>
        </w:rPr>
        <w:t xml:space="preserve"> These are set out in </w:t>
      </w:r>
      <w:r w:rsidR="00916D86">
        <w:rPr>
          <w:rFonts w:ascii="Calibri" w:eastAsia="Microsoft JhengHei" w:hAnsi="Calibri"/>
          <w:szCs w:val="22"/>
        </w:rPr>
        <w:fldChar w:fldCharType="begin"/>
      </w:r>
      <w:r w:rsidR="00916D86">
        <w:rPr>
          <w:rFonts w:ascii="Calibri" w:eastAsia="Microsoft JhengHei" w:hAnsi="Calibri"/>
          <w:szCs w:val="22"/>
        </w:rPr>
        <w:instrText xml:space="preserve"> REF _Ref16685240 \h </w:instrText>
      </w:r>
      <w:r w:rsidR="00916D86">
        <w:rPr>
          <w:rFonts w:ascii="Calibri" w:eastAsia="Microsoft JhengHei" w:hAnsi="Calibri"/>
          <w:szCs w:val="22"/>
        </w:rPr>
      </w:r>
      <w:r w:rsidR="00916D86">
        <w:rPr>
          <w:rFonts w:ascii="Calibri" w:eastAsia="Microsoft JhengHei" w:hAnsi="Calibri"/>
          <w:szCs w:val="22"/>
        </w:rPr>
        <w:fldChar w:fldCharType="separate"/>
      </w:r>
      <w:r w:rsidR="00916D86">
        <w:t xml:space="preserve">Table </w:t>
      </w:r>
      <w:r w:rsidR="00916D86">
        <w:rPr>
          <w:noProof/>
        </w:rPr>
        <w:t>7</w:t>
      </w:r>
      <w:r w:rsidR="00916D86">
        <w:rPr>
          <w:rFonts w:ascii="Calibri" w:eastAsia="Microsoft JhengHei" w:hAnsi="Calibri"/>
          <w:szCs w:val="22"/>
        </w:rPr>
        <w:fldChar w:fldCharType="end"/>
      </w:r>
      <w:r w:rsidR="00916D86">
        <w:rPr>
          <w:rFonts w:ascii="Calibri" w:eastAsia="Microsoft JhengHei" w:hAnsi="Calibri"/>
          <w:szCs w:val="22"/>
        </w:rPr>
        <w:t xml:space="preserve"> </w:t>
      </w:r>
      <w:r w:rsidR="00FE71AE">
        <w:rPr>
          <w:rFonts w:ascii="Calibri" w:eastAsia="Microsoft JhengHei" w:hAnsi="Calibri"/>
          <w:szCs w:val="22"/>
        </w:rPr>
        <w:t xml:space="preserve">and </w:t>
      </w:r>
      <w:r w:rsidR="00916D86">
        <w:rPr>
          <w:rFonts w:ascii="Calibri" w:eastAsia="Microsoft JhengHei" w:hAnsi="Calibri"/>
          <w:szCs w:val="22"/>
        </w:rPr>
        <w:fldChar w:fldCharType="begin"/>
      </w:r>
      <w:r w:rsidR="00916D86">
        <w:rPr>
          <w:rFonts w:ascii="Calibri" w:eastAsia="Microsoft JhengHei" w:hAnsi="Calibri"/>
          <w:szCs w:val="22"/>
        </w:rPr>
        <w:instrText xml:space="preserve"> REF _Ref16685248 \h </w:instrText>
      </w:r>
      <w:r w:rsidR="00916D86">
        <w:rPr>
          <w:rFonts w:ascii="Calibri" w:eastAsia="Microsoft JhengHei" w:hAnsi="Calibri"/>
          <w:szCs w:val="22"/>
        </w:rPr>
      </w:r>
      <w:r w:rsidR="00916D86">
        <w:rPr>
          <w:rFonts w:ascii="Calibri" w:eastAsia="Microsoft JhengHei" w:hAnsi="Calibri"/>
          <w:szCs w:val="22"/>
        </w:rPr>
        <w:fldChar w:fldCharType="separate"/>
      </w:r>
      <w:r w:rsidR="00916D86">
        <w:t xml:space="preserve">Table </w:t>
      </w:r>
      <w:r w:rsidR="00916D86">
        <w:rPr>
          <w:noProof/>
        </w:rPr>
        <w:t>8</w:t>
      </w:r>
      <w:r w:rsidR="00916D86">
        <w:rPr>
          <w:rFonts w:ascii="Calibri" w:eastAsia="Microsoft JhengHei" w:hAnsi="Calibri"/>
          <w:szCs w:val="22"/>
        </w:rPr>
        <w:fldChar w:fldCharType="end"/>
      </w:r>
      <w:r w:rsidR="00F1673E">
        <w:rPr>
          <w:rFonts w:ascii="Calibri" w:eastAsia="Microsoft JhengHei" w:hAnsi="Calibri"/>
          <w:szCs w:val="22"/>
        </w:rPr>
        <w:t xml:space="preserve"> </w:t>
      </w:r>
      <w:r w:rsidR="00FE71AE">
        <w:rPr>
          <w:rFonts w:ascii="Calibri" w:eastAsia="Microsoft JhengHei" w:hAnsi="Calibri"/>
          <w:szCs w:val="22"/>
        </w:rPr>
        <w:t xml:space="preserve">respectively below. </w:t>
      </w:r>
    </w:p>
    <w:p w14:paraId="4DC7C984" w14:textId="77777777" w:rsidR="00B212E7" w:rsidRDefault="00B212E7" w:rsidP="00EB4749">
      <w:pPr>
        <w:pStyle w:val="ListBullet"/>
        <w:spacing w:after="120"/>
        <w:rPr>
          <w:rFonts w:ascii="Calibri" w:eastAsia="Microsoft JhengHei" w:hAnsi="Calibri"/>
          <w:szCs w:val="22"/>
        </w:rPr>
      </w:pPr>
    </w:p>
    <w:p w14:paraId="048AB076" w14:textId="77777777" w:rsidR="00B212E7" w:rsidRDefault="00B212E7" w:rsidP="00EB4749">
      <w:pPr>
        <w:pStyle w:val="ListBullet"/>
        <w:spacing w:after="120"/>
        <w:rPr>
          <w:rFonts w:ascii="Calibri" w:eastAsia="Microsoft JhengHei" w:hAnsi="Calibri"/>
          <w:szCs w:val="22"/>
        </w:rPr>
      </w:pPr>
    </w:p>
    <w:p w14:paraId="57A05ABC" w14:textId="77777777" w:rsidR="00B212E7" w:rsidRDefault="00B212E7" w:rsidP="00EB4749">
      <w:pPr>
        <w:pStyle w:val="ListBullet"/>
        <w:spacing w:after="120"/>
        <w:rPr>
          <w:rFonts w:ascii="Calibri" w:eastAsia="Microsoft JhengHei" w:hAnsi="Calibri"/>
          <w:szCs w:val="22"/>
        </w:rPr>
      </w:pPr>
    </w:p>
    <w:p w14:paraId="3DC5BD28" w14:textId="77777777" w:rsidR="00B212E7" w:rsidRDefault="00B212E7" w:rsidP="00EB4749">
      <w:pPr>
        <w:pStyle w:val="ListBullet"/>
        <w:spacing w:after="120"/>
        <w:rPr>
          <w:rFonts w:ascii="Calibri" w:eastAsia="Microsoft JhengHei" w:hAnsi="Calibri"/>
          <w:szCs w:val="22"/>
        </w:rPr>
      </w:pPr>
    </w:p>
    <w:p w14:paraId="65F67FB8" w14:textId="77777777" w:rsidR="00B212E7" w:rsidRDefault="00B212E7" w:rsidP="00EB4749">
      <w:pPr>
        <w:pStyle w:val="ListBullet"/>
        <w:spacing w:after="120"/>
        <w:rPr>
          <w:rFonts w:ascii="Calibri" w:eastAsia="Microsoft JhengHei" w:hAnsi="Calibri"/>
          <w:szCs w:val="22"/>
        </w:rPr>
      </w:pPr>
    </w:p>
    <w:p w14:paraId="3C8EAE07" w14:textId="77777777" w:rsidR="00B212E7" w:rsidRDefault="00B212E7" w:rsidP="00EB4749">
      <w:pPr>
        <w:pStyle w:val="ListBullet"/>
        <w:spacing w:after="120"/>
        <w:rPr>
          <w:rFonts w:ascii="Calibri" w:eastAsia="Microsoft JhengHei" w:hAnsi="Calibri"/>
          <w:szCs w:val="22"/>
        </w:rPr>
      </w:pPr>
    </w:p>
    <w:p w14:paraId="48B729DE" w14:textId="77777777" w:rsidR="00B212E7" w:rsidRDefault="00B212E7" w:rsidP="00EB4749">
      <w:pPr>
        <w:pStyle w:val="ListBullet"/>
        <w:spacing w:after="120"/>
        <w:rPr>
          <w:rFonts w:ascii="Calibri" w:eastAsia="Microsoft JhengHei" w:hAnsi="Calibri"/>
          <w:szCs w:val="22"/>
        </w:rPr>
      </w:pPr>
    </w:p>
    <w:p w14:paraId="35CE15FF" w14:textId="77777777" w:rsidR="00B212E7" w:rsidRDefault="00B212E7" w:rsidP="00EB4749">
      <w:pPr>
        <w:pStyle w:val="ListBullet"/>
        <w:spacing w:after="120"/>
        <w:rPr>
          <w:rFonts w:ascii="Calibri" w:eastAsia="Microsoft JhengHei" w:hAnsi="Calibri"/>
          <w:szCs w:val="22"/>
        </w:rPr>
      </w:pPr>
    </w:p>
    <w:p w14:paraId="3B22B7ED" w14:textId="77777777" w:rsidR="00916D86" w:rsidRDefault="00916D86" w:rsidP="00EB4749">
      <w:pPr>
        <w:pStyle w:val="ListBullet"/>
        <w:spacing w:after="120"/>
        <w:rPr>
          <w:rFonts w:ascii="Calibri" w:eastAsia="Microsoft JhengHei" w:hAnsi="Calibri"/>
          <w:szCs w:val="22"/>
        </w:rPr>
      </w:pPr>
    </w:p>
    <w:p w14:paraId="3E2EA424" w14:textId="77777777" w:rsidR="00B212E7" w:rsidRDefault="00B212E7" w:rsidP="00EB4749">
      <w:pPr>
        <w:pStyle w:val="ListBullet"/>
        <w:spacing w:after="120"/>
        <w:rPr>
          <w:rFonts w:ascii="Calibri" w:eastAsia="Microsoft JhengHei" w:hAnsi="Calibri"/>
          <w:szCs w:val="22"/>
        </w:rPr>
      </w:pPr>
    </w:p>
    <w:p w14:paraId="1E5BBE04" w14:textId="77777777" w:rsidR="00B212E7" w:rsidRDefault="00B212E7" w:rsidP="00EB4749">
      <w:pPr>
        <w:pStyle w:val="ListBullet"/>
        <w:spacing w:after="120"/>
        <w:rPr>
          <w:rFonts w:ascii="Calibri" w:eastAsia="Microsoft JhengHei" w:hAnsi="Calibri"/>
          <w:szCs w:val="22"/>
        </w:rPr>
      </w:pPr>
    </w:p>
    <w:p w14:paraId="4CCB085E" w14:textId="7B59A2F3" w:rsidR="001847E3" w:rsidRDefault="00916D86" w:rsidP="00916D86">
      <w:pPr>
        <w:pStyle w:val="Caption"/>
      </w:pPr>
      <w:bookmarkStart w:id="57" w:name="_Ref16685240"/>
      <w:r>
        <w:lastRenderedPageBreak/>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7</w:t>
      </w:r>
      <w:r w:rsidR="00BF1DE1">
        <w:rPr>
          <w:noProof/>
        </w:rPr>
        <w:fldChar w:fldCharType="end"/>
      </w:r>
      <w:bookmarkEnd w:id="57"/>
      <w:r w:rsidR="001847E3">
        <w:t xml:space="preserve">: The breakdown </w:t>
      </w:r>
      <w:r w:rsidR="00870D44">
        <w:t>of UK employment in S</w:t>
      </w:r>
      <w:r w:rsidR="001847E3">
        <w:t>hipbuilding activities as impli</w:t>
      </w:r>
      <w:r w:rsidR="00B212E7">
        <w:t>ed by BRES and ABS, 2010 to 2017</w:t>
      </w:r>
    </w:p>
    <w:tbl>
      <w:tblPr>
        <w:tblW w:w="4957" w:type="pct"/>
        <w:tblLook w:val="04A0" w:firstRow="1" w:lastRow="0" w:firstColumn="1" w:lastColumn="0" w:noHBand="0" w:noVBand="1"/>
      </w:tblPr>
      <w:tblGrid>
        <w:gridCol w:w="2473"/>
        <w:gridCol w:w="884"/>
        <w:gridCol w:w="884"/>
        <w:gridCol w:w="884"/>
        <w:gridCol w:w="884"/>
        <w:gridCol w:w="884"/>
        <w:gridCol w:w="884"/>
        <w:gridCol w:w="884"/>
        <w:gridCol w:w="884"/>
      </w:tblGrid>
      <w:tr w:rsidR="005476D9" w:rsidRPr="00B212E7" w14:paraId="59EADC9C"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7D83FCF2" w14:textId="77777777" w:rsidR="00B212E7" w:rsidRPr="00B212E7" w:rsidRDefault="00B212E7" w:rsidP="00B212E7">
            <w:pPr>
              <w:spacing w:after="0"/>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Shipbuilding Employment</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4B8BDB6E"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2010</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4F6DED31"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2011</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47314FA9"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2012</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49C9DE96"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2013</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606CF250"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2014</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4E98CE63"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2015</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5732984F"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2016</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4B0A0190"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2017</w:t>
            </w:r>
          </w:p>
        </w:tc>
      </w:tr>
      <w:tr w:rsidR="005476D9" w:rsidRPr="00B212E7" w14:paraId="45BF656B"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221E2AB6"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England</w:t>
            </w:r>
          </w:p>
        </w:tc>
        <w:tc>
          <w:tcPr>
            <w:tcW w:w="463" w:type="pct"/>
            <w:tcBorders>
              <w:top w:val="nil"/>
              <w:left w:val="nil"/>
              <w:bottom w:val="single" w:sz="8" w:space="0" w:color="FFFFFF"/>
              <w:right w:val="single" w:sz="8" w:space="0" w:color="FFFFFF"/>
            </w:tcBorders>
            <w:shd w:val="clear" w:color="000000" w:fill="E7EEEF"/>
            <w:vAlign w:val="center"/>
            <w:hideMark/>
          </w:tcPr>
          <w:p w14:paraId="7A593A0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68.9%</w:t>
            </w:r>
          </w:p>
        </w:tc>
        <w:tc>
          <w:tcPr>
            <w:tcW w:w="463" w:type="pct"/>
            <w:tcBorders>
              <w:top w:val="nil"/>
              <w:left w:val="nil"/>
              <w:bottom w:val="single" w:sz="8" w:space="0" w:color="FFFFFF"/>
              <w:right w:val="single" w:sz="8" w:space="0" w:color="FFFFFF"/>
            </w:tcBorders>
            <w:shd w:val="clear" w:color="000000" w:fill="E7EEEF"/>
            <w:vAlign w:val="center"/>
            <w:hideMark/>
          </w:tcPr>
          <w:p w14:paraId="4C13AA9B"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68.8%</w:t>
            </w:r>
          </w:p>
        </w:tc>
        <w:tc>
          <w:tcPr>
            <w:tcW w:w="463" w:type="pct"/>
            <w:tcBorders>
              <w:top w:val="nil"/>
              <w:left w:val="nil"/>
              <w:bottom w:val="single" w:sz="8" w:space="0" w:color="FFFFFF"/>
              <w:right w:val="single" w:sz="8" w:space="0" w:color="FFFFFF"/>
            </w:tcBorders>
            <w:shd w:val="clear" w:color="000000" w:fill="E7EEEF"/>
            <w:vAlign w:val="center"/>
            <w:hideMark/>
          </w:tcPr>
          <w:p w14:paraId="2984DF9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67.6%</w:t>
            </w:r>
          </w:p>
        </w:tc>
        <w:tc>
          <w:tcPr>
            <w:tcW w:w="463" w:type="pct"/>
            <w:tcBorders>
              <w:top w:val="nil"/>
              <w:left w:val="nil"/>
              <w:bottom w:val="single" w:sz="8" w:space="0" w:color="FFFFFF"/>
              <w:right w:val="single" w:sz="8" w:space="0" w:color="FFFFFF"/>
            </w:tcBorders>
            <w:shd w:val="clear" w:color="000000" w:fill="E7EEEF"/>
            <w:vAlign w:val="center"/>
            <w:hideMark/>
          </w:tcPr>
          <w:p w14:paraId="6982712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67.5%</w:t>
            </w:r>
          </w:p>
        </w:tc>
        <w:tc>
          <w:tcPr>
            <w:tcW w:w="463" w:type="pct"/>
            <w:tcBorders>
              <w:top w:val="nil"/>
              <w:left w:val="nil"/>
              <w:bottom w:val="single" w:sz="8" w:space="0" w:color="FFFFFF"/>
              <w:right w:val="single" w:sz="8" w:space="0" w:color="FFFFFF"/>
            </w:tcBorders>
            <w:shd w:val="clear" w:color="000000" w:fill="E7EEEF"/>
            <w:vAlign w:val="center"/>
            <w:hideMark/>
          </w:tcPr>
          <w:p w14:paraId="4C3CDCE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65.1%</w:t>
            </w:r>
          </w:p>
        </w:tc>
        <w:tc>
          <w:tcPr>
            <w:tcW w:w="463" w:type="pct"/>
            <w:tcBorders>
              <w:top w:val="nil"/>
              <w:left w:val="nil"/>
              <w:bottom w:val="single" w:sz="8" w:space="0" w:color="FFFFFF"/>
              <w:right w:val="single" w:sz="8" w:space="0" w:color="FFFFFF"/>
            </w:tcBorders>
            <w:shd w:val="clear" w:color="000000" w:fill="E7EEEF"/>
            <w:vAlign w:val="center"/>
            <w:hideMark/>
          </w:tcPr>
          <w:p w14:paraId="55F493E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69.9%</w:t>
            </w:r>
          </w:p>
        </w:tc>
        <w:tc>
          <w:tcPr>
            <w:tcW w:w="463" w:type="pct"/>
            <w:tcBorders>
              <w:top w:val="nil"/>
              <w:left w:val="nil"/>
              <w:bottom w:val="single" w:sz="8" w:space="0" w:color="FFFFFF"/>
              <w:right w:val="single" w:sz="8" w:space="0" w:color="FFFFFF"/>
            </w:tcBorders>
            <w:shd w:val="clear" w:color="000000" w:fill="E7EEEF"/>
            <w:vAlign w:val="center"/>
            <w:hideMark/>
          </w:tcPr>
          <w:p w14:paraId="22DA6E38"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68.0%</w:t>
            </w:r>
          </w:p>
        </w:tc>
        <w:tc>
          <w:tcPr>
            <w:tcW w:w="463" w:type="pct"/>
            <w:tcBorders>
              <w:top w:val="nil"/>
              <w:left w:val="nil"/>
              <w:bottom w:val="single" w:sz="8" w:space="0" w:color="FFFFFF"/>
              <w:right w:val="single" w:sz="8" w:space="0" w:color="FFFFFF"/>
            </w:tcBorders>
            <w:shd w:val="clear" w:color="000000" w:fill="E7EEEF"/>
            <w:vAlign w:val="center"/>
            <w:hideMark/>
          </w:tcPr>
          <w:p w14:paraId="30C30C6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68.1%</w:t>
            </w:r>
          </w:p>
        </w:tc>
      </w:tr>
      <w:tr w:rsidR="005476D9" w:rsidRPr="00B212E7" w14:paraId="38677FAD"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5AA294D5"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Scotland</w:t>
            </w:r>
          </w:p>
        </w:tc>
        <w:tc>
          <w:tcPr>
            <w:tcW w:w="463" w:type="pct"/>
            <w:tcBorders>
              <w:top w:val="nil"/>
              <w:left w:val="nil"/>
              <w:bottom w:val="single" w:sz="8" w:space="0" w:color="FFFFFF"/>
              <w:right w:val="single" w:sz="8" w:space="0" w:color="FFFFFF"/>
            </w:tcBorders>
            <w:shd w:val="clear" w:color="000000" w:fill="D0CECE"/>
            <w:vAlign w:val="center"/>
            <w:hideMark/>
          </w:tcPr>
          <w:p w14:paraId="2A349CD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26.5%</w:t>
            </w:r>
          </w:p>
        </w:tc>
        <w:tc>
          <w:tcPr>
            <w:tcW w:w="463" w:type="pct"/>
            <w:tcBorders>
              <w:top w:val="nil"/>
              <w:left w:val="nil"/>
              <w:bottom w:val="single" w:sz="8" w:space="0" w:color="FFFFFF"/>
              <w:right w:val="single" w:sz="8" w:space="0" w:color="FFFFFF"/>
            </w:tcBorders>
            <w:shd w:val="clear" w:color="000000" w:fill="D0CECE"/>
            <w:vAlign w:val="center"/>
            <w:hideMark/>
          </w:tcPr>
          <w:p w14:paraId="3F72192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26.0%</w:t>
            </w:r>
          </w:p>
        </w:tc>
        <w:tc>
          <w:tcPr>
            <w:tcW w:w="463" w:type="pct"/>
            <w:tcBorders>
              <w:top w:val="nil"/>
              <w:left w:val="nil"/>
              <w:bottom w:val="single" w:sz="8" w:space="0" w:color="FFFFFF"/>
              <w:right w:val="single" w:sz="8" w:space="0" w:color="FFFFFF"/>
            </w:tcBorders>
            <w:shd w:val="clear" w:color="000000" w:fill="D0CECE"/>
            <w:vAlign w:val="center"/>
            <w:hideMark/>
          </w:tcPr>
          <w:p w14:paraId="173B0133"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28.0%</w:t>
            </w:r>
          </w:p>
        </w:tc>
        <w:tc>
          <w:tcPr>
            <w:tcW w:w="463" w:type="pct"/>
            <w:tcBorders>
              <w:top w:val="nil"/>
              <w:left w:val="nil"/>
              <w:bottom w:val="single" w:sz="8" w:space="0" w:color="FFFFFF"/>
              <w:right w:val="single" w:sz="8" w:space="0" w:color="FFFFFF"/>
            </w:tcBorders>
            <w:shd w:val="clear" w:color="000000" w:fill="D0CECE"/>
            <w:vAlign w:val="center"/>
            <w:hideMark/>
          </w:tcPr>
          <w:p w14:paraId="4DA9BED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27.5%</w:t>
            </w:r>
          </w:p>
        </w:tc>
        <w:tc>
          <w:tcPr>
            <w:tcW w:w="463" w:type="pct"/>
            <w:tcBorders>
              <w:top w:val="nil"/>
              <w:left w:val="nil"/>
              <w:bottom w:val="single" w:sz="8" w:space="0" w:color="FFFFFF"/>
              <w:right w:val="single" w:sz="8" w:space="0" w:color="FFFFFF"/>
            </w:tcBorders>
            <w:shd w:val="clear" w:color="000000" w:fill="D0CECE"/>
            <w:vAlign w:val="center"/>
            <w:hideMark/>
          </w:tcPr>
          <w:p w14:paraId="040A481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30.6%</w:t>
            </w:r>
          </w:p>
        </w:tc>
        <w:tc>
          <w:tcPr>
            <w:tcW w:w="463" w:type="pct"/>
            <w:tcBorders>
              <w:top w:val="nil"/>
              <w:left w:val="nil"/>
              <w:bottom w:val="single" w:sz="8" w:space="0" w:color="FFFFFF"/>
              <w:right w:val="single" w:sz="8" w:space="0" w:color="FFFFFF"/>
            </w:tcBorders>
            <w:shd w:val="clear" w:color="000000" w:fill="D0CECE"/>
            <w:vAlign w:val="center"/>
            <w:hideMark/>
          </w:tcPr>
          <w:p w14:paraId="197C975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25.3%</w:t>
            </w:r>
          </w:p>
        </w:tc>
        <w:tc>
          <w:tcPr>
            <w:tcW w:w="463" w:type="pct"/>
            <w:tcBorders>
              <w:top w:val="nil"/>
              <w:left w:val="nil"/>
              <w:bottom w:val="single" w:sz="8" w:space="0" w:color="FFFFFF"/>
              <w:right w:val="single" w:sz="8" w:space="0" w:color="FFFFFF"/>
            </w:tcBorders>
            <w:shd w:val="clear" w:color="000000" w:fill="D0CECE"/>
            <w:vAlign w:val="center"/>
            <w:hideMark/>
          </w:tcPr>
          <w:p w14:paraId="5BC6972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26.5%</w:t>
            </w:r>
          </w:p>
        </w:tc>
        <w:tc>
          <w:tcPr>
            <w:tcW w:w="463" w:type="pct"/>
            <w:tcBorders>
              <w:top w:val="nil"/>
              <w:left w:val="nil"/>
              <w:bottom w:val="single" w:sz="8" w:space="0" w:color="FFFFFF"/>
              <w:right w:val="single" w:sz="8" w:space="0" w:color="FFFFFF"/>
            </w:tcBorders>
            <w:shd w:val="clear" w:color="000000" w:fill="D0CECE"/>
            <w:vAlign w:val="center"/>
            <w:hideMark/>
          </w:tcPr>
          <w:p w14:paraId="6CA2B0D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27.3%</w:t>
            </w:r>
          </w:p>
        </w:tc>
      </w:tr>
      <w:tr w:rsidR="005476D9" w:rsidRPr="00B212E7" w14:paraId="087CB91E"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7599D9A6"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Wales</w:t>
            </w:r>
          </w:p>
        </w:tc>
        <w:tc>
          <w:tcPr>
            <w:tcW w:w="463" w:type="pct"/>
            <w:tcBorders>
              <w:top w:val="nil"/>
              <w:left w:val="nil"/>
              <w:bottom w:val="single" w:sz="8" w:space="0" w:color="FFFFFF"/>
              <w:right w:val="single" w:sz="8" w:space="0" w:color="FFFFFF"/>
            </w:tcBorders>
            <w:shd w:val="clear" w:color="000000" w:fill="E7EEEF"/>
            <w:vAlign w:val="center"/>
            <w:hideMark/>
          </w:tcPr>
          <w:p w14:paraId="2A3FB24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1.5%</w:t>
            </w:r>
          </w:p>
        </w:tc>
        <w:tc>
          <w:tcPr>
            <w:tcW w:w="463" w:type="pct"/>
            <w:tcBorders>
              <w:top w:val="nil"/>
              <w:left w:val="nil"/>
              <w:bottom w:val="single" w:sz="8" w:space="0" w:color="FFFFFF"/>
              <w:right w:val="single" w:sz="8" w:space="0" w:color="FFFFFF"/>
            </w:tcBorders>
            <w:shd w:val="clear" w:color="000000" w:fill="E7EEEF"/>
            <w:vAlign w:val="center"/>
            <w:hideMark/>
          </w:tcPr>
          <w:p w14:paraId="68A7737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1.7%</w:t>
            </w:r>
          </w:p>
        </w:tc>
        <w:tc>
          <w:tcPr>
            <w:tcW w:w="463" w:type="pct"/>
            <w:tcBorders>
              <w:top w:val="nil"/>
              <w:left w:val="nil"/>
              <w:bottom w:val="single" w:sz="8" w:space="0" w:color="FFFFFF"/>
              <w:right w:val="single" w:sz="8" w:space="0" w:color="FFFFFF"/>
            </w:tcBorders>
            <w:shd w:val="clear" w:color="000000" w:fill="E7EEEF"/>
            <w:vAlign w:val="center"/>
            <w:hideMark/>
          </w:tcPr>
          <w:p w14:paraId="7B0540A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1.2%</w:t>
            </w:r>
          </w:p>
        </w:tc>
        <w:tc>
          <w:tcPr>
            <w:tcW w:w="463" w:type="pct"/>
            <w:tcBorders>
              <w:top w:val="nil"/>
              <w:left w:val="nil"/>
              <w:bottom w:val="single" w:sz="8" w:space="0" w:color="FFFFFF"/>
              <w:right w:val="single" w:sz="8" w:space="0" w:color="FFFFFF"/>
            </w:tcBorders>
            <w:shd w:val="clear" w:color="000000" w:fill="E7EEEF"/>
            <w:vAlign w:val="center"/>
            <w:hideMark/>
          </w:tcPr>
          <w:p w14:paraId="138DDE6C"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1.4%</w:t>
            </w:r>
          </w:p>
        </w:tc>
        <w:tc>
          <w:tcPr>
            <w:tcW w:w="463" w:type="pct"/>
            <w:tcBorders>
              <w:top w:val="nil"/>
              <w:left w:val="nil"/>
              <w:bottom w:val="single" w:sz="8" w:space="0" w:color="FFFFFF"/>
              <w:right w:val="single" w:sz="8" w:space="0" w:color="FFFFFF"/>
            </w:tcBorders>
            <w:shd w:val="clear" w:color="000000" w:fill="E7EEEF"/>
            <w:vAlign w:val="center"/>
            <w:hideMark/>
          </w:tcPr>
          <w:p w14:paraId="449A9F0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E7EEEF"/>
            <w:vAlign w:val="center"/>
            <w:hideMark/>
          </w:tcPr>
          <w:p w14:paraId="7AD4193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1.3%</w:t>
            </w:r>
          </w:p>
        </w:tc>
        <w:tc>
          <w:tcPr>
            <w:tcW w:w="463" w:type="pct"/>
            <w:tcBorders>
              <w:top w:val="nil"/>
              <w:left w:val="nil"/>
              <w:bottom w:val="single" w:sz="8" w:space="0" w:color="FFFFFF"/>
              <w:right w:val="single" w:sz="8" w:space="0" w:color="FFFFFF"/>
            </w:tcBorders>
            <w:shd w:val="clear" w:color="000000" w:fill="E7EEEF"/>
            <w:vAlign w:val="center"/>
            <w:hideMark/>
          </w:tcPr>
          <w:p w14:paraId="35D9853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1.8%</w:t>
            </w:r>
          </w:p>
        </w:tc>
        <w:tc>
          <w:tcPr>
            <w:tcW w:w="463" w:type="pct"/>
            <w:tcBorders>
              <w:top w:val="nil"/>
              <w:left w:val="nil"/>
              <w:bottom w:val="single" w:sz="8" w:space="0" w:color="FFFFFF"/>
              <w:right w:val="single" w:sz="8" w:space="0" w:color="FFFFFF"/>
            </w:tcBorders>
            <w:shd w:val="clear" w:color="000000" w:fill="E7EEEF"/>
            <w:vAlign w:val="center"/>
            <w:hideMark/>
          </w:tcPr>
          <w:p w14:paraId="74D773A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1.0%</w:t>
            </w:r>
          </w:p>
        </w:tc>
      </w:tr>
      <w:tr w:rsidR="005476D9" w:rsidRPr="00B212E7" w14:paraId="4017FC50"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33D679A8"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Northern Ireland</w:t>
            </w:r>
          </w:p>
        </w:tc>
        <w:tc>
          <w:tcPr>
            <w:tcW w:w="463" w:type="pct"/>
            <w:tcBorders>
              <w:top w:val="nil"/>
              <w:left w:val="nil"/>
              <w:bottom w:val="single" w:sz="8" w:space="0" w:color="FFFFFF"/>
              <w:right w:val="single" w:sz="8" w:space="0" w:color="FFFFFF"/>
            </w:tcBorders>
            <w:shd w:val="clear" w:color="000000" w:fill="D0CECE"/>
            <w:vAlign w:val="center"/>
            <w:hideMark/>
          </w:tcPr>
          <w:p w14:paraId="4605FFF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3.1%</w:t>
            </w:r>
          </w:p>
        </w:tc>
        <w:tc>
          <w:tcPr>
            <w:tcW w:w="463" w:type="pct"/>
            <w:tcBorders>
              <w:top w:val="nil"/>
              <w:left w:val="nil"/>
              <w:bottom w:val="single" w:sz="8" w:space="0" w:color="FFFFFF"/>
              <w:right w:val="single" w:sz="8" w:space="0" w:color="FFFFFF"/>
            </w:tcBorders>
            <w:shd w:val="clear" w:color="000000" w:fill="D0CECE"/>
            <w:vAlign w:val="center"/>
            <w:hideMark/>
          </w:tcPr>
          <w:p w14:paraId="6F3A849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3.5%</w:t>
            </w:r>
          </w:p>
        </w:tc>
        <w:tc>
          <w:tcPr>
            <w:tcW w:w="463" w:type="pct"/>
            <w:tcBorders>
              <w:top w:val="nil"/>
              <w:left w:val="nil"/>
              <w:bottom w:val="single" w:sz="8" w:space="0" w:color="FFFFFF"/>
              <w:right w:val="single" w:sz="8" w:space="0" w:color="FFFFFF"/>
            </w:tcBorders>
            <w:shd w:val="clear" w:color="000000" w:fill="D0CECE"/>
            <w:vAlign w:val="center"/>
            <w:hideMark/>
          </w:tcPr>
          <w:p w14:paraId="32FCB1F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3.3%</w:t>
            </w:r>
          </w:p>
        </w:tc>
        <w:tc>
          <w:tcPr>
            <w:tcW w:w="463" w:type="pct"/>
            <w:tcBorders>
              <w:top w:val="nil"/>
              <w:left w:val="nil"/>
              <w:bottom w:val="single" w:sz="8" w:space="0" w:color="FFFFFF"/>
              <w:right w:val="single" w:sz="8" w:space="0" w:color="FFFFFF"/>
            </w:tcBorders>
            <w:shd w:val="clear" w:color="000000" w:fill="D0CECE"/>
            <w:vAlign w:val="center"/>
            <w:hideMark/>
          </w:tcPr>
          <w:p w14:paraId="23439A1C"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3.6%</w:t>
            </w:r>
          </w:p>
        </w:tc>
        <w:tc>
          <w:tcPr>
            <w:tcW w:w="463" w:type="pct"/>
            <w:tcBorders>
              <w:top w:val="nil"/>
              <w:left w:val="nil"/>
              <w:bottom w:val="single" w:sz="8" w:space="0" w:color="FFFFFF"/>
              <w:right w:val="single" w:sz="8" w:space="0" w:color="FFFFFF"/>
            </w:tcBorders>
            <w:shd w:val="clear" w:color="000000" w:fill="D0CECE"/>
            <w:vAlign w:val="center"/>
            <w:hideMark/>
          </w:tcPr>
          <w:p w14:paraId="737BEE0C"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3.7%</w:t>
            </w:r>
          </w:p>
        </w:tc>
        <w:tc>
          <w:tcPr>
            <w:tcW w:w="463" w:type="pct"/>
            <w:tcBorders>
              <w:top w:val="nil"/>
              <w:left w:val="nil"/>
              <w:bottom w:val="single" w:sz="8" w:space="0" w:color="FFFFFF"/>
              <w:right w:val="single" w:sz="8" w:space="0" w:color="FFFFFF"/>
            </w:tcBorders>
            <w:shd w:val="clear" w:color="000000" w:fill="D0CECE"/>
            <w:vAlign w:val="center"/>
            <w:hideMark/>
          </w:tcPr>
          <w:p w14:paraId="7468464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3.5%</w:t>
            </w:r>
          </w:p>
        </w:tc>
        <w:tc>
          <w:tcPr>
            <w:tcW w:w="463" w:type="pct"/>
            <w:tcBorders>
              <w:top w:val="nil"/>
              <w:left w:val="nil"/>
              <w:bottom w:val="single" w:sz="8" w:space="0" w:color="FFFFFF"/>
              <w:right w:val="single" w:sz="8" w:space="0" w:color="FFFFFF"/>
            </w:tcBorders>
            <w:shd w:val="clear" w:color="000000" w:fill="D0CECE"/>
            <w:vAlign w:val="center"/>
            <w:hideMark/>
          </w:tcPr>
          <w:p w14:paraId="5F5E199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3.7%</w:t>
            </w:r>
          </w:p>
        </w:tc>
        <w:tc>
          <w:tcPr>
            <w:tcW w:w="463" w:type="pct"/>
            <w:tcBorders>
              <w:top w:val="nil"/>
              <w:left w:val="nil"/>
              <w:bottom w:val="single" w:sz="8" w:space="0" w:color="FFFFFF"/>
              <w:right w:val="single" w:sz="8" w:space="0" w:color="FFFFFF"/>
            </w:tcBorders>
            <w:shd w:val="clear" w:color="000000" w:fill="D0CECE"/>
            <w:vAlign w:val="center"/>
            <w:hideMark/>
          </w:tcPr>
          <w:p w14:paraId="3808AE6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3.6%</w:t>
            </w:r>
          </w:p>
        </w:tc>
      </w:tr>
      <w:tr w:rsidR="005476D9" w:rsidRPr="00B212E7" w14:paraId="69F149D0"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733760CD"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East of England</w:t>
            </w:r>
          </w:p>
        </w:tc>
        <w:tc>
          <w:tcPr>
            <w:tcW w:w="463" w:type="pct"/>
            <w:tcBorders>
              <w:top w:val="nil"/>
              <w:left w:val="nil"/>
              <w:bottom w:val="single" w:sz="8" w:space="0" w:color="FFFFFF"/>
              <w:right w:val="single" w:sz="8" w:space="0" w:color="FFFFFF"/>
            </w:tcBorders>
            <w:shd w:val="clear" w:color="000000" w:fill="E7EEEF"/>
            <w:vAlign w:val="center"/>
            <w:hideMark/>
          </w:tcPr>
          <w:p w14:paraId="2E898D3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3.1%</w:t>
            </w:r>
          </w:p>
        </w:tc>
        <w:tc>
          <w:tcPr>
            <w:tcW w:w="463" w:type="pct"/>
            <w:tcBorders>
              <w:top w:val="nil"/>
              <w:left w:val="nil"/>
              <w:bottom w:val="single" w:sz="8" w:space="0" w:color="FFFFFF"/>
              <w:right w:val="single" w:sz="8" w:space="0" w:color="FFFFFF"/>
            </w:tcBorders>
            <w:shd w:val="clear" w:color="000000" w:fill="E7EEEF"/>
            <w:vAlign w:val="center"/>
            <w:hideMark/>
          </w:tcPr>
          <w:p w14:paraId="6DFB2A7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1.3%</w:t>
            </w:r>
          </w:p>
        </w:tc>
        <w:tc>
          <w:tcPr>
            <w:tcW w:w="463" w:type="pct"/>
            <w:tcBorders>
              <w:top w:val="nil"/>
              <w:left w:val="nil"/>
              <w:bottom w:val="single" w:sz="8" w:space="0" w:color="FFFFFF"/>
              <w:right w:val="single" w:sz="8" w:space="0" w:color="FFFFFF"/>
            </w:tcBorders>
            <w:shd w:val="clear" w:color="000000" w:fill="E7EEEF"/>
            <w:vAlign w:val="center"/>
            <w:hideMark/>
          </w:tcPr>
          <w:p w14:paraId="57989C2D"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1.0%</w:t>
            </w:r>
          </w:p>
        </w:tc>
        <w:tc>
          <w:tcPr>
            <w:tcW w:w="463" w:type="pct"/>
            <w:tcBorders>
              <w:top w:val="nil"/>
              <w:left w:val="nil"/>
              <w:bottom w:val="single" w:sz="8" w:space="0" w:color="FFFFFF"/>
              <w:right w:val="single" w:sz="8" w:space="0" w:color="FFFFFF"/>
            </w:tcBorders>
            <w:shd w:val="clear" w:color="000000" w:fill="E7EEEF"/>
            <w:vAlign w:val="center"/>
            <w:hideMark/>
          </w:tcPr>
          <w:p w14:paraId="14AC43E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2.1%</w:t>
            </w:r>
          </w:p>
        </w:tc>
        <w:tc>
          <w:tcPr>
            <w:tcW w:w="463" w:type="pct"/>
            <w:tcBorders>
              <w:top w:val="nil"/>
              <w:left w:val="nil"/>
              <w:bottom w:val="single" w:sz="8" w:space="0" w:color="FFFFFF"/>
              <w:right w:val="single" w:sz="8" w:space="0" w:color="FFFFFF"/>
            </w:tcBorders>
            <w:shd w:val="clear" w:color="000000" w:fill="E7EEEF"/>
            <w:vAlign w:val="center"/>
            <w:hideMark/>
          </w:tcPr>
          <w:p w14:paraId="2FB537A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1.3%</w:t>
            </w:r>
          </w:p>
        </w:tc>
        <w:tc>
          <w:tcPr>
            <w:tcW w:w="463" w:type="pct"/>
            <w:tcBorders>
              <w:top w:val="nil"/>
              <w:left w:val="nil"/>
              <w:bottom w:val="single" w:sz="8" w:space="0" w:color="FFFFFF"/>
              <w:right w:val="single" w:sz="8" w:space="0" w:color="FFFFFF"/>
            </w:tcBorders>
            <w:shd w:val="clear" w:color="000000" w:fill="E7EEEF"/>
            <w:vAlign w:val="center"/>
            <w:hideMark/>
          </w:tcPr>
          <w:p w14:paraId="5623DEF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1.9%</w:t>
            </w:r>
          </w:p>
        </w:tc>
        <w:tc>
          <w:tcPr>
            <w:tcW w:w="463" w:type="pct"/>
            <w:tcBorders>
              <w:top w:val="nil"/>
              <w:left w:val="nil"/>
              <w:bottom w:val="single" w:sz="8" w:space="0" w:color="FFFFFF"/>
              <w:right w:val="single" w:sz="8" w:space="0" w:color="FFFFFF"/>
            </w:tcBorders>
            <w:shd w:val="clear" w:color="000000" w:fill="E7EEEF"/>
            <w:vAlign w:val="center"/>
            <w:hideMark/>
          </w:tcPr>
          <w:p w14:paraId="392ECFB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2.2%</w:t>
            </w:r>
          </w:p>
        </w:tc>
        <w:tc>
          <w:tcPr>
            <w:tcW w:w="463" w:type="pct"/>
            <w:tcBorders>
              <w:top w:val="nil"/>
              <w:left w:val="nil"/>
              <w:bottom w:val="single" w:sz="8" w:space="0" w:color="FFFFFF"/>
              <w:right w:val="single" w:sz="8" w:space="0" w:color="FFFFFF"/>
            </w:tcBorders>
            <w:shd w:val="clear" w:color="000000" w:fill="E7EEEF"/>
            <w:vAlign w:val="center"/>
            <w:hideMark/>
          </w:tcPr>
          <w:p w14:paraId="53E3EC6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1.6%</w:t>
            </w:r>
          </w:p>
        </w:tc>
      </w:tr>
      <w:tr w:rsidR="005476D9" w:rsidRPr="00B212E7" w14:paraId="12FFBF58"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68A9B050"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East Midlands</w:t>
            </w:r>
          </w:p>
        </w:tc>
        <w:tc>
          <w:tcPr>
            <w:tcW w:w="463" w:type="pct"/>
            <w:tcBorders>
              <w:top w:val="nil"/>
              <w:left w:val="nil"/>
              <w:bottom w:val="single" w:sz="8" w:space="0" w:color="FFFFFF"/>
              <w:right w:val="single" w:sz="8" w:space="0" w:color="FFFFFF"/>
            </w:tcBorders>
            <w:shd w:val="clear" w:color="000000" w:fill="D0CECE"/>
            <w:vAlign w:val="center"/>
            <w:hideMark/>
          </w:tcPr>
          <w:p w14:paraId="50DDE1A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0.4%</w:t>
            </w:r>
          </w:p>
        </w:tc>
        <w:tc>
          <w:tcPr>
            <w:tcW w:w="463" w:type="pct"/>
            <w:tcBorders>
              <w:top w:val="nil"/>
              <w:left w:val="nil"/>
              <w:bottom w:val="single" w:sz="8" w:space="0" w:color="FFFFFF"/>
              <w:right w:val="single" w:sz="8" w:space="0" w:color="FFFFFF"/>
            </w:tcBorders>
            <w:shd w:val="clear" w:color="000000" w:fill="D0CECE"/>
            <w:vAlign w:val="center"/>
            <w:hideMark/>
          </w:tcPr>
          <w:p w14:paraId="6B268F6B"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D0CECE"/>
            <w:vAlign w:val="center"/>
            <w:hideMark/>
          </w:tcPr>
          <w:p w14:paraId="4158EE3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0.9%</w:t>
            </w:r>
          </w:p>
        </w:tc>
        <w:tc>
          <w:tcPr>
            <w:tcW w:w="463" w:type="pct"/>
            <w:tcBorders>
              <w:top w:val="nil"/>
              <w:left w:val="nil"/>
              <w:bottom w:val="single" w:sz="8" w:space="0" w:color="FFFFFF"/>
              <w:right w:val="single" w:sz="8" w:space="0" w:color="FFFFFF"/>
            </w:tcBorders>
            <w:shd w:val="clear" w:color="000000" w:fill="D0CECE"/>
            <w:vAlign w:val="center"/>
            <w:hideMark/>
          </w:tcPr>
          <w:p w14:paraId="0BB76EA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D0CECE"/>
            <w:vAlign w:val="center"/>
            <w:hideMark/>
          </w:tcPr>
          <w:p w14:paraId="171CB8C3"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0.9%</w:t>
            </w:r>
          </w:p>
        </w:tc>
        <w:tc>
          <w:tcPr>
            <w:tcW w:w="463" w:type="pct"/>
            <w:tcBorders>
              <w:top w:val="nil"/>
              <w:left w:val="nil"/>
              <w:bottom w:val="single" w:sz="8" w:space="0" w:color="FFFFFF"/>
              <w:right w:val="single" w:sz="8" w:space="0" w:color="FFFFFF"/>
            </w:tcBorders>
            <w:shd w:val="clear" w:color="000000" w:fill="D0CECE"/>
            <w:vAlign w:val="center"/>
            <w:hideMark/>
          </w:tcPr>
          <w:p w14:paraId="43E8DE3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D0CECE"/>
            <w:vAlign w:val="center"/>
            <w:hideMark/>
          </w:tcPr>
          <w:p w14:paraId="57A2BC5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0.3%</w:t>
            </w:r>
          </w:p>
        </w:tc>
        <w:tc>
          <w:tcPr>
            <w:tcW w:w="463" w:type="pct"/>
            <w:tcBorders>
              <w:top w:val="nil"/>
              <w:left w:val="nil"/>
              <w:bottom w:val="single" w:sz="8" w:space="0" w:color="FFFFFF"/>
              <w:right w:val="single" w:sz="8" w:space="0" w:color="FFFFFF"/>
            </w:tcBorders>
            <w:shd w:val="clear" w:color="000000" w:fill="D0CECE"/>
            <w:vAlign w:val="center"/>
            <w:hideMark/>
          </w:tcPr>
          <w:p w14:paraId="19209BA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0.6%</w:t>
            </w:r>
          </w:p>
        </w:tc>
      </w:tr>
      <w:tr w:rsidR="005476D9" w:rsidRPr="00B212E7" w14:paraId="3CBBB2F7"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785C417F"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London</w:t>
            </w:r>
          </w:p>
        </w:tc>
        <w:tc>
          <w:tcPr>
            <w:tcW w:w="463" w:type="pct"/>
            <w:tcBorders>
              <w:top w:val="nil"/>
              <w:left w:val="nil"/>
              <w:bottom w:val="single" w:sz="8" w:space="0" w:color="FFFFFF"/>
              <w:right w:val="single" w:sz="8" w:space="0" w:color="FFFFFF"/>
            </w:tcBorders>
            <w:shd w:val="clear" w:color="000000" w:fill="E7EEEF"/>
            <w:vAlign w:val="center"/>
            <w:hideMark/>
          </w:tcPr>
          <w:p w14:paraId="06499DA0"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c>
          <w:tcPr>
            <w:tcW w:w="463" w:type="pct"/>
            <w:tcBorders>
              <w:top w:val="nil"/>
              <w:left w:val="nil"/>
              <w:bottom w:val="single" w:sz="8" w:space="0" w:color="FFFFFF"/>
              <w:right w:val="single" w:sz="8" w:space="0" w:color="FFFFFF"/>
            </w:tcBorders>
            <w:shd w:val="clear" w:color="000000" w:fill="E7EEEF"/>
            <w:vAlign w:val="center"/>
            <w:hideMark/>
          </w:tcPr>
          <w:p w14:paraId="5130B99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c>
          <w:tcPr>
            <w:tcW w:w="463" w:type="pct"/>
            <w:tcBorders>
              <w:top w:val="nil"/>
              <w:left w:val="nil"/>
              <w:bottom w:val="single" w:sz="8" w:space="0" w:color="FFFFFF"/>
              <w:right w:val="single" w:sz="8" w:space="0" w:color="FFFFFF"/>
            </w:tcBorders>
            <w:shd w:val="clear" w:color="000000" w:fill="E7EEEF"/>
            <w:vAlign w:val="center"/>
            <w:hideMark/>
          </w:tcPr>
          <w:p w14:paraId="554CFE7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0.8%</w:t>
            </w:r>
          </w:p>
        </w:tc>
        <w:tc>
          <w:tcPr>
            <w:tcW w:w="463" w:type="pct"/>
            <w:tcBorders>
              <w:top w:val="nil"/>
              <w:left w:val="nil"/>
              <w:bottom w:val="single" w:sz="8" w:space="0" w:color="FFFFFF"/>
              <w:right w:val="single" w:sz="8" w:space="0" w:color="FFFFFF"/>
            </w:tcBorders>
            <w:shd w:val="clear" w:color="000000" w:fill="E7EEEF"/>
            <w:vAlign w:val="center"/>
            <w:hideMark/>
          </w:tcPr>
          <w:p w14:paraId="05CA296B"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E7EEEF"/>
            <w:vAlign w:val="center"/>
            <w:hideMark/>
          </w:tcPr>
          <w:p w14:paraId="37A3A4B8"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0.3%</w:t>
            </w:r>
          </w:p>
        </w:tc>
        <w:tc>
          <w:tcPr>
            <w:tcW w:w="463" w:type="pct"/>
            <w:tcBorders>
              <w:top w:val="nil"/>
              <w:left w:val="nil"/>
              <w:bottom w:val="single" w:sz="8" w:space="0" w:color="FFFFFF"/>
              <w:right w:val="single" w:sz="8" w:space="0" w:color="FFFFFF"/>
            </w:tcBorders>
            <w:shd w:val="clear" w:color="000000" w:fill="E7EEEF"/>
            <w:vAlign w:val="center"/>
            <w:hideMark/>
          </w:tcPr>
          <w:p w14:paraId="1BF2FF30"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E7EEEF"/>
            <w:vAlign w:val="center"/>
            <w:hideMark/>
          </w:tcPr>
          <w:p w14:paraId="54348DD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0.4%</w:t>
            </w:r>
          </w:p>
        </w:tc>
        <w:tc>
          <w:tcPr>
            <w:tcW w:w="463" w:type="pct"/>
            <w:tcBorders>
              <w:top w:val="nil"/>
              <w:left w:val="nil"/>
              <w:bottom w:val="single" w:sz="8" w:space="0" w:color="FFFFFF"/>
              <w:right w:val="single" w:sz="8" w:space="0" w:color="FFFFFF"/>
            </w:tcBorders>
            <w:shd w:val="clear" w:color="000000" w:fill="E7EEEF"/>
            <w:vAlign w:val="center"/>
            <w:hideMark/>
          </w:tcPr>
          <w:p w14:paraId="7F32037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r>
      <w:tr w:rsidR="005476D9" w:rsidRPr="00B212E7" w14:paraId="6A4C95AD"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07CD7331"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North East</w:t>
            </w:r>
          </w:p>
        </w:tc>
        <w:tc>
          <w:tcPr>
            <w:tcW w:w="463" w:type="pct"/>
            <w:tcBorders>
              <w:top w:val="nil"/>
              <w:left w:val="nil"/>
              <w:bottom w:val="single" w:sz="8" w:space="0" w:color="FFFFFF"/>
              <w:right w:val="single" w:sz="8" w:space="0" w:color="FFFFFF"/>
            </w:tcBorders>
            <w:shd w:val="clear" w:color="000000" w:fill="D0CECE"/>
            <w:vAlign w:val="center"/>
            <w:hideMark/>
          </w:tcPr>
          <w:p w14:paraId="6FC8E0E3"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4.4%</w:t>
            </w:r>
          </w:p>
        </w:tc>
        <w:tc>
          <w:tcPr>
            <w:tcW w:w="463" w:type="pct"/>
            <w:tcBorders>
              <w:top w:val="nil"/>
              <w:left w:val="nil"/>
              <w:bottom w:val="single" w:sz="8" w:space="0" w:color="FFFFFF"/>
              <w:right w:val="single" w:sz="8" w:space="0" w:color="FFFFFF"/>
            </w:tcBorders>
            <w:shd w:val="clear" w:color="000000" w:fill="D0CECE"/>
            <w:vAlign w:val="center"/>
            <w:hideMark/>
          </w:tcPr>
          <w:p w14:paraId="08684640"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3.0%</w:t>
            </w:r>
          </w:p>
        </w:tc>
        <w:tc>
          <w:tcPr>
            <w:tcW w:w="463" w:type="pct"/>
            <w:tcBorders>
              <w:top w:val="nil"/>
              <w:left w:val="nil"/>
              <w:bottom w:val="single" w:sz="8" w:space="0" w:color="FFFFFF"/>
              <w:right w:val="single" w:sz="8" w:space="0" w:color="FFFFFF"/>
            </w:tcBorders>
            <w:shd w:val="clear" w:color="000000" w:fill="D0CECE"/>
            <w:vAlign w:val="center"/>
            <w:hideMark/>
          </w:tcPr>
          <w:p w14:paraId="235BBA60"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2.3%</w:t>
            </w:r>
          </w:p>
        </w:tc>
        <w:tc>
          <w:tcPr>
            <w:tcW w:w="463" w:type="pct"/>
            <w:tcBorders>
              <w:top w:val="nil"/>
              <w:left w:val="nil"/>
              <w:bottom w:val="single" w:sz="8" w:space="0" w:color="FFFFFF"/>
              <w:right w:val="single" w:sz="8" w:space="0" w:color="FFFFFF"/>
            </w:tcBorders>
            <w:shd w:val="clear" w:color="000000" w:fill="D0CECE"/>
            <w:vAlign w:val="center"/>
            <w:hideMark/>
          </w:tcPr>
          <w:p w14:paraId="1109C66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1.4%</w:t>
            </w:r>
          </w:p>
        </w:tc>
        <w:tc>
          <w:tcPr>
            <w:tcW w:w="463" w:type="pct"/>
            <w:tcBorders>
              <w:top w:val="nil"/>
              <w:left w:val="nil"/>
              <w:bottom w:val="single" w:sz="8" w:space="0" w:color="FFFFFF"/>
              <w:right w:val="single" w:sz="8" w:space="0" w:color="FFFFFF"/>
            </w:tcBorders>
            <w:shd w:val="clear" w:color="000000" w:fill="D0CECE"/>
            <w:vAlign w:val="center"/>
            <w:hideMark/>
          </w:tcPr>
          <w:p w14:paraId="3F0D028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1.0%</w:t>
            </w:r>
          </w:p>
        </w:tc>
        <w:tc>
          <w:tcPr>
            <w:tcW w:w="463" w:type="pct"/>
            <w:tcBorders>
              <w:top w:val="nil"/>
              <w:left w:val="nil"/>
              <w:bottom w:val="single" w:sz="8" w:space="0" w:color="FFFFFF"/>
              <w:right w:val="single" w:sz="8" w:space="0" w:color="FFFFFF"/>
            </w:tcBorders>
            <w:shd w:val="clear" w:color="000000" w:fill="D0CECE"/>
            <w:vAlign w:val="center"/>
            <w:hideMark/>
          </w:tcPr>
          <w:p w14:paraId="71260BB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0.8%</w:t>
            </w:r>
          </w:p>
        </w:tc>
        <w:tc>
          <w:tcPr>
            <w:tcW w:w="463" w:type="pct"/>
            <w:tcBorders>
              <w:top w:val="nil"/>
              <w:left w:val="nil"/>
              <w:bottom w:val="single" w:sz="8" w:space="0" w:color="FFFFFF"/>
              <w:right w:val="single" w:sz="8" w:space="0" w:color="FFFFFF"/>
            </w:tcBorders>
            <w:shd w:val="clear" w:color="000000" w:fill="D0CECE"/>
            <w:vAlign w:val="center"/>
            <w:hideMark/>
          </w:tcPr>
          <w:p w14:paraId="5B9B76A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0.8%</w:t>
            </w:r>
          </w:p>
        </w:tc>
        <w:tc>
          <w:tcPr>
            <w:tcW w:w="463" w:type="pct"/>
            <w:tcBorders>
              <w:top w:val="nil"/>
              <w:left w:val="nil"/>
              <w:bottom w:val="single" w:sz="8" w:space="0" w:color="FFFFFF"/>
              <w:right w:val="single" w:sz="8" w:space="0" w:color="FFFFFF"/>
            </w:tcBorders>
            <w:shd w:val="clear" w:color="000000" w:fill="D0CECE"/>
            <w:vAlign w:val="center"/>
            <w:hideMark/>
          </w:tcPr>
          <w:p w14:paraId="7624513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0.6%</w:t>
            </w:r>
          </w:p>
        </w:tc>
      </w:tr>
      <w:tr w:rsidR="005476D9" w:rsidRPr="00B212E7" w14:paraId="06EA555B"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171700DE"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North West</w:t>
            </w:r>
          </w:p>
        </w:tc>
        <w:tc>
          <w:tcPr>
            <w:tcW w:w="463" w:type="pct"/>
            <w:tcBorders>
              <w:top w:val="nil"/>
              <w:left w:val="nil"/>
              <w:bottom w:val="single" w:sz="8" w:space="0" w:color="FFFFFF"/>
              <w:right w:val="single" w:sz="8" w:space="0" w:color="FFFFFF"/>
            </w:tcBorders>
            <w:shd w:val="clear" w:color="000000" w:fill="E7EEEF"/>
            <w:vAlign w:val="center"/>
            <w:hideMark/>
          </w:tcPr>
          <w:p w14:paraId="6888F12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26.5%</w:t>
            </w:r>
          </w:p>
        </w:tc>
        <w:tc>
          <w:tcPr>
            <w:tcW w:w="463" w:type="pct"/>
            <w:tcBorders>
              <w:top w:val="nil"/>
              <w:left w:val="nil"/>
              <w:bottom w:val="single" w:sz="8" w:space="0" w:color="FFFFFF"/>
              <w:right w:val="single" w:sz="8" w:space="0" w:color="FFFFFF"/>
            </w:tcBorders>
            <w:shd w:val="clear" w:color="000000" w:fill="E7EEEF"/>
            <w:vAlign w:val="center"/>
            <w:hideMark/>
          </w:tcPr>
          <w:p w14:paraId="6898615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26.0%</w:t>
            </w:r>
          </w:p>
        </w:tc>
        <w:tc>
          <w:tcPr>
            <w:tcW w:w="463" w:type="pct"/>
            <w:tcBorders>
              <w:top w:val="nil"/>
              <w:left w:val="nil"/>
              <w:bottom w:val="single" w:sz="8" w:space="0" w:color="FFFFFF"/>
              <w:right w:val="single" w:sz="8" w:space="0" w:color="FFFFFF"/>
            </w:tcBorders>
            <w:shd w:val="clear" w:color="000000" w:fill="E7EEEF"/>
            <w:vAlign w:val="center"/>
            <w:hideMark/>
          </w:tcPr>
          <w:p w14:paraId="38DA862B"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28.0%</w:t>
            </w:r>
          </w:p>
        </w:tc>
        <w:tc>
          <w:tcPr>
            <w:tcW w:w="463" w:type="pct"/>
            <w:tcBorders>
              <w:top w:val="nil"/>
              <w:left w:val="nil"/>
              <w:bottom w:val="single" w:sz="8" w:space="0" w:color="FFFFFF"/>
              <w:right w:val="single" w:sz="8" w:space="0" w:color="FFFFFF"/>
            </w:tcBorders>
            <w:shd w:val="clear" w:color="000000" w:fill="E7EEEF"/>
            <w:vAlign w:val="center"/>
            <w:hideMark/>
          </w:tcPr>
          <w:p w14:paraId="3259F15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27.5%</w:t>
            </w:r>
          </w:p>
        </w:tc>
        <w:tc>
          <w:tcPr>
            <w:tcW w:w="463" w:type="pct"/>
            <w:tcBorders>
              <w:top w:val="nil"/>
              <w:left w:val="nil"/>
              <w:bottom w:val="single" w:sz="8" w:space="0" w:color="FFFFFF"/>
              <w:right w:val="single" w:sz="8" w:space="0" w:color="FFFFFF"/>
            </w:tcBorders>
            <w:shd w:val="clear" w:color="000000" w:fill="E7EEEF"/>
            <w:vAlign w:val="center"/>
            <w:hideMark/>
          </w:tcPr>
          <w:p w14:paraId="3F8D838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30.6%</w:t>
            </w:r>
          </w:p>
        </w:tc>
        <w:tc>
          <w:tcPr>
            <w:tcW w:w="463" w:type="pct"/>
            <w:tcBorders>
              <w:top w:val="nil"/>
              <w:left w:val="nil"/>
              <w:bottom w:val="single" w:sz="8" w:space="0" w:color="FFFFFF"/>
              <w:right w:val="single" w:sz="8" w:space="0" w:color="FFFFFF"/>
            </w:tcBorders>
            <w:shd w:val="clear" w:color="000000" w:fill="E7EEEF"/>
            <w:vAlign w:val="center"/>
            <w:hideMark/>
          </w:tcPr>
          <w:p w14:paraId="32FADC5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37.9%</w:t>
            </w:r>
          </w:p>
        </w:tc>
        <w:tc>
          <w:tcPr>
            <w:tcW w:w="463" w:type="pct"/>
            <w:tcBorders>
              <w:top w:val="nil"/>
              <w:left w:val="nil"/>
              <w:bottom w:val="single" w:sz="8" w:space="0" w:color="FFFFFF"/>
              <w:right w:val="single" w:sz="8" w:space="0" w:color="FFFFFF"/>
            </w:tcBorders>
            <w:shd w:val="clear" w:color="000000" w:fill="E7EEEF"/>
            <w:vAlign w:val="center"/>
            <w:hideMark/>
          </w:tcPr>
          <w:p w14:paraId="5CE3750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35.3%</w:t>
            </w:r>
          </w:p>
        </w:tc>
        <w:tc>
          <w:tcPr>
            <w:tcW w:w="463" w:type="pct"/>
            <w:tcBorders>
              <w:top w:val="nil"/>
              <w:left w:val="nil"/>
              <w:bottom w:val="single" w:sz="8" w:space="0" w:color="FFFFFF"/>
              <w:right w:val="single" w:sz="8" w:space="0" w:color="FFFFFF"/>
            </w:tcBorders>
            <w:shd w:val="clear" w:color="000000" w:fill="E7EEEF"/>
            <w:vAlign w:val="center"/>
            <w:hideMark/>
          </w:tcPr>
          <w:p w14:paraId="1D0C962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36.4%</w:t>
            </w:r>
          </w:p>
        </w:tc>
      </w:tr>
      <w:tr w:rsidR="005476D9" w:rsidRPr="00B212E7" w14:paraId="784C0CB3"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66D93416"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South East</w:t>
            </w:r>
          </w:p>
        </w:tc>
        <w:tc>
          <w:tcPr>
            <w:tcW w:w="463" w:type="pct"/>
            <w:tcBorders>
              <w:top w:val="nil"/>
              <w:left w:val="nil"/>
              <w:bottom w:val="single" w:sz="8" w:space="0" w:color="FFFFFF"/>
              <w:right w:val="single" w:sz="8" w:space="0" w:color="FFFFFF"/>
            </w:tcBorders>
            <w:shd w:val="clear" w:color="000000" w:fill="D0CECE"/>
            <w:vAlign w:val="center"/>
            <w:hideMark/>
          </w:tcPr>
          <w:p w14:paraId="35B01A6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11.0%</w:t>
            </w:r>
          </w:p>
        </w:tc>
        <w:tc>
          <w:tcPr>
            <w:tcW w:w="463" w:type="pct"/>
            <w:tcBorders>
              <w:top w:val="nil"/>
              <w:left w:val="nil"/>
              <w:bottom w:val="single" w:sz="8" w:space="0" w:color="FFFFFF"/>
              <w:right w:val="single" w:sz="8" w:space="0" w:color="FFFFFF"/>
            </w:tcBorders>
            <w:shd w:val="clear" w:color="000000" w:fill="D0CECE"/>
            <w:vAlign w:val="center"/>
            <w:hideMark/>
          </w:tcPr>
          <w:p w14:paraId="3FF14578"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8.7%</w:t>
            </w:r>
          </w:p>
        </w:tc>
        <w:tc>
          <w:tcPr>
            <w:tcW w:w="463" w:type="pct"/>
            <w:tcBorders>
              <w:top w:val="nil"/>
              <w:left w:val="nil"/>
              <w:bottom w:val="single" w:sz="8" w:space="0" w:color="FFFFFF"/>
              <w:right w:val="single" w:sz="8" w:space="0" w:color="FFFFFF"/>
            </w:tcBorders>
            <w:shd w:val="clear" w:color="000000" w:fill="D0CECE"/>
            <w:vAlign w:val="center"/>
            <w:hideMark/>
          </w:tcPr>
          <w:p w14:paraId="2602EFF3"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10.5%</w:t>
            </w:r>
          </w:p>
        </w:tc>
        <w:tc>
          <w:tcPr>
            <w:tcW w:w="463" w:type="pct"/>
            <w:tcBorders>
              <w:top w:val="nil"/>
              <w:left w:val="nil"/>
              <w:bottom w:val="single" w:sz="8" w:space="0" w:color="FFFFFF"/>
              <w:right w:val="single" w:sz="8" w:space="0" w:color="FFFFFF"/>
            </w:tcBorders>
            <w:shd w:val="clear" w:color="000000" w:fill="D0CECE"/>
            <w:vAlign w:val="center"/>
            <w:hideMark/>
          </w:tcPr>
          <w:p w14:paraId="59BC119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8.0%</w:t>
            </w:r>
          </w:p>
        </w:tc>
        <w:tc>
          <w:tcPr>
            <w:tcW w:w="463" w:type="pct"/>
            <w:tcBorders>
              <w:top w:val="nil"/>
              <w:left w:val="nil"/>
              <w:bottom w:val="single" w:sz="8" w:space="0" w:color="FFFFFF"/>
              <w:right w:val="single" w:sz="8" w:space="0" w:color="FFFFFF"/>
            </w:tcBorders>
            <w:shd w:val="clear" w:color="000000" w:fill="D0CECE"/>
            <w:vAlign w:val="center"/>
            <w:hideMark/>
          </w:tcPr>
          <w:p w14:paraId="1EFAF52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3.9%</w:t>
            </w:r>
          </w:p>
        </w:tc>
        <w:tc>
          <w:tcPr>
            <w:tcW w:w="463" w:type="pct"/>
            <w:tcBorders>
              <w:top w:val="nil"/>
              <w:left w:val="nil"/>
              <w:bottom w:val="single" w:sz="8" w:space="0" w:color="FFFFFF"/>
              <w:right w:val="single" w:sz="8" w:space="0" w:color="FFFFFF"/>
            </w:tcBorders>
            <w:shd w:val="clear" w:color="000000" w:fill="D0CECE"/>
            <w:vAlign w:val="center"/>
            <w:hideMark/>
          </w:tcPr>
          <w:p w14:paraId="1C9B3D8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2.9%</w:t>
            </w:r>
          </w:p>
        </w:tc>
        <w:tc>
          <w:tcPr>
            <w:tcW w:w="463" w:type="pct"/>
            <w:tcBorders>
              <w:top w:val="nil"/>
              <w:left w:val="nil"/>
              <w:bottom w:val="single" w:sz="8" w:space="0" w:color="FFFFFF"/>
              <w:right w:val="single" w:sz="8" w:space="0" w:color="FFFFFF"/>
            </w:tcBorders>
            <w:shd w:val="clear" w:color="000000" w:fill="D0CECE"/>
            <w:vAlign w:val="center"/>
            <w:hideMark/>
          </w:tcPr>
          <w:p w14:paraId="0A93F02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2.0%</w:t>
            </w:r>
          </w:p>
        </w:tc>
        <w:tc>
          <w:tcPr>
            <w:tcW w:w="463" w:type="pct"/>
            <w:tcBorders>
              <w:top w:val="nil"/>
              <w:left w:val="nil"/>
              <w:bottom w:val="single" w:sz="8" w:space="0" w:color="FFFFFF"/>
              <w:right w:val="single" w:sz="8" w:space="0" w:color="FFFFFF"/>
            </w:tcBorders>
            <w:shd w:val="clear" w:color="000000" w:fill="D0CECE"/>
            <w:vAlign w:val="center"/>
            <w:hideMark/>
          </w:tcPr>
          <w:p w14:paraId="6871FEE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1.1%</w:t>
            </w:r>
          </w:p>
        </w:tc>
      </w:tr>
      <w:tr w:rsidR="005476D9" w:rsidRPr="00B212E7" w14:paraId="1CFC1A27"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18901EC0"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South West</w:t>
            </w:r>
          </w:p>
        </w:tc>
        <w:tc>
          <w:tcPr>
            <w:tcW w:w="463" w:type="pct"/>
            <w:tcBorders>
              <w:top w:val="nil"/>
              <w:left w:val="nil"/>
              <w:bottom w:val="single" w:sz="8" w:space="0" w:color="FFFFFF"/>
              <w:right w:val="single" w:sz="8" w:space="0" w:color="FFFFFF"/>
            </w:tcBorders>
            <w:shd w:val="clear" w:color="000000" w:fill="E7EEEF"/>
            <w:vAlign w:val="center"/>
            <w:hideMark/>
          </w:tcPr>
          <w:p w14:paraId="6BF858A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22.0%</w:t>
            </w:r>
          </w:p>
        </w:tc>
        <w:tc>
          <w:tcPr>
            <w:tcW w:w="463" w:type="pct"/>
            <w:tcBorders>
              <w:top w:val="nil"/>
              <w:left w:val="nil"/>
              <w:bottom w:val="single" w:sz="8" w:space="0" w:color="FFFFFF"/>
              <w:right w:val="single" w:sz="8" w:space="0" w:color="FFFFFF"/>
            </w:tcBorders>
            <w:shd w:val="clear" w:color="000000" w:fill="E7EEEF"/>
            <w:vAlign w:val="center"/>
            <w:hideMark/>
          </w:tcPr>
          <w:p w14:paraId="316D1120"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26.0%</w:t>
            </w:r>
          </w:p>
        </w:tc>
        <w:tc>
          <w:tcPr>
            <w:tcW w:w="463" w:type="pct"/>
            <w:tcBorders>
              <w:top w:val="nil"/>
              <w:left w:val="nil"/>
              <w:bottom w:val="single" w:sz="8" w:space="0" w:color="FFFFFF"/>
              <w:right w:val="single" w:sz="8" w:space="0" w:color="FFFFFF"/>
            </w:tcBorders>
            <w:shd w:val="clear" w:color="000000" w:fill="E7EEEF"/>
            <w:vAlign w:val="center"/>
            <w:hideMark/>
          </w:tcPr>
          <w:p w14:paraId="4036BD2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23.3%</w:t>
            </w:r>
          </w:p>
        </w:tc>
        <w:tc>
          <w:tcPr>
            <w:tcW w:w="463" w:type="pct"/>
            <w:tcBorders>
              <w:top w:val="nil"/>
              <w:left w:val="nil"/>
              <w:bottom w:val="single" w:sz="8" w:space="0" w:color="FFFFFF"/>
              <w:right w:val="single" w:sz="8" w:space="0" w:color="FFFFFF"/>
            </w:tcBorders>
            <w:shd w:val="clear" w:color="000000" w:fill="E7EEEF"/>
            <w:vAlign w:val="center"/>
            <w:hideMark/>
          </w:tcPr>
          <w:p w14:paraId="0F0495A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27.5%</w:t>
            </w:r>
          </w:p>
        </w:tc>
        <w:tc>
          <w:tcPr>
            <w:tcW w:w="463" w:type="pct"/>
            <w:tcBorders>
              <w:top w:val="nil"/>
              <w:left w:val="nil"/>
              <w:bottom w:val="single" w:sz="8" w:space="0" w:color="FFFFFF"/>
              <w:right w:val="single" w:sz="8" w:space="0" w:color="FFFFFF"/>
            </w:tcBorders>
            <w:shd w:val="clear" w:color="000000" w:fill="E7EEEF"/>
            <w:vAlign w:val="center"/>
            <w:hideMark/>
          </w:tcPr>
          <w:p w14:paraId="3DED2E5C"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26.2%</w:t>
            </w:r>
          </w:p>
        </w:tc>
        <w:tc>
          <w:tcPr>
            <w:tcW w:w="463" w:type="pct"/>
            <w:tcBorders>
              <w:top w:val="nil"/>
              <w:left w:val="nil"/>
              <w:bottom w:val="single" w:sz="8" w:space="0" w:color="FFFFFF"/>
              <w:right w:val="single" w:sz="8" w:space="0" w:color="FFFFFF"/>
            </w:tcBorders>
            <w:shd w:val="clear" w:color="000000" w:fill="E7EEEF"/>
            <w:vAlign w:val="center"/>
            <w:hideMark/>
          </w:tcPr>
          <w:p w14:paraId="4F18565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25.3%</w:t>
            </w:r>
          </w:p>
        </w:tc>
        <w:tc>
          <w:tcPr>
            <w:tcW w:w="463" w:type="pct"/>
            <w:tcBorders>
              <w:top w:val="nil"/>
              <w:left w:val="nil"/>
              <w:bottom w:val="single" w:sz="8" w:space="0" w:color="FFFFFF"/>
              <w:right w:val="single" w:sz="8" w:space="0" w:color="FFFFFF"/>
            </w:tcBorders>
            <w:shd w:val="clear" w:color="000000" w:fill="E7EEEF"/>
            <w:vAlign w:val="center"/>
            <w:hideMark/>
          </w:tcPr>
          <w:p w14:paraId="73B5160D"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26.5%</w:t>
            </w:r>
          </w:p>
        </w:tc>
        <w:tc>
          <w:tcPr>
            <w:tcW w:w="463" w:type="pct"/>
            <w:tcBorders>
              <w:top w:val="nil"/>
              <w:left w:val="nil"/>
              <w:bottom w:val="single" w:sz="8" w:space="0" w:color="FFFFFF"/>
              <w:right w:val="single" w:sz="8" w:space="0" w:color="FFFFFF"/>
            </w:tcBorders>
            <w:shd w:val="clear" w:color="000000" w:fill="E7EEEF"/>
            <w:vAlign w:val="center"/>
            <w:hideMark/>
          </w:tcPr>
          <w:p w14:paraId="051BF7B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27.3%</w:t>
            </w:r>
          </w:p>
        </w:tc>
      </w:tr>
      <w:tr w:rsidR="005476D9" w:rsidRPr="00B212E7" w14:paraId="544DA65C"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0E8413C0"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West Midlands</w:t>
            </w:r>
          </w:p>
        </w:tc>
        <w:tc>
          <w:tcPr>
            <w:tcW w:w="463" w:type="pct"/>
            <w:tcBorders>
              <w:top w:val="nil"/>
              <w:left w:val="nil"/>
              <w:bottom w:val="single" w:sz="8" w:space="0" w:color="FFFFFF"/>
              <w:right w:val="single" w:sz="8" w:space="0" w:color="FFFFFF"/>
            </w:tcBorders>
            <w:shd w:val="clear" w:color="000000" w:fill="D0CECE"/>
            <w:vAlign w:val="center"/>
            <w:hideMark/>
          </w:tcPr>
          <w:p w14:paraId="7BF66E7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D0CECE"/>
            <w:vAlign w:val="center"/>
            <w:hideMark/>
          </w:tcPr>
          <w:p w14:paraId="37F88A2C"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0.4%</w:t>
            </w:r>
          </w:p>
        </w:tc>
        <w:tc>
          <w:tcPr>
            <w:tcW w:w="463" w:type="pct"/>
            <w:tcBorders>
              <w:top w:val="nil"/>
              <w:left w:val="nil"/>
              <w:bottom w:val="single" w:sz="8" w:space="0" w:color="FFFFFF"/>
              <w:right w:val="single" w:sz="8" w:space="0" w:color="FFFFFF"/>
            </w:tcBorders>
            <w:shd w:val="clear" w:color="000000" w:fill="D0CECE"/>
            <w:vAlign w:val="center"/>
            <w:hideMark/>
          </w:tcPr>
          <w:p w14:paraId="54D983A3"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D0CECE"/>
            <w:vAlign w:val="center"/>
            <w:hideMark/>
          </w:tcPr>
          <w:p w14:paraId="379BF34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D0CECE"/>
            <w:vAlign w:val="center"/>
            <w:hideMark/>
          </w:tcPr>
          <w:p w14:paraId="74D00C28"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D0CECE"/>
            <w:vAlign w:val="center"/>
            <w:hideMark/>
          </w:tcPr>
          <w:p w14:paraId="6C6F4AEC"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D0CECE"/>
            <w:vAlign w:val="center"/>
            <w:hideMark/>
          </w:tcPr>
          <w:p w14:paraId="049A2B43"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D0CECE"/>
            <w:vAlign w:val="center"/>
            <w:hideMark/>
          </w:tcPr>
          <w:p w14:paraId="297A4FA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r>
      <w:tr w:rsidR="005476D9" w:rsidRPr="00B212E7" w14:paraId="5CDAB7BE" w14:textId="77777777" w:rsidTr="005476D9">
        <w:trPr>
          <w:trHeight w:val="158"/>
        </w:trPr>
        <w:tc>
          <w:tcPr>
            <w:tcW w:w="1296" w:type="pct"/>
            <w:tcBorders>
              <w:top w:val="single" w:sz="8" w:space="0" w:color="FFFFFF"/>
              <w:left w:val="nil"/>
              <w:bottom w:val="single" w:sz="12" w:space="0" w:color="FFFFFF"/>
              <w:right w:val="single" w:sz="8" w:space="0" w:color="FFFFFF"/>
            </w:tcBorders>
            <w:shd w:val="clear" w:color="000000" w:fill="008C9B"/>
            <w:vAlign w:val="center"/>
            <w:hideMark/>
          </w:tcPr>
          <w:p w14:paraId="41F3ED37"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Yorkshire and the Humber</w:t>
            </w:r>
          </w:p>
        </w:tc>
        <w:tc>
          <w:tcPr>
            <w:tcW w:w="463" w:type="pct"/>
            <w:tcBorders>
              <w:top w:val="nil"/>
              <w:left w:val="nil"/>
              <w:bottom w:val="single" w:sz="8" w:space="0" w:color="FFFFFF"/>
              <w:right w:val="single" w:sz="8" w:space="0" w:color="FFFFFF"/>
            </w:tcBorders>
            <w:shd w:val="clear" w:color="000000" w:fill="E7EEEF"/>
            <w:vAlign w:val="center"/>
            <w:hideMark/>
          </w:tcPr>
          <w:p w14:paraId="45E02FF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E7EEEF"/>
            <w:vAlign w:val="center"/>
            <w:hideMark/>
          </w:tcPr>
          <w:p w14:paraId="449E1B6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2.6%</w:t>
            </w:r>
          </w:p>
        </w:tc>
        <w:tc>
          <w:tcPr>
            <w:tcW w:w="463" w:type="pct"/>
            <w:tcBorders>
              <w:top w:val="nil"/>
              <w:left w:val="nil"/>
              <w:bottom w:val="single" w:sz="8" w:space="0" w:color="FFFFFF"/>
              <w:right w:val="single" w:sz="8" w:space="0" w:color="FFFFFF"/>
            </w:tcBorders>
            <w:shd w:val="clear" w:color="000000" w:fill="E7EEEF"/>
            <w:vAlign w:val="center"/>
            <w:hideMark/>
          </w:tcPr>
          <w:p w14:paraId="008D5EF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E7EEEF"/>
            <w:vAlign w:val="center"/>
            <w:hideMark/>
          </w:tcPr>
          <w:p w14:paraId="4A80CD7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E7EEEF"/>
            <w:vAlign w:val="center"/>
            <w:hideMark/>
          </w:tcPr>
          <w:p w14:paraId="4A57671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E7EEEF"/>
            <w:vAlign w:val="center"/>
            <w:hideMark/>
          </w:tcPr>
          <w:p w14:paraId="161A8AE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0.4%</w:t>
            </w:r>
          </w:p>
        </w:tc>
        <w:tc>
          <w:tcPr>
            <w:tcW w:w="463" w:type="pct"/>
            <w:tcBorders>
              <w:top w:val="nil"/>
              <w:left w:val="nil"/>
              <w:bottom w:val="single" w:sz="8" w:space="0" w:color="FFFFFF"/>
              <w:right w:val="single" w:sz="8" w:space="0" w:color="FFFFFF"/>
            </w:tcBorders>
            <w:shd w:val="clear" w:color="000000" w:fill="E7EEEF"/>
            <w:vAlign w:val="center"/>
            <w:hideMark/>
          </w:tcPr>
          <w:p w14:paraId="134FF74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E7EEEF"/>
            <w:vAlign w:val="center"/>
            <w:hideMark/>
          </w:tcPr>
          <w:p w14:paraId="7DCDD7B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0.5%</w:t>
            </w:r>
          </w:p>
        </w:tc>
      </w:tr>
    </w:tbl>
    <w:p w14:paraId="259558D0" w14:textId="77777777" w:rsidR="001847E3" w:rsidRDefault="001847E3" w:rsidP="005476D9">
      <w:pPr>
        <w:keepNext/>
        <w:keepLines/>
        <w:spacing w:before="60" w:after="120"/>
        <w:ind w:left="5760" w:firstLine="720"/>
        <w:jc w:val="right"/>
        <w:rPr>
          <w:i/>
          <w:color w:val="000000" w:themeColor="text1"/>
          <w:sz w:val="18"/>
        </w:rPr>
      </w:pPr>
      <w:r w:rsidRPr="00BB097C">
        <w:rPr>
          <w:i/>
          <w:color w:val="000000" w:themeColor="text1"/>
          <w:sz w:val="18"/>
        </w:rPr>
        <w:t>Source:</w:t>
      </w:r>
      <w:r>
        <w:rPr>
          <w:i/>
          <w:color w:val="000000" w:themeColor="text1"/>
          <w:sz w:val="18"/>
        </w:rPr>
        <w:t xml:space="preserve"> ONS</w:t>
      </w:r>
      <w:r w:rsidRPr="00BB097C">
        <w:rPr>
          <w:i/>
          <w:color w:val="000000" w:themeColor="text1"/>
          <w:sz w:val="18"/>
        </w:rPr>
        <w:t>, Cebr analysis</w:t>
      </w:r>
    </w:p>
    <w:p w14:paraId="4A25C928" w14:textId="7DD844AE" w:rsidR="00097798" w:rsidRDefault="00916D86" w:rsidP="00916D86">
      <w:pPr>
        <w:pStyle w:val="Caption"/>
      </w:pPr>
      <w:bookmarkStart w:id="58" w:name="_Ref16685248"/>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8</w:t>
      </w:r>
      <w:r w:rsidR="00BF1DE1">
        <w:rPr>
          <w:noProof/>
        </w:rPr>
        <w:fldChar w:fldCharType="end"/>
      </w:r>
      <w:bookmarkEnd w:id="58"/>
      <w:r w:rsidR="00097798">
        <w:t>: The breakdown of UK employment in Marine Offshore Oil and Gas activities as impli</w:t>
      </w:r>
      <w:r w:rsidR="00B212E7">
        <w:t>ed by BRES and ABS, 2010 to 2017</w:t>
      </w:r>
    </w:p>
    <w:tbl>
      <w:tblPr>
        <w:tblW w:w="4962" w:type="pct"/>
        <w:tblLook w:val="04A0" w:firstRow="1" w:lastRow="0" w:firstColumn="1" w:lastColumn="0" w:noHBand="0" w:noVBand="1"/>
      </w:tblPr>
      <w:tblGrid>
        <w:gridCol w:w="2475"/>
        <w:gridCol w:w="885"/>
        <w:gridCol w:w="885"/>
        <w:gridCol w:w="885"/>
        <w:gridCol w:w="885"/>
        <w:gridCol w:w="885"/>
        <w:gridCol w:w="885"/>
        <w:gridCol w:w="885"/>
        <w:gridCol w:w="885"/>
      </w:tblGrid>
      <w:tr w:rsidR="00B212E7" w:rsidRPr="00B212E7" w14:paraId="63D0D6CC" w14:textId="77777777" w:rsidTr="005476D9">
        <w:trPr>
          <w:trHeight w:val="307"/>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56B918B1" w14:textId="77777777" w:rsidR="00B212E7" w:rsidRPr="00B212E7" w:rsidRDefault="00B212E7" w:rsidP="00B212E7">
            <w:pPr>
              <w:spacing w:after="0"/>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Oil &amp; Gas Employment</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15F52AE0"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2010</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797A8E6A"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2011</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6DB67DCE"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2012</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0D052713"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2013</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19B8B249"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2014</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5D9C5EB4"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2015</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52EA0478"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2016</w:t>
            </w:r>
          </w:p>
        </w:tc>
        <w:tc>
          <w:tcPr>
            <w:tcW w:w="463" w:type="pct"/>
            <w:tcBorders>
              <w:top w:val="single" w:sz="8" w:space="0" w:color="FFFFFF"/>
              <w:left w:val="nil"/>
              <w:bottom w:val="single" w:sz="12" w:space="0" w:color="FFFFFF"/>
              <w:right w:val="single" w:sz="8" w:space="0" w:color="FFFFFF"/>
            </w:tcBorders>
            <w:shd w:val="clear" w:color="000000" w:fill="008C9B"/>
            <w:vAlign w:val="center"/>
            <w:hideMark/>
          </w:tcPr>
          <w:p w14:paraId="76BA4AB4" w14:textId="77777777" w:rsidR="00B212E7" w:rsidRPr="00B212E7" w:rsidRDefault="00B212E7" w:rsidP="00B212E7">
            <w:pPr>
              <w:spacing w:after="0"/>
              <w:jc w:val="center"/>
              <w:rPr>
                <w:rFonts w:ascii="Calibri" w:eastAsia="Times New Roman" w:hAnsi="Calibri"/>
                <w:b/>
                <w:bCs/>
                <w:color w:val="FFFFFF"/>
                <w:sz w:val="20"/>
                <w:lang w:eastAsia="en-GB"/>
              </w:rPr>
            </w:pPr>
            <w:r w:rsidRPr="00B212E7">
              <w:rPr>
                <w:rFonts w:ascii="Calibri" w:eastAsia="Times New Roman" w:hAnsi="Calibri"/>
                <w:b/>
                <w:bCs/>
                <w:color w:val="FFFFFF"/>
                <w:sz w:val="20"/>
                <w:lang w:eastAsia="en-GB"/>
              </w:rPr>
              <w:t>2017</w:t>
            </w:r>
          </w:p>
        </w:tc>
      </w:tr>
      <w:tr w:rsidR="00B212E7" w:rsidRPr="00B212E7" w14:paraId="68405731"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5DCD303E"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England</w:t>
            </w:r>
          </w:p>
        </w:tc>
        <w:tc>
          <w:tcPr>
            <w:tcW w:w="463" w:type="pct"/>
            <w:tcBorders>
              <w:top w:val="nil"/>
              <w:left w:val="nil"/>
              <w:bottom w:val="single" w:sz="8" w:space="0" w:color="FFFFFF"/>
              <w:right w:val="single" w:sz="8" w:space="0" w:color="FFFFFF"/>
            </w:tcBorders>
            <w:shd w:val="clear" w:color="000000" w:fill="E7EEEF"/>
            <w:vAlign w:val="center"/>
            <w:hideMark/>
          </w:tcPr>
          <w:p w14:paraId="23C0961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8.1%</w:t>
            </w:r>
          </w:p>
        </w:tc>
        <w:tc>
          <w:tcPr>
            <w:tcW w:w="463" w:type="pct"/>
            <w:tcBorders>
              <w:top w:val="nil"/>
              <w:left w:val="nil"/>
              <w:bottom w:val="single" w:sz="8" w:space="0" w:color="FFFFFF"/>
              <w:right w:val="single" w:sz="8" w:space="0" w:color="FFFFFF"/>
            </w:tcBorders>
            <w:shd w:val="clear" w:color="000000" w:fill="E7EEEF"/>
            <w:vAlign w:val="center"/>
            <w:hideMark/>
          </w:tcPr>
          <w:p w14:paraId="2E4AA27C"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12.0%</w:t>
            </w:r>
          </w:p>
        </w:tc>
        <w:tc>
          <w:tcPr>
            <w:tcW w:w="463" w:type="pct"/>
            <w:tcBorders>
              <w:top w:val="nil"/>
              <w:left w:val="nil"/>
              <w:bottom w:val="single" w:sz="8" w:space="0" w:color="FFFFFF"/>
              <w:right w:val="single" w:sz="8" w:space="0" w:color="FFFFFF"/>
            </w:tcBorders>
            <w:shd w:val="clear" w:color="000000" w:fill="E7EEEF"/>
            <w:vAlign w:val="center"/>
            <w:hideMark/>
          </w:tcPr>
          <w:p w14:paraId="0048366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16.2%</w:t>
            </w:r>
          </w:p>
        </w:tc>
        <w:tc>
          <w:tcPr>
            <w:tcW w:w="463" w:type="pct"/>
            <w:tcBorders>
              <w:top w:val="nil"/>
              <w:left w:val="nil"/>
              <w:bottom w:val="single" w:sz="8" w:space="0" w:color="FFFFFF"/>
              <w:right w:val="single" w:sz="8" w:space="0" w:color="FFFFFF"/>
            </w:tcBorders>
            <w:shd w:val="clear" w:color="000000" w:fill="E7EEEF"/>
            <w:vAlign w:val="center"/>
            <w:hideMark/>
          </w:tcPr>
          <w:p w14:paraId="6D5AFE1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13.7%</w:t>
            </w:r>
          </w:p>
        </w:tc>
        <w:tc>
          <w:tcPr>
            <w:tcW w:w="463" w:type="pct"/>
            <w:tcBorders>
              <w:top w:val="nil"/>
              <w:left w:val="nil"/>
              <w:bottom w:val="single" w:sz="8" w:space="0" w:color="FFFFFF"/>
              <w:right w:val="single" w:sz="8" w:space="0" w:color="FFFFFF"/>
            </w:tcBorders>
            <w:shd w:val="clear" w:color="000000" w:fill="E7EEEF"/>
            <w:vAlign w:val="center"/>
            <w:hideMark/>
          </w:tcPr>
          <w:p w14:paraId="56D2331C"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11.1%</w:t>
            </w:r>
          </w:p>
        </w:tc>
        <w:tc>
          <w:tcPr>
            <w:tcW w:w="463" w:type="pct"/>
            <w:tcBorders>
              <w:top w:val="nil"/>
              <w:left w:val="nil"/>
              <w:bottom w:val="single" w:sz="8" w:space="0" w:color="FFFFFF"/>
              <w:right w:val="single" w:sz="8" w:space="0" w:color="FFFFFF"/>
            </w:tcBorders>
            <w:shd w:val="clear" w:color="000000" w:fill="E7EEEF"/>
            <w:vAlign w:val="center"/>
            <w:hideMark/>
          </w:tcPr>
          <w:p w14:paraId="58FFAC5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7.4%</w:t>
            </w:r>
          </w:p>
        </w:tc>
        <w:tc>
          <w:tcPr>
            <w:tcW w:w="463" w:type="pct"/>
            <w:tcBorders>
              <w:top w:val="nil"/>
              <w:left w:val="nil"/>
              <w:bottom w:val="single" w:sz="8" w:space="0" w:color="FFFFFF"/>
              <w:right w:val="single" w:sz="8" w:space="0" w:color="FFFFFF"/>
            </w:tcBorders>
            <w:shd w:val="clear" w:color="000000" w:fill="E7EEEF"/>
            <w:vAlign w:val="center"/>
            <w:hideMark/>
          </w:tcPr>
          <w:p w14:paraId="6383400C"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10.0%</w:t>
            </w:r>
          </w:p>
        </w:tc>
        <w:tc>
          <w:tcPr>
            <w:tcW w:w="463" w:type="pct"/>
            <w:tcBorders>
              <w:top w:val="nil"/>
              <w:left w:val="nil"/>
              <w:bottom w:val="single" w:sz="8" w:space="0" w:color="FFFFFF"/>
              <w:right w:val="single" w:sz="8" w:space="0" w:color="FFFFFF"/>
            </w:tcBorders>
            <w:shd w:val="clear" w:color="000000" w:fill="E7EEEF"/>
            <w:vAlign w:val="center"/>
            <w:hideMark/>
          </w:tcPr>
          <w:p w14:paraId="3D3D004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5.4%</w:t>
            </w:r>
          </w:p>
        </w:tc>
      </w:tr>
      <w:tr w:rsidR="00B212E7" w:rsidRPr="00B212E7" w14:paraId="1CE8A606"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075DE3DF"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Scotland</w:t>
            </w:r>
          </w:p>
        </w:tc>
        <w:tc>
          <w:tcPr>
            <w:tcW w:w="463" w:type="pct"/>
            <w:tcBorders>
              <w:top w:val="nil"/>
              <w:left w:val="nil"/>
              <w:bottom w:val="single" w:sz="8" w:space="0" w:color="FFFFFF"/>
              <w:right w:val="single" w:sz="8" w:space="0" w:color="FFFFFF"/>
            </w:tcBorders>
            <w:shd w:val="clear" w:color="000000" w:fill="D0CECE"/>
            <w:vAlign w:val="center"/>
            <w:hideMark/>
          </w:tcPr>
          <w:p w14:paraId="37FB992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91.4%</w:t>
            </w:r>
          </w:p>
        </w:tc>
        <w:tc>
          <w:tcPr>
            <w:tcW w:w="463" w:type="pct"/>
            <w:tcBorders>
              <w:top w:val="nil"/>
              <w:left w:val="nil"/>
              <w:bottom w:val="single" w:sz="8" w:space="0" w:color="FFFFFF"/>
              <w:right w:val="single" w:sz="8" w:space="0" w:color="FFFFFF"/>
            </w:tcBorders>
            <w:shd w:val="clear" w:color="000000" w:fill="D0CECE"/>
            <w:vAlign w:val="center"/>
            <w:hideMark/>
          </w:tcPr>
          <w:p w14:paraId="4A2F87B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87.5%</w:t>
            </w:r>
          </w:p>
        </w:tc>
        <w:tc>
          <w:tcPr>
            <w:tcW w:w="463" w:type="pct"/>
            <w:tcBorders>
              <w:top w:val="nil"/>
              <w:left w:val="nil"/>
              <w:bottom w:val="single" w:sz="8" w:space="0" w:color="FFFFFF"/>
              <w:right w:val="single" w:sz="8" w:space="0" w:color="FFFFFF"/>
            </w:tcBorders>
            <w:shd w:val="clear" w:color="000000" w:fill="D0CECE"/>
            <w:vAlign w:val="center"/>
            <w:hideMark/>
          </w:tcPr>
          <w:p w14:paraId="1C7779A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83.4%</w:t>
            </w:r>
          </w:p>
        </w:tc>
        <w:tc>
          <w:tcPr>
            <w:tcW w:w="463" w:type="pct"/>
            <w:tcBorders>
              <w:top w:val="nil"/>
              <w:left w:val="nil"/>
              <w:bottom w:val="single" w:sz="8" w:space="0" w:color="FFFFFF"/>
              <w:right w:val="single" w:sz="8" w:space="0" w:color="FFFFFF"/>
            </w:tcBorders>
            <w:shd w:val="clear" w:color="000000" w:fill="D0CECE"/>
            <w:vAlign w:val="center"/>
            <w:hideMark/>
          </w:tcPr>
          <w:p w14:paraId="2E8328F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85.8%</w:t>
            </w:r>
          </w:p>
        </w:tc>
        <w:tc>
          <w:tcPr>
            <w:tcW w:w="463" w:type="pct"/>
            <w:tcBorders>
              <w:top w:val="nil"/>
              <w:left w:val="nil"/>
              <w:bottom w:val="single" w:sz="8" w:space="0" w:color="FFFFFF"/>
              <w:right w:val="single" w:sz="8" w:space="0" w:color="FFFFFF"/>
            </w:tcBorders>
            <w:shd w:val="clear" w:color="000000" w:fill="D0CECE"/>
            <w:vAlign w:val="center"/>
            <w:hideMark/>
          </w:tcPr>
          <w:p w14:paraId="78C7DDD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88.5%</w:t>
            </w:r>
          </w:p>
        </w:tc>
        <w:tc>
          <w:tcPr>
            <w:tcW w:w="463" w:type="pct"/>
            <w:tcBorders>
              <w:top w:val="nil"/>
              <w:left w:val="nil"/>
              <w:bottom w:val="single" w:sz="8" w:space="0" w:color="FFFFFF"/>
              <w:right w:val="single" w:sz="8" w:space="0" w:color="FFFFFF"/>
            </w:tcBorders>
            <w:shd w:val="clear" w:color="000000" w:fill="D0CECE"/>
            <w:vAlign w:val="center"/>
            <w:hideMark/>
          </w:tcPr>
          <w:p w14:paraId="2695F42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91.9%</w:t>
            </w:r>
          </w:p>
        </w:tc>
        <w:tc>
          <w:tcPr>
            <w:tcW w:w="463" w:type="pct"/>
            <w:tcBorders>
              <w:top w:val="nil"/>
              <w:left w:val="nil"/>
              <w:bottom w:val="single" w:sz="8" w:space="0" w:color="FFFFFF"/>
              <w:right w:val="single" w:sz="8" w:space="0" w:color="FFFFFF"/>
            </w:tcBorders>
            <w:shd w:val="clear" w:color="000000" w:fill="D0CECE"/>
            <w:vAlign w:val="center"/>
            <w:hideMark/>
          </w:tcPr>
          <w:p w14:paraId="61C3F918"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89.2%</w:t>
            </w:r>
          </w:p>
        </w:tc>
        <w:tc>
          <w:tcPr>
            <w:tcW w:w="463" w:type="pct"/>
            <w:tcBorders>
              <w:top w:val="nil"/>
              <w:left w:val="nil"/>
              <w:bottom w:val="single" w:sz="8" w:space="0" w:color="FFFFFF"/>
              <w:right w:val="single" w:sz="8" w:space="0" w:color="FFFFFF"/>
            </w:tcBorders>
            <w:shd w:val="clear" w:color="000000" w:fill="D0CECE"/>
            <w:vAlign w:val="center"/>
            <w:hideMark/>
          </w:tcPr>
          <w:p w14:paraId="3637FCC3"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94.3%</w:t>
            </w:r>
          </w:p>
        </w:tc>
      </w:tr>
      <w:tr w:rsidR="00B212E7" w:rsidRPr="00B212E7" w14:paraId="21A67CC1"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2435FE36"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Wales</w:t>
            </w:r>
          </w:p>
        </w:tc>
        <w:tc>
          <w:tcPr>
            <w:tcW w:w="463" w:type="pct"/>
            <w:tcBorders>
              <w:top w:val="nil"/>
              <w:left w:val="nil"/>
              <w:bottom w:val="single" w:sz="8" w:space="0" w:color="FFFFFF"/>
              <w:right w:val="single" w:sz="8" w:space="0" w:color="FFFFFF"/>
            </w:tcBorders>
            <w:shd w:val="clear" w:color="000000" w:fill="E7EEEF"/>
            <w:vAlign w:val="center"/>
            <w:hideMark/>
          </w:tcPr>
          <w:p w14:paraId="466622C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E7EEEF"/>
            <w:vAlign w:val="center"/>
            <w:hideMark/>
          </w:tcPr>
          <w:p w14:paraId="5750F8D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E7EEEF"/>
            <w:vAlign w:val="center"/>
            <w:hideMark/>
          </w:tcPr>
          <w:p w14:paraId="58684EE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0.4%</w:t>
            </w:r>
          </w:p>
        </w:tc>
        <w:tc>
          <w:tcPr>
            <w:tcW w:w="463" w:type="pct"/>
            <w:tcBorders>
              <w:top w:val="nil"/>
              <w:left w:val="nil"/>
              <w:bottom w:val="single" w:sz="8" w:space="0" w:color="FFFFFF"/>
              <w:right w:val="single" w:sz="8" w:space="0" w:color="FFFFFF"/>
            </w:tcBorders>
            <w:shd w:val="clear" w:color="000000" w:fill="E7EEEF"/>
            <w:vAlign w:val="center"/>
            <w:hideMark/>
          </w:tcPr>
          <w:p w14:paraId="34A840EC"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E7EEEF"/>
            <w:vAlign w:val="center"/>
            <w:hideMark/>
          </w:tcPr>
          <w:p w14:paraId="35CF7660"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0.4%</w:t>
            </w:r>
          </w:p>
        </w:tc>
        <w:tc>
          <w:tcPr>
            <w:tcW w:w="463" w:type="pct"/>
            <w:tcBorders>
              <w:top w:val="nil"/>
              <w:left w:val="nil"/>
              <w:bottom w:val="single" w:sz="8" w:space="0" w:color="FFFFFF"/>
              <w:right w:val="single" w:sz="8" w:space="0" w:color="FFFFFF"/>
            </w:tcBorders>
            <w:shd w:val="clear" w:color="000000" w:fill="E7EEEF"/>
            <w:vAlign w:val="center"/>
            <w:hideMark/>
          </w:tcPr>
          <w:p w14:paraId="72FD162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E7EEEF"/>
            <w:vAlign w:val="center"/>
            <w:hideMark/>
          </w:tcPr>
          <w:p w14:paraId="7247580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0.8%</w:t>
            </w:r>
          </w:p>
        </w:tc>
        <w:tc>
          <w:tcPr>
            <w:tcW w:w="463" w:type="pct"/>
            <w:tcBorders>
              <w:top w:val="nil"/>
              <w:left w:val="nil"/>
              <w:bottom w:val="single" w:sz="8" w:space="0" w:color="FFFFFF"/>
              <w:right w:val="single" w:sz="8" w:space="0" w:color="FFFFFF"/>
            </w:tcBorders>
            <w:shd w:val="clear" w:color="000000" w:fill="E7EEEF"/>
            <w:vAlign w:val="center"/>
            <w:hideMark/>
          </w:tcPr>
          <w:p w14:paraId="3609664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0.3%</w:t>
            </w:r>
          </w:p>
        </w:tc>
      </w:tr>
      <w:tr w:rsidR="00B212E7" w:rsidRPr="00B212E7" w14:paraId="1FFC3FB2"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0B0CB75B"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Northern Ireland</w:t>
            </w:r>
          </w:p>
        </w:tc>
        <w:tc>
          <w:tcPr>
            <w:tcW w:w="463" w:type="pct"/>
            <w:tcBorders>
              <w:top w:val="nil"/>
              <w:left w:val="nil"/>
              <w:bottom w:val="single" w:sz="8" w:space="0" w:color="FFFFFF"/>
              <w:right w:val="single" w:sz="8" w:space="0" w:color="FFFFFF"/>
            </w:tcBorders>
            <w:shd w:val="clear" w:color="000000" w:fill="D0CECE"/>
            <w:vAlign w:val="center"/>
            <w:hideMark/>
          </w:tcPr>
          <w:p w14:paraId="01E2DD3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D0CECE"/>
            <w:vAlign w:val="center"/>
            <w:hideMark/>
          </w:tcPr>
          <w:p w14:paraId="774DB243"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D0CECE"/>
            <w:vAlign w:val="center"/>
            <w:hideMark/>
          </w:tcPr>
          <w:p w14:paraId="7ABCBD6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D0CECE"/>
            <w:vAlign w:val="center"/>
            <w:hideMark/>
          </w:tcPr>
          <w:p w14:paraId="35BA51E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D0CECE"/>
            <w:vAlign w:val="center"/>
            <w:hideMark/>
          </w:tcPr>
          <w:p w14:paraId="47E5347B"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D0CECE"/>
            <w:vAlign w:val="center"/>
            <w:hideMark/>
          </w:tcPr>
          <w:p w14:paraId="3F1B2E8C"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D0CECE"/>
            <w:vAlign w:val="center"/>
            <w:hideMark/>
          </w:tcPr>
          <w:p w14:paraId="10D57EDD"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D0CECE"/>
            <w:vAlign w:val="center"/>
            <w:hideMark/>
          </w:tcPr>
          <w:p w14:paraId="69709B2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r>
      <w:tr w:rsidR="00B212E7" w:rsidRPr="00B212E7" w14:paraId="191096D0"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2B244910"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East of England</w:t>
            </w:r>
          </w:p>
        </w:tc>
        <w:tc>
          <w:tcPr>
            <w:tcW w:w="463" w:type="pct"/>
            <w:tcBorders>
              <w:top w:val="nil"/>
              <w:left w:val="nil"/>
              <w:bottom w:val="single" w:sz="8" w:space="0" w:color="FFFFFF"/>
              <w:right w:val="single" w:sz="8" w:space="0" w:color="FFFFFF"/>
            </w:tcBorders>
            <w:shd w:val="clear" w:color="000000" w:fill="E7EEEF"/>
            <w:vAlign w:val="center"/>
            <w:hideMark/>
          </w:tcPr>
          <w:p w14:paraId="2A13A38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1.9%</w:t>
            </w:r>
          </w:p>
        </w:tc>
        <w:tc>
          <w:tcPr>
            <w:tcW w:w="463" w:type="pct"/>
            <w:tcBorders>
              <w:top w:val="nil"/>
              <w:left w:val="nil"/>
              <w:bottom w:val="single" w:sz="8" w:space="0" w:color="FFFFFF"/>
              <w:right w:val="single" w:sz="8" w:space="0" w:color="FFFFFF"/>
            </w:tcBorders>
            <w:shd w:val="clear" w:color="000000" w:fill="E7EEEF"/>
            <w:vAlign w:val="center"/>
            <w:hideMark/>
          </w:tcPr>
          <w:p w14:paraId="4E758580"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2.2%</w:t>
            </w:r>
          </w:p>
        </w:tc>
        <w:tc>
          <w:tcPr>
            <w:tcW w:w="463" w:type="pct"/>
            <w:tcBorders>
              <w:top w:val="nil"/>
              <w:left w:val="nil"/>
              <w:bottom w:val="single" w:sz="8" w:space="0" w:color="FFFFFF"/>
              <w:right w:val="single" w:sz="8" w:space="0" w:color="FFFFFF"/>
            </w:tcBorders>
            <w:shd w:val="clear" w:color="000000" w:fill="E7EEEF"/>
            <w:vAlign w:val="center"/>
            <w:hideMark/>
          </w:tcPr>
          <w:p w14:paraId="0D8F6B53"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2.6%</w:t>
            </w:r>
          </w:p>
        </w:tc>
        <w:tc>
          <w:tcPr>
            <w:tcW w:w="463" w:type="pct"/>
            <w:tcBorders>
              <w:top w:val="nil"/>
              <w:left w:val="nil"/>
              <w:bottom w:val="single" w:sz="8" w:space="0" w:color="FFFFFF"/>
              <w:right w:val="single" w:sz="8" w:space="0" w:color="FFFFFF"/>
            </w:tcBorders>
            <w:shd w:val="clear" w:color="000000" w:fill="E7EEEF"/>
            <w:vAlign w:val="center"/>
            <w:hideMark/>
          </w:tcPr>
          <w:p w14:paraId="5215113D"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2.1%</w:t>
            </w:r>
          </w:p>
        </w:tc>
        <w:tc>
          <w:tcPr>
            <w:tcW w:w="463" w:type="pct"/>
            <w:tcBorders>
              <w:top w:val="nil"/>
              <w:left w:val="nil"/>
              <w:bottom w:val="single" w:sz="8" w:space="0" w:color="FFFFFF"/>
              <w:right w:val="single" w:sz="8" w:space="0" w:color="FFFFFF"/>
            </w:tcBorders>
            <w:shd w:val="clear" w:color="000000" w:fill="E7EEEF"/>
            <w:vAlign w:val="center"/>
            <w:hideMark/>
          </w:tcPr>
          <w:p w14:paraId="0D4332F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1.6%</w:t>
            </w:r>
          </w:p>
        </w:tc>
        <w:tc>
          <w:tcPr>
            <w:tcW w:w="463" w:type="pct"/>
            <w:tcBorders>
              <w:top w:val="nil"/>
              <w:left w:val="nil"/>
              <w:bottom w:val="single" w:sz="8" w:space="0" w:color="FFFFFF"/>
              <w:right w:val="single" w:sz="8" w:space="0" w:color="FFFFFF"/>
            </w:tcBorders>
            <w:shd w:val="clear" w:color="000000" w:fill="E7EEEF"/>
            <w:vAlign w:val="center"/>
            <w:hideMark/>
          </w:tcPr>
          <w:p w14:paraId="660622F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2.0%</w:t>
            </w:r>
          </w:p>
        </w:tc>
        <w:tc>
          <w:tcPr>
            <w:tcW w:w="463" w:type="pct"/>
            <w:tcBorders>
              <w:top w:val="nil"/>
              <w:left w:val="nil"/>
              <w:bottom w:val="single" w:sz="8" w:space="0" w:color="FFFFFF"/>
              <w:right w:val="single" w:sz="8" w:space="0" w:color="FFFFFF"/>
            </w:tcBorders>
            <w:shd w:val="clear" w:color="000000" w:fill="E7EEEF"/>
            <w:vAlign w:val="center"/>
            <w:hideMark/>
          </w:tcPr>
          <w:p w14:paraId="1478284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1.8%</w:t>
            </w:r>
          </w:p>
        </w:tc>
        <w:tc>
          <w:tcPr>
            <w:tcW w:w="463" w:type="pct"/>
            <w:tcBorders>
              <w:top w:val="nil"/>
              <w:left w:val="nil"/>
              <w:bottom w:val="single" w:sz="8" w:space="0" w:color="FFFFFF"/>
              <w:right w:val="single" w:sz="8" w:space="0" w:color="FFFFFF"/>
            </w:tcBorders>
            <w:shd w:val="clear" w:color="000000" w:fill="E7EEEF"/>
            <w:vAlign w:val="center"/>
            <w:hideMark/>
          </w:tcPr>
          <w:p w14:paraId="60AE481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1.2%</w:t>
            </w:r>
          </w:p>
        </w:tc>
      </w:tr>
      <w:tr w:rsidR="00B212E7" w:rsidRPr="00B212E7" w14:paraId="40555A76"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2C767817"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East Midlands</w:t>
            </w:r>
          </w:p>
        </w:tc>
        <w:tc>
          <w:tcPr>
            <w:tcW w:w="463" w:type="pct"/>
            <w:tcBorders>
              <w:top w:val="nil"/>
              <w:left w:val="nil"/>
              <w:bottom w:val="single" w:sz="8" w:space="0" w:color="FFFFFF"/>
              <w:right w:val="single" w:sz="8" w:space="0" w:color="FFFFFF"/>
            </w:tcBorders>
            <w:shd w:val="clear" w:color="000000" w:fill="D0CECE"/>
            <w:vAlign w:val="center"/>
            <w:hideMark/>
          </w:tcPr>
          <w:p w14:paraId="57E9CB9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1.4%</w:t>
            </w:r>
          </w:p>
        </w:tc>
        <w:tc>
          <w:tcPr>
            <w:tcW w:w="463" w:type="pct"/>
            <w:tcBorders>
              <w:top w:val="nil"/>
              <w:left w:val="nil"/>
              <w:bottom w:val="single" w:sz="8" w:space="0" w:color="FFFFFF"/>
              <w:right w:val="single" w:sz="8" w:space="0" w:color="FFFFFF"/>
            </w:tcBorders>
            <w:shd w:val="clear" w:color="000000" w:fill="D0CECE"/>
            <w:vAlign w:val="center"/>
            <w:hideMark/>
          </w:tcPr>
          <w:p w14:paraId="3F354E4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1.5%</w:t>
            </w:r>
          </w:p>
        </w:tc>
        <w:tc>
          <w:tcPr>
            <w:tcW w:w="463" w:type="pct"/>
            <w:tcBorders>
              <w:top w:val="nil"/>
              <w:left w:val="nil"/>
              <w:bottom w:val="single" w:sz="8" w:space="0" w:color="FFFFFF"/>
              <w:right w:val="single" w:sz="8" w:space="0" w:color="FFFFFF"/>
            </w:tcBorders>
            <w:shd w:val="clear" w:color="000000" w:fill="D0CECE"/>
            <w:vAlign w:val="center"/>
            <w:hideMark/>
          </w:tcPr>
          <w:p w14:paraId="7B07F5F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1.8%</w:t>
            </w:r>
          </w:p>
        </w:tc>
        <w:tc>
          <w:tcPr>
            <w:tcW w:w="463" w:type="pct"/>
            <w:tcBorders>
              <w:top w:val="nil"/>
              <w:left w:val="nil"/>
              <w:bottom w:val="single" w:sz="8" w:space="0" w:color="FFFFFF"/>
              <w:right w:val="single" w:sz="8" w:space="0" w:color="FFFFFF"/>
            </w:tcBorders>
            <w:shd w:val="clear" w:color="000000" w:fill="D0CECE"/>
            <w:vAlign w:val="center"/>
            <w:hideMark/>
          </w:tcPr>
          <w:p w14:paraId="7B74FE1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1.2%</w:t>
            </w:r>
          </w:p>
        </w:tc>
        <w:tc>
          <w:tcPr>
            <w:tcW w:w="463" w:type="pct"/>
            <w:tcBorders>
              <w:top w:val="nil"/>
              <w:left w:val="nil"/>
              <w:bottom w:val="single" w:sz="8" w:space="0" w:color="FFFFFF"/>
              <w:right w:val="single" w:sz="8" w:space="0" w:color="FFFFFF"/>
            </w:tcBorders>
            <w:shd w:val="clear" w:color="000000" w:fill="D0CECE"/>
            <w:vAlign w:val="center"/>
            <w:hideMark/>
          </w:tcPr>
          <w:p w14:paraId="5243C87D"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1.0%</w:t>
            </w:r>
          </w:p>
        </w:tc>
        <w:tc>
          <w:tcPr>
            <w:tcW w:w="463" w:type="pct"/>
            <w:tcBorders>
              <w:top w:val="nil"/>
              <w:left w:val="nil"/>
              <w:bottom w:val="single" w:sz="8" w:space="0" w:color="FFFFFF"/>
              <w:right w:val="single" w:sz="8" w:space="0" w:color="FFFFFF"/>
            </w:tcBorders>
            <w:shd w:val="clear" w:color="000000" w:fill="D0CECE"/>
            <w:vAlign w:val="center"/>
            <w:hideMark/>
          </w:tcPr>
          <w:p w14:paraId="0D6F360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1.5%</w:t>
            </w:r>
          </w:p>
        </w:tc>
        <w:tc>
          <w:tcPr>
            <w:tcW w:w="463" w:type="pct"/>
            <w:tcBorders>
              <w:top w:val="nil"/>
              <w:left w:val="nil"/>
              <w:bottom w:val="single" w:sz="8" w:space="0" w:color="FFFFFF"/>
              <w:right w:val="single" w:sz="8" w:space="0" w:color="FFFFFF"/>
            </w:tcBorders>
            <w:shd w:val="clear" w:color="000000" w:fill="D0CECE"/>
            <w:vAlign w:val="center"/>
            <w:hideMark/>
          </w:tcPr>
          <w:p w14:paraId="7E799E5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0.8%</w:t>
            </w:r>
          </w:p>
        </w:tc>
        <w:tc>
          <w:tcPr>
            <w:tcW w:w="463" w:type="pct"/>
            <w:tcBorders>
              <w:top w:val="nil"/>
              <w:left w:val="nil"/>
              <w:bottom w:val="single" w:sz="8" w:space="0" w:color="FFFFFF"/>
              <w:right w:val="single" w:sz="8" w:space="0" w:color="FFFFFF"/>
            </w:tcBorders>
            <w:shd w:val="clear" w:color="000000" w:fill="D0CECE"/>
            <w:vAlign w:val="center"/>
            <w:hideMark/>
          </w:tcPr>
          <w:p w14:paraId="1ABC2E9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0.8%</w:t>
            </w:r>
          </w:p>
        </w:tc>
      </w:tr>
      <w:tr w:rsidR="00B212E7" w:rsidRPr="00B212E7" w14:paraId="5B783874"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257C2C66"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London</w:t>
            </w:r>
          </w:p>
        </w:tc>
        <w:tc>
          <w:tcPr>
            <w:tcW w:w="463" w:type="pct"/>
            <w:tcBorders>
              <w:top w:val="nil"/>
              <w:left w:val="nil"/>
              <w:bottom w:val="single" w:sz="8" w:space="0" w:color="FFFFFF"/>
              <w:right w:val="single" w:sz="8" w:space="0" w:color="FFFFFF"/>
            </w:tcBorders>
            <w:shd w:val="clear" w:color="000000" w:fill="E7EEEF"/>
            <w:vAlign w:val="center"/>
            <w:hideMark/>
          </w:tcPr>
          <w:p w14:paraId="27BFFC2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1.0%</w:t>
            </w:r>
          </w:p>
        </w:tc>
        <w:tc>
          <w:tcPr>
            <w:tcW w:w="463" w:type="pct"/>
            <w:tcBorders>
              <w:top w:val="nil"/>
              <w:left w:val="nil"/>
              <w:bottom w:val="single" w:sz="8" w:space="0" w:color="FFFFFF"/>
              <w:right w:val="single" w:sz="8" w:space="0" w:color="FFFFFF"/>
            </w:tcBorders>
            <w:shd w:val="clear" w:color="000000" w:fill="E7EEEF"/>
            <w:vAlign w:val="center"/>
            <w:hideMark/>
          </w:tcPr>
          <w:p w14:paraId="0B3844E0"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1.5%</w:t>
            </w:r>
          </w:p>
        </w:tc>
        <w:tc>
          <w:tcPr>
            <w:tcW w:w="463" w:type="pct"/>
            <w:tcBorders>
              <w:top w:val="nil"/>
              <w:left w:val="nil"/>
              <w:bottom w:val="single" w:sz="8" w:space="0" w:color="FFFFFF"/>
              <w:right w:val="single" w:sz="8" w:space="0" w:color="FFFFFF"/>
            </w:tcBorders>
            <w:shd w:val="clear" w:color="000000" w:fill="E7EEEF"/>
            <w:vAlign w:val="center"/>
            <w:hideMark/>
          </w:tcPr>
          <w:p w14:paraId="08B6F26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2.6%</w:t>
            </w:r>
          </w:p>
        </w:tc>
        <w:tc>
          <w:tcPr>
            <w:tcW w:w="463" w:type="pct"/>
            <w:tcBorders>
              <w:top w:val="nil"/>
              <w:left w:val="nil"/>
              <w:bottom w:val="single" w:sz="8" w:space="0" w:color="FFFFFF"/>
              <w:right w:val="single" w:sz="8" w:space="0" w:color="FFFFFF"/>
            </w:tcBorders>
            <w:shd w:val="clear" w:color="000000" w:fill="E7EEEF"/>
            <w:vAlign w:val="center"/>
            <w:hideMark/>
          </w:tcPr>
          <w:p w14:paraId="6D7E5FFD"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1.4%</w:t>
            </w:r>
          </w:p>
        </w:tc>
        <w:tc>
          <w:tcPr>
            <w:tcW w:w="463" w:type="pct"/>
            <w:tcBorders>
              <w:top w:val="nil"/>
              <w:left w:val="nil"/>
              <w:bottom w:val="single" w:sz="8" w:space="0" w:color="FFFFFF"/>
              <w:right w:val="single" w:sz="8" w:space="0" w:color="FFFFFF"/>
            </w:tcBorders>
            <w:shd w:val="clear" w:color="000000" w:fill="E7EEEF"/>
            <w:vAlign w:val="center"/>
            <w:hideMark/>
          </w:tcPr>
          <w:p w14:paraId="24354F7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E7EEEF"/>
            <w:vAlign w:val="center"/>
            <w:hideMark/>
          </w:tcPr>
          <w:p w14:paraId="2C35767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1.0%</w:t>
            </w:r>
          </w:p>
        </w:tc>
        <w:tc>
          <w:tcPr>
            <w:tcW w:w="463" w:type="pct"/>
            <w:tcBorders>
              <w:top w:val="nil"/>
              <w:left w:val="nil"/>
              <w:bottom w:val="single" w:sz="8" w:space="0" w:color="FFFFFF"/>
              <w:right w:val="single" w:sz="8" w:space="0" w:color="FFFFFF"/>
            </w:tcBorders>
            <w:shd w:val="clear" w:color="000000" w:fill="E7EEEF"/>
            <w:vAlign w:val="center"/>
            <w:hideMark/>
          </w:tcPr>
          <w:p w14:paraId="1A0FB4D0"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1.8%</w:t>
            </w:r>
          </w:p>
        </w:tc>
        <w:tc>
          <w:tcPr>
            <w:tcW w:w="463" w:type="pct"/>
            <w:tcBorders>
              <w:top w:val="nil"/>
              <w:left w:val="nil"/>
              <w:bottom w:val="single" w:sz="8" w:space="0" w:color="FFFFFF"/>
              <w:right w:val="single" w:sz="8" w:space="0" w:color="FFFFFF"/>
            </w:tcBorders>
            <w:shd w:val="clear" w:color="000000" w:fill="E7EEEF"/>
            <w:vAlign w:val="center"/>
            <w:hideMark/>
          </w:tcPr>
          <w:p w14:paraId="67985EC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1.6%</w:t>
            </w:r>
          </w:p>
        </w:tc>
      </w:tr>
      <w:tr w:rsidR="00B212E7" w:rsidRPr="00B212E7" w14:paraId="00BC1315"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2E1A9D46"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North East</w:t>
            </w:r>
          </w:p>
        </w:tc>
        <w:tc>
          <w:tcPr>
            <w:tcW w:w="463" w:type="pct"/>
            <w:tcBorders>
              <w:top w:val="nil"/>
              <w:left w:val="nil"/>
              <w:bottom w:val="single" w:sz="8" w:space="0" w:color="FFFFFF"/>
              <w:right w:val="single" w:sz="8" w:space="0" w:color="FFFFFF"/>
            </w:tcBorders>
            <w:shd w:val="clear" w:color="000000" w:fill="D0CECE"/>
            <w:vAlign w:val="center"/>
            <w:hideMark/>
          </w:tcPr>
          <w:p w14:paraId="4E1045D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1.4%</w:t>
            </w:r>
          </w:p>
        </w:tc>
        <w:tc>
          <w:tcPr>
            <w:tcW w:w="463" w:type="pct"/>
            <w:tcBorders>
              <w:top w:val="nil"/>
              <w:left w:val="nil"/>
              <w:bottom w:val="single" w:sz="8" w:space="0" w:color="FFFFFF"/>
              <w:right w:val="single" w:sz="8" w:space="0" w:color="FFFFFF"/>
            </w:tcBorders>
            <w:shd w:val="clear" w:color="000000" w:fill="D0CECE"/>
            <w:vAlign w:val="center"/>
            <w:hideMark/>
          </w:tcPr>
          <w:p w14:paraId="61535663"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1.7%</w:t>
            </w:r>
          </w:p>
        </w:tc>
        <w:tc>
          <w:tcPr>
            <w:tcW w:w="463" w:type="pct"/>
            <w:tcBorders>
              <w:top w:val="nil"/>
              <w:left w:val="nil"/>
              <w:bottom w:val="single" w:sz="8" w:space="0" w:color="FFFFFF"/>
              <w:right w:val="single" w:sz="8" w:space="0" w:color="FFFFFF"/>
            </w:tcBorders>
            <w:shd w:val="clear" w:color="000000" w:fill="D0CECE"/>
            <w:vAlign w:val="center"/>
            <w:hideMark/>
          </w:tcPr>
          <w:p w14:paraId="552610A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D0CECE"/>
            <w:vAlign w:val="center"/>
            <w:hideMark/>
          </w:tcPr>
          <w:p w14:paraId="30596D5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D0CECE"/>
            <w:vAlign w:val="center"/>
            <w:hideMark/>
          </w:tcPr>
          <w:p w14:paraId="71C5B0C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D0CECE"/>
            <w:vAlign w:val="center"/>
            <w:hideMark/>
          </w:tcPr>
          <w:p w14:paraId="481B7EE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c>
          <w:tcPr>
            <w:tcW w:w="463" w:type="pct"/>
            <w:tcBorders>
              <w:top w:val="nil"/>
              <w:left w:val="nil"/>
              <w:bottom w:val="single" w:sz="8" w:space="0" w:color="FFFFFF"/>
              <w:right w:val="single" w:sz="8" w:space="0" w:color="FFFFFF"/>
            </w:tcBorders>
            <w:shd w:val="clear" w:color="000000" w:fill="D0CECE"/>
            <w:vAlign w:val="center"/>
            <w:hideMark/>
          </w:tcPr>
          <w:p w14:paraId="61E0888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c>
          <w:tcPr>
            <w:tcW w:w="463" w:type="pct"/>
            <w:tcBorders>
              <w:top w:val="nil"/>
              <w:left w:val="nil"/>
              <w:bottom w:val="single" w:sz="8" w:space="0" w:color="FFFFFF"/>
              <w:right w:val="single" w:sz="8" w:space="0" w:color="FFFFFF"/>
            </w:tcBorders>
            <w:shd w:val="clear" w:color="000000" w:fill="D0CECE"/>
            <w:vAlign w:val="center"/>
            <w:hideMark/>
          </w:tcPr>
          <w:p w14:paraId="7DE2CC1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r>
      <w:tr w:rsidR="00B212E7" w:rsidRPr="00B212E7" w14:paraId="28E0AC14"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4A34AAD3"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North West</w:t>
            </w:r>
          </w:p>
        </w:tc>
        <w:tc>
          <w:tcPr>
            <w:tcW w:w="463" w:type="pct"/>
            <w:tcBorders>
              <w:top w:val="nil"/>
              <w:left w:val="nil"/>
              <w:bottom w:val="single" w:sz="8" w:space="0" w:color="FFFFFF"/>
              <w:right w:val="single" w:sz="8" w:space="0" w:color="FFFFFF"/>
            </w:tcBorders>
            <w:shd w:val="clear" w:color="000000" w:fill="E7EEEF"/>
            <w:vAlign w:val="center"/>
            <w:hideMark/>
          </w:tcPr>
          <w:p w14:paraId="618A423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E7EEEF"/>
            <w:vAlign w:val="center"/>
            <w:hideMark/>
          </w:tcPr>
          <w:p w14:paraId="101AE398"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E7EEEF"/>
            <w:vAlign w:val="center"/>
            <w:hideMark/>
          </w:tcPr>
          <w:p w14:paraId="7299E6C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c>
          <w:tcPr>
            <w:tcW w:w="463" w:type="pct"/>
            <w:tcBorders>
              <w:top w:val="nil"/>
              <w:left w:val="nil"/>
              <w:bottom w:val="single" w:sz="8" w:space="0" w:color="FFFFFF"/>
              <w:right w:val="single" w:sz="8" w:space="0" w:color="FFFFFF"/>
            </w:tcBorders>
            <w:shd w:val="clear" w:color="000000" w:fill="E7EEEF"/>
            <w:vAlign w:val="center"/>
            <w:hideMark/>
          </w:tcPr>
          <w:p w14:paraId="15365E38"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E7EEEF"/>
            <w:vAlign w:val="center"/>
            <w:hideMark/>
          </w:tcPr>
          <w:p w14:paraId="61C95798"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0.3%</w:t>
            </w:r>
          </w:p>
        </w:tc>
        <w:tc>
          <w:tcPr>
            <w:tcW w:w="463" w:type="pct"/>
            <w:tcBorders>
              <w:top w:val="nil"/>
              <w:left w:val="nil"/>
              <w:bottom w:val="single" w:sz="8" w:space="0" w:color="FFFFFF"/>
              <w:right w:val="single" w:sz="8" w:space="0" w:color="FFFFFF"/>
            </w:tcBorders>
            <w:shd w:val="clear" w:color="000000" w:fill="E7EEEF"/>
            <w:vAlign w:val="center"/>
            <w:hideMark/>
          </w:tcPr>
          <w:p w14:paraId="0432467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E7EEEF"/>
            <w:vAlign w:val="center"/>
            <w:hideMark/>
          </w:tcPr>
          <w:p w14:paraId="17C66B2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0.2%</w:t>
            </w:r>
          </w:p>
        </w:tc>
        <w:tc>
          <w:tcPr>
            <w:tcW w:w="463" w:type="pct"/>
            <w:tcBorders>
              <w:top w:val="nil"/>
              <w:left w:val="nil"/>
              <w:bottom w:val="single" w:sz="8" w:space="0" w:color="FFFFFF"/>
              <w:right w:val="single" w:sz="8" w:space="0" w:color="FFFFFF"/>
            </w:tcBorders>
            <w:shd w:val="clear" w:color="000000" w:fill="E7EEEF"/>
            <w:vAlign w:val="center"/>
            <w:hideMark/>
          </w:tcPr>
          <w:p w14:paraId="3209467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0.3%</w:t>
            </w:r>
          </w:p>
        </w:tc>
      </w:tr>
      <w:tr w:rsidR="00B212E7" w:rsidRPr="00B212E7" w14:paraId="05CADFD5"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4E36503C"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South East</w:t>
            </w:r>
          </w:p>
        </w:tc>
        <w:tc>
          <w:tcPr>
            <w:tcW w:w="463" w:type="pct"/>
            <w:tcBorders>
              <w:top w:val="nil"/>
              <w:left w:val="nil"/>
              <w:bottom w:val="single" w:sz="8" w:space="0" w:color="FFFFFF"/>
              <w:right w:val="single" w:sz="8" w:space="0" w:color="FFFFFF"/>
            </w:tcBorders>
            <w:shd w:val="clear" w:color="000000" w:fill="D0CECE"/>
            <w:vAlign w:val="center"/>
            <w:hideMark/>
          </w:tcPr>
          <w:p w14:paraId="14B0E6E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0.4%</w:t>
            </w:r>
          </w:p>
        </w:tc>
        <w:tc>
          <w:tcPr>
            <w:tcW w:w="463" w:type="pct"/>
            <w:tcBorders>
              <w:top w:val="nil"/>
              <w:left w:val="nil"/>
              <w:bottom w:val="single" w:sz="8" w:space="0" w:color="FFFFFF"/>
              <w:right w:val="single" w:sz="8" w:space="0" w:color="FFFFFF"/>
            </w:tcBorders>
            <w:shd w:val="clear" w:color="000000" w:fill="D0CECE"/>
            <w:vAlign w:val="center"/>
            <w:hideMark/>
          </w:tcPr>
          <w:p w14:paraId="61966B2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2.4%</w:t>
            </w:r>
          </w:p>
        </w:tc>
        <w:tc>
          <w:tcPr>
            <w:tcW w:w="463" w:type="pct"/>
            <w:tcBorders>
              <w:top w:val="nil"/>
              <w:left w:val="nil"/>
              <w:bottom w:val="single" w:sz="8" w:space="0" w:color="FFFFFF"/>
              <w:right w:val="single" w:sz="8" w:space="0" w:color="FFFFFF"/>
            </w:tcBorders>
            <w:shd w:val="clear" w:color="000000" w:fill="D0CECE"/>
            <w:vAlign w:val="center"/>
            <w:hideMark/>
          </w:tcPr>
          <w:p w14:paraId="629A9FF2"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5.5%</w:t>
            </w:r>
          </w:p>
        </w:tc>
        <w:tc>
          <w:tcPr>
            <w:tcW w:w="463" w:type="pct"/>
            <w:tcBorders>
              <w:top w:val="nil"/>
              <w:left w:val="nil"/>
              <w:bottom w:val="single" w:sz="8" w:space="0" w:color="FFFFFF"/>
              <w:right w:val="single" w:sz="8" w:space="0" w:color="FFFFFF"/>
            </w:tcBorders>
            <w:shd w:val="clear" w:color="000000" w:fill="D0CECE"/>
            <w:vAlign w:val="center"/>
            <w:hideMark/>
          </w:tcPr>
          <w:p w14:paraId="60F6F7C1"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6.0%</w:t>
            </w:r>
          </w:p>
        </w:tc>
        <w:tc>
          <w:tcPr>
            <w:tcW w:w="463" w:type="pct"/>
            <w:tcBorders>
              <w:top w:val="nil"/>
              <w:left w:val="nil"/>
              <w:bottom w:val="single" w:sz="8" w:space="0" w:color="FFFFFF"/>
              <w:right w:val="single" w:sz="8" w:space="0" w:color="FFFFFF"/>
            </w:tcBorders>
            <w:shd w:val="clear" w:color="000000" w:fill="D0CECE"/>
            <w:vAlign w:val="center"/>
            <w:hideMark/>
          </w:tcPr>
          <w:p w14:paraId="7D8B9614"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3.6%</w:t>
            </w:r>
          </w:p>
        </w:tc>
        <w:tc>
          <w:tcPr>
            <w:tcW w:w="463" w:type="pct"/>
            <w:tcBorders>
              <w:top w:val="nil"/>
              <w:left w:val="nil"/>
              <w:bottom w:val="single" w:sz="8" w:space="0" w:color="FFFFFF"/>
              <w:right w:val="single" w:sz="8" w:space="0" w:color="FFFFFF"/>
            </w:tcBorders>
            <w:shd w:val="clear" w:color="000000" w:fill="D0CECE"/>
            <w:vAlign w:val="center"/>
            <w:hideMark/>
          </w:tcPr>
          <w:p w14:paraId="6F097DD7"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D0CECE"/>
            <w:vAlign w:val="center"/>
            <w:hideMark/>
          </w:tcPr>
          <w:p w14:paraId="5A2D959E"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D0CECE"/>
            <w:vAlign w:val="center"/>
            <w:hideMark/>
          </w:tcPr>
          <w:p w14:paraId="21D1B99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0.7%</w:t>
            </w:r>
          </w:p>
        </w:tc>
      </w:tr>
      <w:tr w:rsidR="00B212E7" w:rsidRPr="00B212E7" w14:paraId="59C31296"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52F9A467"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South West</w:t>
            </w:r>
          </w:p>
        </w:tc>
        <w:tc>
          <w:tcPr>
            <w:tcW w:w="463" w:type="pct"/>
            <w:tcBorders>
              <w:top w:val="nil"/>
              <w:left w:val="nil"/>
              <w:bottom w:val="single" w:sz="8" w:space="0" w:color="FFFFFF"/>
              <w:right w:val="single" w:sz="8" w:space="0" w:color="FFFFFF"/>
            </w:tcBorders>
            <w:shd w:val="clear" w:color="000000" w:fill="E7EEEF"/>
            <w:vAlign w:val="center"/>
            <w:hideMark/>
          </w:tcPr>
          <w:p w14:paraId="4E24DBD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E7EEEF"/>
            <w:vAlign w:val="center"/>
            <w:hideMark/>
          </w:tcPr>
          <w:p w14:paraId="7712611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1.0%</w:t>
            </w:r>
          </w:p>
        </w:tc>
        <w:tc>
          <w:tcPr>
            <w:tcW w:w="463" w:type="pct"/>
            <w:tcBorders>
              <w:top w:val="nil"/>
              <w:left w:val="nil"/>
              <w:bottom w:val="single" w:sz="8" w:space="0" w:color="FFFFFF"/>
              <w:right w:val="single" w:sz="8" w:space="0" w:color="FFFFFF"/>
            </w:tcBorders>
            <w:shd w:val="clear" w:color="000000" w:fill="E7EEEF"/>
            <w:vAlign w:val="center"/>
            <w:hideMark/>
          </w:tcPr>
          <w:p w14:paraId="172423C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1.8%</w:t>
            </w:r>
          </w:p>
        </w:tc>
        <w:tc>
          <w:tcPr>
            <w:tcW w:w="463" w:type="pct"/>
            <w:tcBorders>
              <w:top w:val="nil"/>
              <w:left w:val="nil"/>
              <w:bottom w:val="single" w:sz="8" w:space="0" w:color="FFFFFF"/>
              <w:right w:val="single" w:sz="8" w:space="0" w:color="FFFFFF"/>
            </w:tcBorders>
            <w:shd w:val="clear" w:color="000000" w:fill="E7EEEF"/>
            <w:vAlign w:val="center"/>
            <w:hideMark/>
          </w:tcPr>
          <w:p w14:paraId="607D2A2F"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0.8%</w:t>
            </w:r>
          </w:p>
        </w:tc>
        <w:tc>
          <w:tcPr>
            <w:tcW w:w="463" w:type="pct"/>
            <w:tcBorders>
              <w:top w:val="nil"/>
              <w:left w:val="nil"/>
              <w:bottom w:val="single" w:sz="8" w:space="0" w:color="FFFFFF"/>
              <w:right w:val="single" w:sz="8" w:space="0" w:color="FFFFFF"/>
            </w:tcBorders>
            <w:shd w:val="clear" w:color="000000" w:fill="E7EEEF"/>
            <w:vAlign w:val="center"/>
            <w:hideMark/>
          </w:tcPr>
          <w:p w14:paraId="3CC84350"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0.8%</w:t>
            </w:r>
          </w:p>
        </w:tc>
        <w:tc>
          <w:tcPr>
            <w:tcW w:w="463" w:type="pct"/>
            <w:tcBorders>
              <w:top w:val="nil"/>
              <w:left w:val="nil"/>
              <w:bottom w:val="single" w:sz="8" w:space="0" w:color="FFFFFF"/>
              <w:right w:val="single" w:sz="8" w:space="0" w:color="FFFFFF"/>
            </w:tcBorders>
            <w:shd w:val="clear" w:color="000000" w:fill="E7EEEF"/>
            <w:vAlign w:val="center"/>
            <w:hideMark/>
          </w:tcPr>
          <w:p w14:paraId="69CB1FA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0.7%</w:t>
            </w:r>
          </w:p>
        </w:tc>
        <w:tc>
          <w:tcPr>
            <w:tcW w:w="463" w:type="pct"/>
            <w:tcBorders>
              <w:top w:val="nil"/>
              <w:left w:val="nil"/>
              <w:bottom w:val="single" w:sz="8" w:space="0" w:color="FFFFFF"/>
              <w:right w:val="single" w:sz="8" w:space="0" w:color="FFFFFF"/>
            </w:tcBorders>
            <w:shd w:val="clear" w:color="000000" w:fill="E7EEEF"/>
            <w:vAlign w:val="center"/>
            <w:hideMark/>
          </w:tcPr>
          <w:p w14:paraId="308AA12A"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0.5%</w:t>
            </w:r>
          </w:p>
        </w:tc>
        <w:tc>
          <w:tcPr>
            <w:tcW w:w="463" w:type="pct"/>
            <w:tcBorders>
              <w:top w:val="nil"/>
              <w:left w:val="nil"/>
              <w:bottom w:val="single" w:sz="8" w:space="0" w:color="FFFFFF"/>
              <w:right w:val="single" w:sz="8" w:space="0" w:color="FFFFFF"/>
            </w:tcBorders>
            <w:shd w:val="clear" w:color="000000" w:fill="E7EEEF"/>
            <w:vAlign w:val="center"/>
            <w:hideMark/>
          </w:tcPr>
          <w:p w14:paraId="51558B05"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r>
      <w:tr w:rsidR="00B212E7" w:rsidRPr="00B212E7" w14:paraId="39318D9D"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2BACE12E" w14:textId="77777777" w:rsidR="00B212E7" w:rsidRPr="00B212E7" w:rsidRDefault="00B212E7" w:rsidP="00B212E7">
            <w:pPr>
              <w:spacing w:after="0"/>
              <w:rPr>
                <w:rFonts w:ascii="Calibri" w:eastAsia="Times New Roman" w:hAnsi="Calibri"/>
                <w:color w:val="FFFFFF"/>
                <w:sz w:val="20"/>
                <w:lang w:eastAsia="en-GB"/>
              </w:rPr>
            </w:pPr>
            <w:r w:rsidRPr="00B212E7">
              <w:rPr>
                <w:rFonts w:ascii="Calibri" w:eastAsia="Times New Roman" w:hAnsi="Calibri"/>
                <w:color w:val="FFFFFF"/>
                <w:sz w:val="20"/>
                <w:lang w:eastAsia="en-GB"/>
              </w:rPr>
              <w:t>West Midlands</w:t>
            </w:r>
          </w:p>
        </w:tc>
        <w:tc>
          <w:tcPr>
            <w:tcW w:w="463" w:type="pct"/>
            <w:tcBorders>
              <w:top w:val="nil"/>
              <w:left w:val="nil"/>
              <w:bottom w:val="single" w:sz="8" w:space="0" w:color="FFFFFF"/>
              <w:right w:val="single" w:sz="8" w:space="0" w:color="FFFFFF"/>
            </w:tcBorders>
            <w:shd w:val="clear" w:color="000000" w:fill="D0CECE"/>
            <w:vAlign w:val="center"/>
            <w:hideMark/>
          </w:tcPr>
          <w:p w14:paraId="22476FA3"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c>
          <w:tcPr>
            <w:tcW w:w="463" w:type="pct"/>
            <w:tcBorders>
              <w:top w:val="nil"/>
              <w:left w:val="nil"/>
              <w:bottom w:val="single" w:sz="8" w:space="0" w:color="FFFFFF"/>
              <w:right w:val="single" w:sz="8" w:space="0" w:color="FFFFFF"/>
            </w:tcBorders>
            <w:shd w:val="clear" w:color="000000" w:fill="D0CECE"/>
            <w:vAlign w:val="center"/>
            <w:hideMark/>
          </w:tcPr>
          <w:p w14:paraId="2992967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c>
          <w:tcPr>
            <w:tcW w:w="463" w:type="pct"/>
            <w:tcBorders>
              <w:top w:val="nil"/>
              <w:left w:val="nil"/>
              <w:bottom w:val="single" w:sz="8" w:space="0" w:color="FFFFFF"/>
              <w:right w:val="single" w:sz="8" w:space="0" w:color="FFFFFF"/>
            </w:tcBorders>
            <w:shd w:val="clear" w:color="000000" w:fill="D0CECE"/>
            <w:vAlign w:val="center"/>
            <w:hideMark/>
          </w:tcPr>
          <w:p w14:paraId="77A2E2F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c>
          <w:tcPr>
            <w:tcW w:w="463" w:type="pct"/>
            <w:tcBorders>
              <w:top w:val="nil"/>
              <w:left w:val="nil"/>
              <w:bottom w:val="single" w:sz="8" w:space="0" w:color="FFFFFF"/>
              <w:right w:val="single" w:sz="8" w:space="0" w:color="FFFFFF"/>
            </w:tcBorders>
            <w:shd w:val="clear" w:color="000000" w:fill="D0CECE"/>
            <w:vAlign w:val="center"/>
            <w:hideMark/>
          </w:tcPr>
          <w:p w14:paraId="3EE9FD1D"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D0CECE"/>
            <w:vAlign w:val="center"/>
            <w:hideMark/>
          </w:tcPr>
          <w:p w14:paraId="31A02438"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c>
          <w:tcPr>
            <w:tcW w:w="463" w:type="pct"/>
            <w:tcBorders>
              <w:top w:val="nil"/>
              <w:left w:val="nil"/>
              <w:bottom w:val="single" w:sz="8" w:space="0" w:color="FFFFFF"/>
              <w:right w:val="single" w:sz="8" w:space="0" w:color="FFFFFF"/>
            </w:tcBorders>
            <w:shd w:val="clear" w:color="000000" w:fill="D0CECE"/>
            <w:vAlign w:val="center"/>
            <w:hideMark/>
          </w:tcPr>
          <w:p w14:paraId="679A344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c>
          <w:tcPr>
            <w:tcW w:w="463" w:type="pct"/>
            <w:tcBorders>
              <w:top w:val="nil"/>
              <w:left w:val="nil"/>
              <w:bottom w:val="single" w:sz="8" w:space="0" w:color="FFFFFF"/>
              <w:right w:val="single" w:sz="8" w:space="0" w:color="FFFFFF"/>
            </w:tcBorders>
            <w:shd w:val="clear" w:color="000000" w:fill="D0CECE"/>
            <w:vAlign w:val="center"/>
            <w:hideMark/>
          </w:tcPr>
          <w:p w14:paraId="21D4BA59"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0.0%</w:t>
            </w:r>
          </w:p>
        </w:tc>
        <w:tc>
          <w:tcPr>
            <w:tcW w:w="463" w:type="pct"/>
            <w:tcBorders>
              <w:top w:val="nil"/>
              <w:left w:val="nil"/>
              <w:bottom w:val="single" w:sz="8" w:space="0" w:color="FFFFFF"/>
              <w:right w:val="single" w:sz="8" w:space="0" w:color="FFFFFF"/>
            </w:tcBorders>
            <w:shd w:val="clear" w:color="000000" w:fill="D0CECE"/>
            <w:vAlign w:val="center"/>
            <w:hideMark/>
          </w:tcPr>
          <w:p w14:paraId="78FDBC66" w14:textId="77777777" w:rsidR="00B212E7" w:rsidRPr="00B212E7" w:rsidRDefault="00B212E7" w:rsidP="00B212E7">
            <w:pPr>
              <w:spacing w:after="0"/>
              <w:jc w:val="center"/>
              <w:rPr>
                <w:rFonts w:ascii="Calibri" w:eastAsia="Times New Roman" w:hAnsi="Calibri"/>
                <w:color w:val="000000"/>
                <w:sz w:val="20"/>
                <w:lang w:eastAsia="en-GB"/>
              </w:rPr>
            </w:pPr>
            <w:r w:rsidRPr="00B212E7">
              <w:rPr>
                <w:rFonts w:ascii="Calibri" w:eastAsia="Times New Roman" w:hAnsi="Calibri"/>
                <w:color w:val="000000"/>
                <w:sz w:val="20"/>
                <w:lang w:eastAsia="en-GB"/>
              </w:rPr>
              <w:t>0.1%</w:t>
            </w:r>
          </w:p>
        </w:tc>
      </w:tr>
      <w:tr w:rsidR="00B212E7" w:rsidRPr="00343F8B" w14:paraId="34534E55" w14:textId="77777777" w:rsidTr="005476D9">
        <w:trPr>
          <w:trHeight w:val="322"/>
        </w:trPr>
        <w:tc>
          <w:tcPr>
            <w:tcW w:w="1295" w:type="pct"/>
            <w:tcBorders>
              <w:top w:val="single" w:sz="8" w:space="0" w:color="FFFFFF"/>
              <w:left w:val="nil"/>
              <w:bottom w:val="single" w:sz="12" w:space="0" w:color="FFFFFF"/>
              <w:right w:val="single" w:sz="8" w:space="0" w:color="FFFFFF"/>
            </w:tcBorders>
            <w:shd w:val="clear" w:color="000000" w:fill="008C9B"/>
            <w:vAlign w:val="center"/>
            <w:hideMark/>
          </w:tcPr>
          <w:p w14:paraId="3D12A3EA" w14:textId="77777777" w:rsidR="00B212E7" w:rsidRPr="00343F8B" w:rsidRDefault="00B212E7" w:rsidP="00B212E7">
            <w:pPr>
              <w:spacing w:after="0"/>
              <w:rPr>
                <w:rFonts w:ascii="Calibri" w:eastAsia="Times New Roman" w:hAnsi="Calibri"/>
                <w:color w:val="FFFFFF"/>
                <w:sz w:val="20"/>
                <w:lang w:eastAsia="en-GB"/>
              </w:rPr>
            </w:pPr>
            <w:r w:rsidRPr="00343F8B">
              <w:rPr>
                <w:rFonts w:ascii="Calibri" w:eastAsia="Times New Roman" w:hAnsi="Calibri"/>
                <w:color w:val="FFFFFF"/>
                <w:sz w:val="20"/>
                <w:lang w:eastAsia="en-GB"/>
              </w:rPr>
              <w:t>Yorkshire and the Humber</w:t>
            </w:r>
          </w:p>
        </w:tc>
        <w:tc>
          <w:tcPr>
            <w:tcW w:w="463" w:type="pct"/>
            <w:tcBorders>
              <w:top w:val="nil"/>
              <w:left w:val="nil"/>
              <w:bottom w:val="single" w:sz="8" w:space="0" w:color="FFFFFF"/>
              <w:right w:val="single" w:sz="8" w:space="0" w:color="FFFFFF"/>
            </w:tcBorders>
            <w:shd w:val="clear" w:color="000000" w:fill="E7EEEF"/>
            <w:vAlign w:val="center"/>
            <w:hideMark/>
          </w:tcPr>
          <w:p w14:paraId="0F2726B8" w14:textId="77777777" w:rsidR="00B212E7" w:rsidRPr="00343F8B" w:rsidRDefault="00B212E7" w:rsidP="00B212E7">
            <w:pPr>
              <w:spacing w:after="0"/>
              <w:jc w:val="center"/>
              <w:rPr>
                <w:rFonts w:ascii="Calibri" w:eastAsia="Times New Roman" w:hAnsi="Calibri"/>
                <w:color w:val="000000"/>
                <w:sz w:val="20"/>
                <w:lang w:eastAsia="en-GB"/>
              </w:rPr>
            </w:pPr>
            <w:r w:rsidRPr="00343F8B">
              <w:rPr>
                <w:rFonts w:ascii="Calibri" w:eastAsia="Times New Roman" w:hAnsi="Calibri"/>
                <w:color w:val="000000"/>
                <w:sz w:val="20"/>
                <w:lang w:eastAsia="en-GB"/>
              </w:rPr>
              <w:t>1.0%</w:t>
            </w:r>
          </w:p>
        </w:tc>
        <w:tc>
          <w:tcPr>
            <w:tcW w:w="463" w:type="pct"/>
            <w:tcBorders>
              <w:top w:val="nil"/>
              <w:left w:val="nil"/>
              <w:bottom w:val="single" w:sz="8" w:space="0" w:color="FFFFFF"/>
              <w:right w:val="single" w:sz="8" w:space="0" w:color="FFFFFF"/>
            </w:tcBorders>
            <w:shd w:val="clear" w:color="000000" w:fill="E7EEEF"/>
            <w:vAlign w:val="center"/>
            <w:hideMark/>
          </w:tcPr>
          <w:p w14:paraId="6C052B18" w14:textId="77777777" w:rsidR="00B212E7" w:rsidRPr="00343F8B" w:rsidRDefault="00B212E7" w:rsidP="00B212E7">
            <w:pPr>
              <w:spacing w:after="0"/>
              <w:jc w:val="center"/>
              <w:rPr>
                <w:rFonts w:ascii="Calibri" w:eastAsia="Times New Roman" w:hAnsi="Calibri"/>
                <w:color w:val="000000"/>
                <w:sz w:val="20"/>
                <w:lang w:eastAsia="en-GB"/>
              </w:rPr>
            </w:pPr>
            <w:r w:rsidRPr="00343F8B">
              <w:rPr>
                <w:rFonts w:ascii="Calibri" w:eastAsia="Times New Roman" w:hAnsi="Calibri"/>
                <w:color w:val="000000"/>
                <w:sz w:val="20"/>
                <w:lang w:eastAsia="en-GB"/>
              </w:rPr>
              <w:t>1.5%</w:t>
            </w:r>
          </w:p>
        </w:tc>
        <w:tc>
          <w:tcPr>
            <w:tcW w:w="463" w:type="pct"/>
            <w:tcBorders>
              <w:top w:val="nil"/>
              <w:left w:val="nil"/>
              <w:bottom w:val="single" w:sz="8" w:space="0" w:color="FFFFFF"/>
              <w:right w:val="single" w:sz="8" w:space="0" w:color="FFFFFF"/>
            </w:tcBorders>
            <w:shd w:val="clear" w:color="000000" w:fill="E7EEEF"/>
            <w:vAlign w:val="center"/>
            <w:hideMark/>
          </w:tcPr>
          <w:p w14:paraId="1D533826" w14:textId="77777777" w:rsidR="00B212E7" w:rsidRPr="00343F8B" w:rsidRDefault="00B212E7" w:rsidP="00B212E7">
            <w:pPr>
              <w:spacing w:after="0"/>
              <w:jc w:val="center"/>
              <w:rPr>
                <w:rFonts w:ascii="Calibri" w:eastAsia="Times New Roman" w:hAnsi="Calibri"/>
                <w:color w:val="000000"/>
                <w:sz w:val="20"/>
                <w:lang w:eastAsia="en-GB"/>
              </w:rPr>
            </w:pPr>
            <w:r w:rsidRPr="00343F8B">
              <w:rPr>
                <w:rFonts w:ascii="Calibri" w:eastAsia="Times New Roman" w:hAnsi="Calibri"/>
                <w:color w:val="000000"/>
                <w:sz w:val="20"/>
                <w:lang w:eastAsia="en-GB"/>
              </w:rPr>
              <w:t>1.1%</w:t>
            </w:r>
          </w:p>
        </w:tc>
        <w:tc>
          <w:tcPr>
            <w:tcW w:w="463" w:type="pct"/>
            <w:tcBorders>
              <w:top w:val="nil"/>
              <w:left w:val="nil"/>
              <w:bottom w:val="single" w:sz="8" w:space="0" w:color="FFFFFF"/>
              <w:right w:val="single" w:sz="8" w:space="0" w:color="FFFFFF"/>
            </w:tcBorders>
            <w:shd w:val="clear" w:color="000000" w:fill="E7EEEF"/>
            <w:vAlign w:val="center"/>
            <w:hideMark/>
          </w:tcPr>
          <w:p w14:paraId="1C9DCA2C" w14:textId="77777777" w:rsidR="00B212E7" w:rsidRPr="00343F8B" w:rsidRDefault="00B212E7" w:rsidP="00B212E7">
            <w:pPr>
              <w:spacing w:after="0"/>
              <w:jc w:val="center"/>
              <w:rPr>
                <w:rFonts w:ascii="Calibri" w:eastAsia="Times New Roman" w:hAnsi="Calibri"/>
                <w:color w:val="000000"/>
                <w:sz w:val="20"/>
                <w:lang w:eastAsia="en-GB"/>
              </w:rPr>
            </w:pPr>
            <w:r w:rsidRPr="00343F8B">
              <w:rPr>
                <w:rFonts w:ascii="Calibri" w:eastAsia="Times New Roman" w:hAnsi="Calibri"/>
                <w:color w:val="000000"/>
                <w:sz w:val="20"/>
                <w:lang w:eastAsia="en-GB"/>
              </w:rPr>
              <w:t>1.9%</w:t>
            </w:r>
          </w:p>
        </w:tc>
        <w:tc>
          <w:tcPr>
            <w:tcW w:w="463" w:type="pct"/>
            <w:tcBorders>
              <w:top w:val="nil"/>
              <w:left w:val="nil"/>
              <w:bottom w:val="single" w:sz="8" w:space="0" w:color="FFFFFF"/>
              <w:right w:val="single" w:sz="8" w:space="0" w:color="FFFFFF"/>
            </w:tcBorders>
            <w:shd w:val="clear" w:color="000000" w:fill="E7EEEF"/>
            <w:vAlign w:val="center"/>
            <w:hideMark/>
          </w:tcPr>
          <w:p w14:paraId="6C61AE95" w14:textId="77777777" w:rsidR="00B212E7" w:rsidRPr="00343F8B" w:rsidRDefault="00B212E7" w:rsidP="00B212E7">
            <w:pPr>
              <w:spacing w:after="0"/>
              <w:jc w:val="center"/>
              <w:rPr>
                <w:rFonts w:ascii="Calibri" w:eastAsia="Times New Roman" w:hAnsi="Calibri"/>
                <w:color w:val="000000"/>
                <w:sz w:val="20"/>
                <w:lang w:eastAsia="en-GB"/>
              </w:rPr>
            </w:pPr>
            <w:r w:rsidRPr="00343F8B">
              <w:rPr>
                <w:rFonts w:ascii="Calibri" w:eastAsia="Times New Roman" w:hAnsi="Calibri"/>
                <w:color w:val="000000"/>
                <w:sz w:val="20"/>
                <w:lang w:eastAsia="en-GB"/>
              </w:rPr>
              <w:t>2.8%</w:t>
            </w:r>
          </w:p>
        </w:tc>
        <w:tc>
          <w:tcPr>
            <w:tcW w:w="463" w:type="pct"/>
            <w:tcBorders>
              <w:top w:val="nil"/>
              <w:left w:val="nil"/>
              <w:bottom w:val="single" w:sz="8" w:space="0" w:color="FFFFFF"/>
              <w:right w:val="single" w:sz="8" w:space="0" w:color="FFFFFF"/>
            </w:tcBorders>
            <w:shd w:val="clear" w:color="000000" w:fill="E7EEEF"/>
            <w:vAlign w:val="center"/>
            <w:hideMark/>
          </w:tcPr>
          <w:p w14:paraId="7A737799" w14:textId="77777777" w:rsidR="00B212E7" w:rsidRPr="00343F8B" w:rsidRDefault="00B212E7" w:rsidP="00B212E7">
            <w:pPr>
              <w:spacing w:after="0"/>
              <w:jc w:val="center"/>
              <w:rPr>
                <w:rFonts w:ascii="Calibri" w:eastAsia="Times New Roman" w:hAnsi="Calibri"/>
                <w:color w:val="000000"/>
                <w:sz w:val="20"/>
                <w:lang w:eastAsia="en-GB"/>
              </w:rPr>
            </w:pPr>
            <w:r w:rsidRPr="00343F8B">
              <w:rPr>
                <w:rFonts w:ascii="Calibri" w:eastAsia="Times New Roman" w:hAnsi="Calibri"/>
                <w:color w:val="000000"/>
                <w:sz w:val="20"/>
                <w:lang w:eastAsia="en-GB"/>
              </w:rPr>
              <w:t>1.3%</w:t>
            </w:r>
          </w:p>
        </w:tc>
        <w:tc>
          <w:tcPr>
            <w:tcW w:w="463" w:type="pct"/>
            <w:tcBorders>
              <w:top w:val="nil"/>
              <w:left w:val="nil"/>
              <w:bottom w:val="single" w:sz="8" w:space="0" w:color="FFFFFF"/>
              <w:right w:val="single" w:sz="8" w:space="0" w:color="FFFFFF"/>
            </w:tcBorders>
            <w:shd w:val="clear" w:color="000000" w:fill="E7EEEF"/>
            <w:vAlign w:val="center"/>
            <w:hideMark/>
          </w:tcPr>
          <w:p w14:paraId="3AC010F5" w14:textId="77777777" w:rsidR="00B212E7" w:rsidRPr="00343F8B" w:rsidRDefault="00B212E7" w:rsidP="00B212E7">
            <w:pPr>
              <w:spacing w:after="0"/>
              <w:jc w:val="center"/>
              <w:rPr>
                <w:rFonts w:ascii="Calibri" w:eastAsia="Times New Roman" w:hAnsi="Calibri"/>
                <w:color w:val="000000"/>
                <w:sz w:val="20"/>
                <w:lang w:eastAsia="en-GB"/>
              </w:rPr>
            </w:pPr>
            <w:r w:rsidRPr="00343F8B">
              <w:rPr>
                <w:rFonts w:ascii="Calibri" w:eastAsia="Times New Roman" w:hAnsi="Calibri"/>
                <w:color w:val="000000"/>
                <w:sz w:val="20"/>
                <w:lang w:eastAsia="en-GB"/>
              </w:rPr>
              <w:t>4.2%</w:t>
            </w:r>
          </w:p>
        </w:tc>
        <w:tc>
          <w:tcPr>
            <w:tcW w:w="463" w:type="pct"/>
            <w:tcBorders>
              <w:top w:val="nil"/>
              <w:left w:val="nil"/>
              <w:bottom w:val="single" w:sz="8" w:space="0" w:color="FFFFFF"/>
              <w:right w:val="single" w:sz="8" w:space="0" w:color="FFFFFF"/>
            </w:tcBorders>
            <w:shd w:val="clear" w:color="000000" w:fill="E7EEEF"/>
            <w:vAlign w:val="center"/>
            <w:hideMark/>
          </w:tcPr>
          <w:p w14:paraId="755761E4" w14:textId="77777777" w:rsidR="00B212E7" w:rsidRPr="00343F8B" w:rsidRDefault="00B212E7" w:rsidP="00B212E7">
            <w:pPr>
              <w:spacing w:after="0"/>
              <w:jc w:val="center"/>
              <w:rPr>
                <w:rFonts w:ascii="Calibri" w:eastAsia="Times New Roman" w:hAnsi="Calibri"/>
                <w:color w:val="000000"/>
                <w:sz w:val="20"/>
                <w:lang w:eastAsia="en-GB"/>
              </w:rPr>
            </w:pPr>
            <w:r w:rsidRPr="00343F8B">
              <w:rPr>
                <w:rFonts w:ascii="Calibri" w:eastAsia="Times New Roman" w:hAnsi="Calibri"/>
                <w:color w:val="000000"/>
                <w:sz w:val="20"/>
                <w:lang w:eastAsia="en-GB"/>
              </w:rPr>
              <w:t>0.8%</w:t>
            </w:r>
          </w:p>
        </w:tc>
      </w:tr>
    </w:tbl>
    <w:p w14:paraId="37A82E49" w14:textId="77777777" w:rsidR="00097798" w:rsidRPr="00343F8B" w:rsidRDefault="00097798" w:rsidP="005476D9">
      <w:pPr>
        <w:keepNext/>
        <w:keepLines/>
        <w:spacing w:before="60" w:after="120"/>
        <w:ind w:left="6480" w:firstLine="720"/>
        <w:jc w:val="right"/>
        <w:rPr>
          <w:i/>
          <w:color w:val="000000" w:themeColor="text1"/>
          <w:sz w:val="18"/>
        </w:rPr>
      </w:pPr>
      <w:r w:rsidRPr="00343F8B">
        <w:rPr>
          <w:i/>
          <w:color w:val="000000" w:themeColor="text1"/>
          <w:sz w:val="18"/>
        </w:rPr>
        <w:t>Source: ONS, Cebr analysis</w:t>
      </w:r>
    </w:p>
    <w:p w14:paraId="3C90D322" w14:textId="50C687F3" w:rsidR="00594A2C" w:rsidRDefault="003B0364" w:rsidP="004A3689">
      <w:pPr>
        <w:pStyle w:val="ListBullet"/>
        <w:spacing w:after="0"/>
        <w:rPr>
          <w:rFonts w:ascii="Calibri" w:eastAsia="Microsoft JhengHei" w:hAnsi="Calibri"/>
          <w:szCs w:val="22"/>
        </w:rPr>
      </w:pPr>
      <w:r w:rsidRPr="00343F8B">
        <w:rPr>
          <w:rFonts w:ascii="Calibri" w:eastAsia="Microsoft JhengHei" w:hAnsi="Calibri"/>
          <w:szCs w:val="22"/>
        </w:rPr>
        <w:t>For the Marine renewable energy activities, the proportion of employment in Scotland has been sourced from the BIS report released in 2015, “The Size and Performance of the UK Low Carbon Economy”.</w:t>
      </w:r>
      <w:r w:rsidRPr="00343F8B">
        <w:rPr>
          <w:vertAlign w:val="superscript"/>
        </w:rPr>
        <w:footnoteReference w:id="6"/>
      </w:r>
      <w:r w:rsidR="004E1786" w:rsidRPr="00343F8B">
        <w:rPr>
          <w:rFonts w:ascii="Calibri" w:eastAsia="Microsoft JhengHei" w:hAnsi="Calibri"/>
          <w:szCs w:val="22"/>
        </w:rPr>
        <w:t xml:space="preserve"> Previous analysis by BIS suggested that approximately 18% of employment in the Offshore Wind and Marine renewable energy activities in the UK can be found in Scotland.</w:t>
      </w:r>
      <w:r w:rsidR="00343F8B">
        <w:rPr>
          <w:rFonts w:ascii="Calibri" w:eastAsia="Microsoft JhengHei" w:hAnsi="Calibri"/>
          <w:szCs w:val="22"/>
        </w:rPr>
        <w:t xml:space="preserve"> </w:t>
      </w:r>
      <w:r w:rsidR="00343F8B">
        <w:t xml:space="preserve">The reader should note that while the case study has not been updated since 2013, the results are still relevant for the updated report. However, the reader should take into consideration that the regional figures will be slightly different for 2017 as to when the study was conducted.  </w:t>
      </w:r>
    </w:p>
    <w:p w14:paraId="04C82D92" w14:textId="77777777" w:rsidR="00EB4749" w:rsidRPr="00CE5C73" w:rsidRDefault="00EB4749" w:rsidP="005476D9">
      <w:pPr>
        <w:pStyle w:val="Heading3"/>
      </w:pPr>
      <w:r>
        <w:lastRenderedPageBreak/>
        <w:t>Maritime Business Services</w:t>
      </w:r>
    </w:p>
    <w:p w14:paraId="7D2432BB" w14:textId="77777777" w:rsidR="00343F8B" w:rsidRDefault="00343F8B" w:rsidP="00343F8B">
      <w:r>
        <w:t>When conducting our bottom-up analysis of the MBS Sector, we found that between 75% and 85% of MBS activities were located in the London region. Therefore, we have distributed regional activity for each indicator based on these findings, for example, London was found to account for 84% of MBS GVA and thus the remaining 26% was allocated based on the economic activity of the ports industry in each region.</w:t>
      </w:r>
      <w:r w:rsidRPr="00DF6F22">
        <w:rPr>
          <w:rStyle w:val="FootnoteReference"/>
          <w:rFonts w:eastAsiaTheme="minorHAnsi" w:cstheme="minorBidi"/>
          <w:position w:val="0"/>
          <w:sz w:val="22"/>
          <w:szCs w:val="22"/>
          <w:lang w:eastAsia="en-US"/>
        </w:rPr>
        <w:footnoteReference w:id="7"/>
      </w:r>
      <w:r>
        <w:t xml:space="preserve"> For further information on the regional disaggregation of Ports industry activities, please refer to Cebr’s separate report on the economic activity of the UK ports industry. </w:t>
      </w:r>
    </w:p>
    <w:p w14:paraId="26902AB9" w14:textId="5E650CFF" w:rsidR="00A259B8" w:rsidRDefault="00A259B8" w:rsidP="00514921">
      <w:pPr>
        <w:pStyle w:val="Heading3"/>
      </w:pPr>
      <w:r>
        <w:t>Other adjustments for regional economic activity</w:t>
      </w:r>
    </w:p>
    <w:p w14:paraId="4123C454" w14:textId="607CF974" w:rsidR="00A259B8" w:rsidRDefault="00A259B8" w:rsidP="00A259B8">
      <w:r>
        <w:t xml:space="preserve">Other adjustments have been made to the regional disaggregation of the key macroeconomic indicators which represent the direct economic impacts of the Maritime </w:t>
      </w:r>
      <w:r w:rsidR="007A1C1C">
        <w:t>S</w:t>
      </w:r>
      <w:r w:rsidR="00AC1A39">
        <w:t>ector in Scotland</w:t>
      </w:r>
      <w:r>
        <w:t xml:space="preserve">, in order to reflect differences in </w:t>
      </w:r>
      <w:r w:rsidR="00CC6B0B">
        <w:t>aggregate economic</w:t>
      </w:r>
      <w:r>
        <w:t xml:space="preserve"> performance </w:t>
      </w:r>
      <w:r w:rsidR="00AC1A39">
        <w:t>between Scotland and</w:t>
      </w:r>
      <w:r>
        <w:t xml:space="preserve"> the </w:t>
      </w:r>
      <w:r w:rsidR="00AC1A39">
        <w:t xml:space="preserve">other UK </w:t>
      </w:r>
      <w:r>
        <w:t>regions. These are as follows:</w:t>
      </w:r>
    </w:p>
    <w:p w14:paraId="142F9E83" w14:textId="204B63A9" w:rsidR="00A259B8" w:rsidRPr="00356258" w:rsidRDefault="00A259B8" w:rsidP="00A259B8">
      <w:pPr>
        <w:pStyle w:val="ListBullet"/>
        <w:numPr>
          <w:ilvl w:val="0"/>
          <w:numId w:val="20"/>
        </w:numPr>
        <w:spacing w:after="120"/>
        <w:ind w:left="360"/>
        <w:rPr>
          <w:rFonts w:ascii="Calibri" w:eastAsia="Microsoft JhengHei" w:hAnsi="Calibri"/>
        </w:rPr>
      </w:pPr>
      <w:r>
        <w:t xml:space="preserve">To account for regional differences in productivity (GVA per employee), GVA </w:t>
      </w:r>
      <w:r w:rsidR="00AC1A39">
        <w:t xml:space="preserve">in Scotland </w:t>
      </w:r>
      <w:r>
        <w:t>has been adjusted using the ONS GVA per employee by region statistics</w:t>
      </w:r>
      <w:r w:rsidRPr="00F73315">
        <w:rPr>
          <w:rFonts w:ascii="Calibri" w:eastAsia="Microsoft JhengHei" w:hAnsi="Calibri"/>
        </w:rPr>
        <w:t>.</w:t>
      </w:r>
      <w:r w:rsidRPr="00F73315">
        <w:rPr>
          <w:rFonts w:ascii="Calibri" w:eastAsia="Microsoft JhengHei" w:hAnsi="Calibri"/>
          <w:vertAlign w:val="superscript"/>
        </w:rPr>
        <w:footnoteReference w:id="8"/>
      </w:r>
      <w:r w:rsidRPr="00F73315">
        <w:rPr>
          <w:rFonts w:ascii="Calibri" w:eastAsia="Microsoft JhengHei" w:hAnsi="Calibri"/>
          <w:vertAlign w:val="superscript"/>
        </w:rPr>
        <w:t xml:space="preserve"> </w:t>
      </w:r>
    </w:p>
    <w:p w14:paraId="01E0D2D2" w14:textId="073B0930" w:rsidR="00A259B8" w:rsidRDefault="00A259B8" w:rsidP="00A259B8">
      <w:pPr>
        <w:pStyle w:val="ListBullet"/>
        <w:numPr>
          <w:ilvl w:val="0"/>
          <w:numId w:val="20"/>
        </w:numPr>
        <w:spacing w:after="120"/>
        <w:ind w:left="360"/>
        <w:rPr>
          <w:rFonts w:ascii="Calibri" w:eastAsia="Microsoft JhengHei" w:hAnsi="Calibri"/>
        </w:rPr>
      </w:pPr>
      <w:r>
        <w:rPr>
          <w:rFonts w:ascii="Calibri" w:eastAsia="Microsoft JhengHei" w:hAnsi="Calibri"/>
        </w:rPr>
        <w:t>To account for regional differences in wages and salaries, estimated wages and salaries paid to employees in the Maritime Business Services industry have been adjusted using differentials taken from ASHE.</w:t>
      </w:r>
      <w:r w:rsidRPr="00E22B03">
        <w:rPr>
          <w:vertAlign w:val="superscript"/>
        </w:rPr>
        <w:footnoteReference w:id="9"/>
      </w:r>
      <w:r w:rsidRPr="00E22B03">
        <w:rPr>
          <w:vertAlign w:val="superscript"/>
        </w:rPr>
        <w:t xml:space="preserve"> </w:t>
      </w:r>
    </w:p>
    <w:p w14:paraId="290483DA" w14:textId="77777777" w:rsidR="00A259B8" w:rsidRDefault="00A259B8" w:rsidP="00A259B8">
      <w:pPr>
        <w:pStyle w:val="ListBullet"/>
        <w:numPr>
          <w:ilvl w:val="0"/>
          <w:numId w:val="20"/>
        </w:numPr>
        <w:ind w:left="360"/>
        <w:rPr>
          <w:rFonts w:ascii="Calibri" w:eastAsia="Microsoft JhengHei" w:hAnsi="Calibri"/>
        </w:rPr>
      </w:pPr>
      <w:r>
        <w:rPr>
          <w:rFonts w:ascii="Calibri" w:eastAsia="Microsoft JhengHei" w:hAnsi="Calibri"/>
        </w:rPr>
        <w:t>To account for regional variation in the ratio of compensation of employees to GVA in different sectors, the compensation of employees for the industry have been adjusted using regional differentials implied by the closest industry, as sourced from the Annual Business Survey.</w:t>
      </w:r>
    </w:p>
    <w:p w14:paraId="03AFE691" w14:textId="3FE1537A" w:rsidR="00D32D58" w:rsidRPr="0086705B" w:rsidRDefault="00D32D58" w:rsidP="00B04CD3">
      <w:pPr>
        <w:spacing w:after="0"/>
      </w:pPr>
      <w:r>
        <w:t xml:space="preserve">The next sections in this report set out the direct and </w:t>
      </w:r>
      <w:r w:rsidR="00CC6B0B">
        <w:t>aggregate economic</w:t>
      </w:r>
      <w:r>
        <w:t xml:space="preserve"> impacts of the Maritim</w:t>
      </w:r>
      <w:r w:rsidR="007A1C1C">
        <w:t>e S</w:t>
      </w:r>
      <w:r>
        <w:t>ector in Scotland, broken down by Maritime industry.</w:t>
      </w:r>
    </w:p>
    <w:p w14:paraId="140FBABA" w14:textId="77777777" w:rsidR="00D32D58" w:rsidRPr="00356258" w:rsidRDefault="00D32D58" w:rsidP="00B04CD3">
      <w:pPr>
        <w:pStyle w:val="ListBullet"/>
        <w:rPr>
          <w:rFonts w:ascii="Calibri" w:eastAsia="Microsoft JhengHei" w:hAnsi="Calibri"/>
        </w:rPr>
      </w:pPr>
    </w:p>
    <w:p w14:paraId="57C8ABAC" w14:textId="77777777" w:rsidR="00A43E58" w:rsidRPr="00B04CD3" w:rsidRDefault="00A43E58" w:rsidP="0003517A">
      <w:pPr>
        <w:keepNext/>
        <w:keepLines/>
        <w:spacing w:before="60" w:after="120"/>
        <w:jc w:val="right"/>
        <w:rPr>
          <w:i/>
          <w:color w:val="000000" w:themeColor="text1"/>
          <w:sz w:val="18"/>
        </w:rPr>
      </w:pPr>
    </w:p>
    <w:p w14:paraId="5765708A" w14:textId="0F2F3BFF" w:rsidR="00E62A1E" w:rsidRDefault="00956DDD" w:rsidP="00E62A1E">
      <w:pPr>
        <w:pStyle w:val="Heading1"/>
      </w:pPr>
      <w:bookmarkStart w:id="59" w:name="_Toc16768003"/>
      <w:r>
        <w:lastRenderedPageBreak/>
        <w:t xml:space="preserve">The direct </w:t>
      </w:r>
      <w:r w:rsidR="00425EA2">
        <w:t xml:space="preserve">economic </w:t>
      </w:r>
      <w:r>
        <w:t>impact</w:t>
      </w:r>
      <w:r w:rsidR="00E62A1E">
        <w:t xml:space="preserve"> of the </w:t>
      </w:r>
      <w:r w:rsidR="008348B2">
        <w:t>M</w:t>
      </w:r>
      <w:r w:rsidR="00E62A1E">
        <w:t xml:space="preserve">aritime </w:t>
      </w:r>
      <w:r w:rsidR="00B212E7">
        <w:t>S</w:t>
      </w:r>
      <w:r w:rsidR="008348B2">
        <w:t>ector</w:t>
      </w:r>
      <w:r>
        <w:t xml:space="preserve"> </w:t>
      </w:r>
      <w:r w:rsidR="00425EA2">
        <w:t>in Scotland</w:t>
      </w:r>
      <w:bookmarkEnd w:id="59"/>
    </w:p>
    <w:p w14:paraId="1B043A83" w14:textId="1330FF1B" w:rsidR="00A50A80" w:rsidRDefault="00EE4899" w:rsidP="008A4022">
      <w:pPr>
        <w:spacing w:after="120"/>
      </w:pPr>
      <w:r>
        <w:t>In this section we set</w:t>
      </w:r>
      <w:r w:rsidR="00F56145">
        <w:t xml:space="preserve"> out estimates </w:t>
      </w:r>
      <w:r w:rsidR="00F649B8">
        <w:t xml:space="preserve">for the </w:t>
      </w:r>
      <w:r w:rsidR="00F56145">
        <w:t>direct contribution</w:t>
      </w:r>
      <w:r w:rsidR="00F649B8">
        <w:t xml:space="preserve"> of the </w:t>
      </w:r>
      <w:r w:rsidR="00B212E7">
        <w:t>Maritime S</w:t>
      </w:r>
      <w:r w:rsidR="00864DE9">
        <w:t>ector</w:t>
      </w:r>
      <w:r w:rsidR="005112F1">
        <w:t xml:space="preserve"> in Scotland</w:t>
      </w:r>
      <w:r w:rsidR="00864DE9">
        <w:t xml:space="preserve"> </w:t>
      </w:r>
      <w:r w:rsidR="005112F1">
        <w:t xml:space="preserve">across the following </w:t>
      </w:r>
      <w:r w:rsidR="00F649B8">
        <w:t>key macro</w:t>
      </w:r>
      <w:r w:rsidR="00F56145">
        <w:t>economic indicators</w:t>
      </w:r>
      <w:r w:rsidR="00F649B8">
        <w:t xml:space="preserve">: </w:t>
      </w:r>
      <w:r w:rsidR="00C97EA3">
        <w:t>Business Turnover (</w:t>
      </w:r>
      <w:r w:rsidR="00AD0985">
        <w:t>turnover</w:t>
      </w:r>
      <w:r w:rsidR="00C97EA3">
        <w:t xml:space="preserve">), </w:t>
      </w:r>
      <w:r w:rsidR="00F649B8">
        <w:t xml:space="preserve">GVA, </w:t>
      </w:r>
      <w:r w:rsidR="008C1DC5">
        <w:t>e</w:t>
      </w:r>
      <w:r w:rsidR="00F649B8">
        <w:t>mployment</w:t>
      </w:r>
      <w:r w:rsidR="00C84209">
        <w:t xml:space="preserve">, </w:t>
      </w:r>
      <w:r w:rsidR="00224777">
        <w:t xml:space="preserve">the </w:t>
      </w:r>
      <w:r w:rsidR="008C1DC5">
        <w:t>c</w:t>
      </w:r>
      <w:r w:rsidR="00F649B8">
        <w:t xml:space="preserve">ompensation of </w:t>
      </w:r>
      <w:r w:rsidR="008C1DC5">
        <w:t>e</w:t>
      </w:r>
      <w:r w:rsidR="00F649B8">
        <w:t>mployees</w:t>
      </w:r>
      <w:r w:rsidR="00C84209" w:rsidRPr="004639CB">
        <w:t>,</w:t>
      </w:r>
      <w:r w:rsidR="00550992">
        <w:t xml:space="preserve"> </w:t>
      </w:r>
      <w:r w:rsidR="00C84209">
        <w:t>the Exchequer contribution through tax revenues raised</w:t>
      </w:r>
      <w:r w:rsidR="00550992">
        <w:t>, and exports of goods and services</w:t>
      </w:r>
      <w:r w:rsidR="00F56145">
        <w:t xml:space="preserve">. </w:t>
      </w:r>
      <w:r w:rsidR="00696CAF">
        <w:t xml:space="preserve">After quantifying </w:t>
      </w:r>
      <w:r w:rsidR="00C84209">
        <w:t xml:space="preserve">the </w:t>
      </w:r>
      <w:r w:rsidR="00696CAF">
        <w:t>direct contributions</w:t>
      </w:r>
      <w:r w:rsidR="00C84209">
        <w:t xml:space="preserve"> made through the first </w:t>
      </w:r>
      <w:r w:rsidR="00A50A80">
        <w:t xml:space="preserve">four </w:t>
      </w:r>
      <w:r w:rsidR="00C84209">
        <w:t>of these activities</w:t>
      </w:r>
      <w:r w:rsidR="00696CAF">
        <w:t xml:space="preserve">, the </w:t>
      </w:r>
      <w:r w:rsidR="00CC6B0B">
        <w:t>aggregate</w:t>
      </w:r>
      <w:r w:rsidR="00B52224">
        <w:t xml:space="preserve"> </w:t>
      </w:r>
      <w:r w:rsidR="00696CAF">
        <w:t xml:space="preserve">contribution that the </w:t>
      </w:r>
      <w:r w:rsidR="00C97EA3">
        <w:t>Scottish-based</w:t>
      </w:r>
      <w:r w:rsidR="00C84209">
        <w:t xml:space="preserve"> </w:t>
      </w:r>
      <w:r w:rsidR="00C97EA3">
        <w:t xml:space="preserve">Maritime </w:t>
      </w:r>
      <w:r w:rsidR="00B212E7">
        <w:t>S</w:t>
      </w:r>
      <w:r w:rsidR="00C84209">
        <w:t xml:space="preserve">ector </w:t>
      </w:r>
      <w:r w:rsidR="00575848">
        <w:t xml:space="preserve">makes </w:t>
      </w:r>
      <w:r w:rsidR="00696CAF">
        <w:t xml:space="preserve">to the </w:t>
      </w:r>
      <w:r w:rsidR="00B52224">
        <w:t xml:space="preserve">Scottish and UK economies </w:t>
      </w:r>
      <w:r w:rsidR="00696CAF">
        <w:t xml:space="preserve">is then </w:t>
      </w:r>
      <w:r w:rsidR="00A50A80">
        <w:t>examined in the following section of this report</w:t>
      </w:r>
      <w:r w:rsidR="00696CAF">
        <w:t>.</w:t>
      </w:r>
    </w:p>
    <w:p w14:paraId="1C493F09" w14:textId="32B837D0" w:rsidR="00A50A80" w:rsidRDefault="00A50A80" w:rsidP="008A4022">
      <w:pPr>
        <w:spacing w:after="120"/>
      </w:pPr>
      <w:r>
        <w:t>The d</w:t>
      </w:r>
      <w:r w:rsidR="003C6C02">
        <w:t xml:space="preserve">irect </w:t>
      </w:r>
      <w:r w:rsidR="002F0688">
        <w:t xml:space="preserve">economic impacts </w:t>
      </w:r>
      <w:r w:rsidR="00B66B92">
        <w:t>of the Maritime S</w:t>
      </w:r>
      <w:r>
        <w:t xml:space="preserve">ector in Scotland </w:t>
      </w:r>
      <w:r w:rsidR="003C6C02">
        <w:t xml:space="preserve">are </w:t>
      </w:r>
      <w:r w:rsidR="00636491">
        <w:t>separated</w:t>
      </w:r>
      <w:r w:rsidR="003C6C02">
        <w:t xml:space="preserve"> by </w:t>
      </w:r>
      <w:r>
        <w:t xml:space="preserve">those contributed by each </w:t>
      </w:r>
      <w:r w:rsidR="0020407D">
        <w:t xml:space="preserve">Maritime </w:t>
      </w:r>
      <w:r w:rsidR="002F0688">
        <w:t>industry</w:t>
      </w:r>
      <w:r w:rsidR="00B66B92">
        <w:t xml:space="preserve"> (shipping, p</w:t>
      </w:r>
      <w:r w:rsidR="00636491">
        <w:t>orts,</w:t>
      </w:r>
      <w:r w:rsidR="00B66B92">
        <w:t xml:space="preserve"> leisure marine, marine eng</w:t>
      </w:r>
      <w:r w:rsidR="00870D44">
        <w:t>ineering and scientific industry</w:t>
      </w:r>
      <w:r w:rsidR="00B66B92">
        <w:t>, and M</w:t>
      </w:r>
      <w:r w:rsidR="00636491">
        <w:t>aritime Business Services)</w:t>
      </w:r>
      <w:r w:rsidR="00C97EA3">
        <w:t>.</w:t>
      </w:r>
      <w:r>
        <w:t xml:space="preserve"> Due to the disproportionately large </w:t>
      </w:r>
      <w:r w:rsidR="00A67ABB">
        <w:t xml:space="preserve">contribution from </w:t>
      </w:r>
      <w:r w:rsidR="00B66B92">
        <w:t>marine o</w:t>
      </w:r>
      <w:r>
        <w:t xml:space="preserve">ffshore support activities for Oil and Gas extraction in Scotland, </w:t>
      </w:r>
      <w:r w:rsidR="00A67ABB">
        <w:t xml:space="preserve">this activity is separated from the other activities of the </w:t>
      </w:r>
      <w:r w:rsidR="00B66B92">
        <w:t xml:space="preserve">marine engineering and scientific </w:t>
      </w:r>
      <w:r w:rsidR="00A67ABB">
        <w:t xml:space="preserve">industry (shipbuilding, marine renewable </w:t>
      </w:r>
      <w:r w:rsidR="00C1633F">
        <w:t>energy</w:t>
      </w:r>
      <w:r w:rsidR="00A67ABB">
        <w:t xml:space="preserve"> and marine scientific activities). </w:t>
      </w:r>
    </w:p>
    <w:p w14:paraId="37616339" w14:textId="22C9216F" w:rsidR="005112F1" w:rsidRDefault="005112F1" w:rsidP="005112F1">
      <w:pPr>
        <w:pStyle w:val="Heading2"/>
      </w:pPr>
      <w:bookmarkStart w:id="60" w:name="_Toc16768004"/>
      <w:r>
        <w:t xml:space="preserve">The direct impact through </w:t>
      </w:r>
      <w:r w:rsidR="00AD0985">
        <w:t>turnover</w:t>
      </w:r>
      <w:bookmarkEnd w:id="60"/>
    </w:p>
    <w:p w14:paraId="680ACCAC" w14:textId="2A5B34E3" w:rsidR="00E37669" w:rsidRDefault="006A0C39" w:rsidP="00E75182">
      <w:pPr>
        <w:spacing w:after="120"/>
      </w:pPr>
      <w:r>
        <w:t xml:space="preserve">We firstly consider the total amount of </w:t>
      </w:r>
      <w:r w:rsidR="00AD0985">
        <w:t>turnover</w:t>
      </w:r>
      <w:r>
        <w:t xml:space="preserve"> </w:t>
      </w:r>
      <w:r w:rsidR="00F6309B">
        <w:t xml:space="preserve">directly supported </w:t>
      </w:r>
      <w:r w:rsidR="00425567">
        <w:t>by the Maritime S</w:t>
      </w:r>
      <w:r>
        <w:t>ector in Scotland</w:t>
      </w:r>
      <w:r w:rsidR="00B52224">
        <w:t xml:space="preserve"> through turnover generated by businesses</w:t>
      </w:r>
      <w:r w:rsidR="00E37669">
        <w:t>.</w:t>
      </w:r>
      <w:r w:rsidR="00E37669" w:rsidRPr="00E37669">
        <w:t xml:space="preserve"> </w:t>
      </w:r>
      <w:r w:rsidR="00916D86">
        <w:fldChar w:fldCharType="begin"/>
      </w:r>
      <w:r w:rsidR="00916D86">
        <w:instrText xml:space="preserve"> REF _Ref16685285 \h </w:instrText>
      </w:r>
      <w:r w:rsidR="00916D86">
        <w:fldChar w:fldCharType="separate"/>
      </w:r>
      <w:r w:rsidR="00916D86">
        <w:t xml:space="preserve">Figure </w:t>
      </w:r>
      <w:r w:rsidR="00916D86">
        <w:rPr>
          <w:noProof/>
        </w:rPr>
        <w:t>1</w:t>
      </w:r>
      <w:r w:rsidR="00916D86">
        <w:fldChar w:fldCharType="end"/>
      </w:r>
      <w:r w:rsidR="00916D86">
        <w:t xml:space="preserve"> </w:t>
      </w:r>
      <w:r w:rsidR="00E37669">
        <w:t>below shows the breakdown of business turn</w:t>
      </w:r>
      <w:r w:rsidR="00425567">
        <w:t>over generated by the Maritime S</w:t>
      </w:r>
      <w:r w:rsidR="00E37669">
        <w:t>ector and its constituent industries i</w:t>
      </w:r>
      <w:r w:rsidR="00425567">
        <w:t>n Scotland between 2010 and 2017</w:t>
      </w:r>
      <w:r w:rsidR="00E37669">
        <w:t>. Overall, the sector in Scotland generated an estimated £9.</w:t>
      </w:r>
      <w:r w:rsidR="00425567">
        <w:t>9</w:t>
      </w:r>
      <w:r w:rsidR="00D522EC">
        <w:t xml:space="preserve"> </w:t>
      </w:r>
      <w:r w:rsidR="00E37669">
        <w:t>bill</w:t>
      </w:r>
      <w:r w:rsidR="00425567">
        <w:t>ion in business turnover in 2017</w:t>
      </w:r>
      <w:r w:rsidR="00764380">
        <w:t xml:space="preserve">, an increase of 4.2% from 2016 and 23% higher than the 2010 level. </w:t>
      </w:r>
    </w:p>
    <w:p w14:paraId="12D81381" w14:textId="4B55EF6E" w:rsidR="00BF5F18" w:rsidRDefault="00916D86" w:rsidP="00916D86">
      <w:pPr>
        <w:pStyle w:val="Caption"/>
      </w:pPr>
      <w:bookmarkStart w:id="61" w:name="_Ref16685285"/>
      <w:r>
        <w:t xml:space="preserve">Figure </w:t>
      </w:r>
      <w:r w:rsidR="00BF1DE1">
        <w:rPr>
          <w:noProof/>
        </w:rPr>
        <w:fldChar w:fldCharType="begin"/>
      </w:r>
      <w:r w:rsidR="00BF1DE1">
        <w:rPr>
          <w:noProof/>
        </w:rPr>
        <w:instrText xml:space="preserve"> SEQ Figure \* ARABIC </w:instrText>
      </w:r>
      <w:r w:rsidR="00BF1DE1">
        <w:rPr>
          <w:noProof/>
        </w:rPr>
        <w:fldChar w:fldCharType="separate"/>
      </w:r>
      <w:r w:rsidR="00316965">
        <w:rPr>
          <w:noProof/>
        </w:rPr>
        <w:t>1</w:t>
      </w:r>
      <w:r w:rsidR="00BF1DE1">
        <w:rPr>
          <w:noProof/>
        </w:rPr>
        <w:fldChar w:fldCharType="end"/>
      </w:r>
      <w:bookmarkEnd w:id="61"/>
      <w:r w:rsidR="00BF5F18">
        <w:t xml:space="preserve">: The estimated turnover of the Maritime Sector in Scotland, and the share of the Maritime sector’s </w:t>
      </w:r>
      <w:r w:rsidR="00CC6B0B">
        <w:t>aggregate turnover</w:t>
      </w:r>
      <w:r w:rsidR="00764380">
        <w:t>, 2010 to 2017, £ million</w:t>
      </w:r>
    </w:p>
    <w:p w14:paraId="2C3BBA2F" w14:textId="379820BB" w:rsidR="006C08E4" w:rsidRPr="000E0F64" w:rsidRDefault="00425567" w:rsidP="000E0F64">
      <w:pPr>
        <w:jc w:val="right"/>
      </w:pPr>
      <w:r>
        <w:rPr>
          <w:noProof/>
          <w:lang w:eastAsia="en-GB"/>
        </w:rPr>
        <w:drawing>
          <wp:inline distT="0" distB="0" distL="0" distR="0" wp14:anchorId="622C7DD3" wp14:editId="79F87F09">
            <wp:extent cx="6120130" cy="31908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C08E4">
        <w:rPr>
          <w:i/>
          <w:sz w:val="18"/>
        </w:rPr>
        <w:t xml:space="preserve">Source: </w:t>
      </w:r>
      <w:r w:rsidR="000D1D96">
        <w:rPr>
          <w:i/>
          <w:sz w:val="18"/>
        </w:rPr>
        <w:t xml:space="preserve">FAME, </w:t>
      </w:r>
      <w:r w:rsidR="006C08E4" w:rsidRPr="00E851E8">
        <w:rPr>
          <w:i/>
          <w:sz w:val="18"/>
        </w:rPr>
        <w:t>ONS, Cebr analysis</w:t>
      </w:r>
    </w:p>
    <w:p w14:paraId="6F6CBA0E" w14:textId="026241AD" w:rsidR="00E87ED2" w:rsidRDefault="00E37669" w:rsidP="00E37669">
      <w:pPr>
        <w:rPr>
          <w:sz w:val="20"/>
        </w:rPr>
      </w:pPr>
      <w:r>
        <w:t xml:space="preserve">The </w:t>
      </w:r>
      <w:r w:rsidR="00764380">
        <w:t xml:space="preserve">marine engineering and scientific </w:t>
      </w:r>
      <w:r>
        <w:t xml:space="preserve">industry </w:t>
      </w:r>
      <w:r w:rsidR="00870D44">
        <w:t>is the dominant industry contributing</w:t>
      </w:r>
      <w:r w:rsidR="0027657D">
        <w:t xml:space="preserve"> 70% of the total turnover in 2017</w:t>
      </w:r>
      <w:r w:rsidR="00870D44">
        <w:t xml:space="preserve"> equivalent to £6.9 billion</w:t>
      </w:r>
      <w:r w:rsidR="0027657D">
        <w:t>.</w:t>
      </w:r>
      <w:r w:rsidR="007333B6">
        <w:t xml:space="preserve"> </w:t>
      </w:r>
      <w:r w:rsidR="00870D44">
        <w:t>Within</w:t>
      </w:r>
      <w:r w:rsidRPr="00AF4686">
        <w:t xml:space="preserve"> this </w:t>
      </w:r>
      <w:r>
        <w:t>industry, Marine Offshore Oil and Gas acti</w:t>
      </w:r>
      <w:r w:rsidR="007333B6">
        <w:t>vities directly contributed £4.4</w:t>
      </w:r>
      <w:r>
        <w:t xml:space="preserve"> bill</w:t>
      </w:r>
      <w:r w:rsidR="00533127">
        <w:t>ion to</w:t>
      </w:r>
      <w:r w:rsidR="007333B6">
        <w:t xml:space="preserve"> turnover in 2017</w:t>
      </w:r>
      <w:r>
        <w:t>; this is unsurprising when the high concentration of this activity’s employme</w:t>
      </w:r>
      <w:r w:rsidR="0027657D">
        <w:t>nt is concentrated in Scotland</w:t>
      </w:r>
      <w:r>
        <w:t>.</w:t>
      </w:r>
      <w:r w:rsidR="000B117E">
        <w:t xml:space="preserve"> After the </w:t>
      </w:r>
      <w:r w:rsidR="007333B6">
        <w:t>marine engineering and scientific industry, s</w:t>
      </w:r>
      <w:r w:rsidR="000B117E">
        <w:t xml:space="preserve">hipping makes the </w:t>
      </w:r>
      <w:r w:rsidR="00870D44">
        <w:t xml:space="preserve">second </w:t>
      </w:r>
      <w:r w:rsidR="000B117E">
        <w:t xml:space="preserve">largest contribution to </w:t>
      </w:r>
      <w:r w:rsidR="00AD0985">
        <w:t>turnover</w:t>
      </w:r>
      <w:r w:rsidR="007333B6">
        <w:t>, with £2.3 billion generated in 2017</w:t>
      </w:r>
      <w:r w:rsidR="000B117E">
        <w:t>.</w:t>
      </w:r>
      <w:r w:rsidR="0027657D">
        <w:t xml:space="preserve"> </w:t>
      </w:r>
      <w:r w:rsidR="00533127">
        <w:t>Turnover for the shipping industry has increased by 124% since 2010. Adding on to this, t</w:t>
      </w:r>
      <w:r w:rsidR="00E87ED2">
        <w:t xml:space="preserve">here is potential for the </w:t>
      </w:r>
      <w:r w:rsidR="00E87ED2">
        <w:lastRenderedPageBreak/>
        <w:t xml:space="preserve">shipping industry to increase turnover further in the next coming years as investments have been made by both the Scottish government and private capital firms to shipbuilding in the Clyde Region. </w:t>
      </w:r>
      <w:r w:rsidR="00533127">
        <w:t>For example, a</w:t>
      </w:r>
      <w:r w:rsidR="00E87ED2">
        <w:t xml:space="preserve"> £30 million loan provided by the Scottish government to Ferguson Marine Engineering Limited is meant to help </w:t>
      </w:r>
      <w:r w:rsidR="00E87ED2" w:rsidRPr="003E71D2">
        <w:rPr>
          <w:szCs w:val="22"/>
        </w:rPr>
        <w:t>the company diversify its business and i</w:t>
      </w:r>
      <w:r w:rsidR="00870D44">
        <w:rPr>
          <w:szCs w:val="22"/>
        </w:rPr>
        <w:t>mprove</w:t>
      </w:r>
      <w:r w:rsidR="00E87ED2" w:rsidRPr="003E71D2">
        <w:rPr>
          <w:szCs w:val="22"/>
        </w:rPr>
        <w:t xml:space="preserve"> competitiveness within commercial shipbuilding.</w:t>
      </w:r>
      <w:r w:rsidR="00E87ED2" w:rsidRPr="003E71D2">
        <w:rPr>
          <w:szCs w:val="22"/>
          <w:vertAlign w:val="superscript"/>
        </w:rPr>
        <w:t xml:space="preserve"> </w:t>
      </w:r>
      <w:r w:rsidR="00E87ED2" w:rsidRPr="001E3868">
        <w:rPr>
          <w:vertAlign w:val="superscript"/>
        </w:rPr>
        <w:footnoteReference w:id="10"/>
      </w:r>
      <w:r w:rsidR="00E87ED2" w:rsidRPr="001E3868">
        <w:rPr>
          <w:szCs w:val="22"/>
          <w:vertAlign w:val="superscript"/>
        </w:rPr>
        <w:t xml:space="preserve"> </w:t>
      </w:r>
      <w:r w:rsidR="00E87ED2" w:rsidRPr="003E71D2">
        <w:rPr>
          <w:szCs w:val="22"/>
        </w:rPr>
        <w:t>Additionally, a new marine technology manufacturing site situated by the river Clyde has been acquired by Malin Group, a member of the Scottish Maritime cluster</w:t>
      </w:r>
      <w:r w:rsidR="001E3868">
        <w:rPr>
          <w:szCs w:val="22"/>
        </w:rPr>
        <w:t>.</w:t>
      </w:r>
      <w:r w:rsidR="00E87ED2" w:rsidRPr="001E3868">
        <w:rPr>
          <w:vertAlign w:val="superscript"/>
        </w:rPr>
        <w:footnoteReference w:id="11"/>
      </w:r>
      <w:r w:rsidR="00E87ED2" w:rsidRPr="001E3868">
        <w:t xml:space="preserve"> </w:t>
      </w:r>
      <w:r w:rsidR="00E87ED2" w:rsidRPr="003E71D2">
        <w:rPr>
          <w:szCs w:val="22"/>
        </w:rPr>
        <w:t>The goal of this new marine manufacturing site is to encourage more high value marine designs and building projects within the region. This new site has the potential to generate additional turnover and GVA for the Scottish Maritime Sector once construction is complete.</w:t>
      </w:r>
      <w:r w:rsidR="00E87ED2" w:rsidRPr="003E71D2">
        <w:rPr>
          <w:sz w:val="20"/>
        </w:rPr>
        <w:t xml:space="preserve"> </w:t>
      </w:r>
    </w:p>
    <w:p w14:paraId="0EB25069" w14:textId="6AE63869" w:rsidR="002729FA" w:rsidRPr="00316965" w:rsidRDefault="002729FA" w:rsidP="00E37669">
      <w:pPr>
        <w:rPr>
          <w:szCs w:val="22"/>
        </w:rPr>
      </w:pPr>
      <w:r w:rsidRPr="00316965">
        <w:rPr>
          <w:szCs w:val="22"/>
        </w:rPr>
        <w:t>To place the direct turnover contribution from the Scottish Mariti</w:t>
      </w:r>
      <w:r w:rsidR="00A45F7F" w:rsidRPr="00316965">
        <w:rPr>
          <w:szCs w:val="22"/>
        </w:rPr>
        <w:t xml:space="preserve">me Sector in context, </w:t>
      </w:r>
      <w:r w:rsidR="00316965" w:rsidRPr="00316965">
        <w:rPr>
          <w:szCs w:val="22"/>
        </w:rPr>
        <w:fldChar w:fldCharType="begin"/>
      </w:r>
      <w:r w:rsidR="00316965" w:rsidRPr="00316965">
        <w:rPr>
          <w:szCs w:val="22"/>
        </w:rPr>
        <w:instrText xml:space="preserve"> REF _Ref16754301 \h </w:instrText>
      </w:r>
      <w:r w:rsidR="00316965">
        <w:rPr>
          <w:szCs w:val="22"/>
        </w:rPr>
        <w:instrText xml:space="preserve"> \* MERGEFORMAT </w:instrText>
      </w:r>
      <w:r w:rsidR="00316965" w:rsidRPr="00316965">
        <w:rPr>
          <w:szCs w:val="22"/>
        </w:rPr>
      </w:r>
      <w:r w:rsidR="00316965" w:rsidRPr="00316965">
        <w:rPr>
          <w:szCs w:val="22"/>
        </w:rPr>
        <w:fldChar w:fldCharType="separate"/>
      </w:r>
      <w:r w:rsidR="00316965" w:rsidRPr="00316965">
        <w:rPr>
          <w:szCs w:val="22"/>
        </w:rPr>
        <w:t>Figure 2</w:t>
      </w:r>
      <w:r w:rsidR="00316965" w:rsidRPr="00316965">
        <w:rPr>
          <w:szCs w:val="22"/>
        </w:rPr>
        <w:fldChar w:fldCharType="end"/>
      </w:r>
      <w:r w:rsidR="00316965" w:rsidRPr="00316965">
        <w:rPr>
          <w:szCs w:val="22"/>
        </w:rPr>
        <w:t xml:space="preserve"> </w:t>
      </w:r>
      <w:r w:rsidRPr="00316965">
        <w:rPr>
          <w:szCs w:val="22"/>
        </w:rPr>
        <w:t>below compares the direct turnover of the Scottish Maritime Sector in 2017 with other comparable industries. In 2017, turnover from the Scottish Maritime Sector exceeded th</w:t>
      </w:r>
      <w:r w:rsidR="00514921">
        <w:rPr>
          <w:szCs w:val="22"/>
        </w:rPr>
        <w:t>at of A</w:t>
      </w:r>
      <w:r w:rsidRPr="00316965">
        <w:rPr>
          <w:szCs w:val="22"/>
        </w:rPr>
        <w:t>rchitectur</w:t>
      </w:r>
      <w:r w:rsidR="00514921">
        <w:rPr>
          <w:szCs w:val="22"/>
        </w:rPr>
        <w:t>al and engineering activities, W</w:t>
      </w:r>
      <w:r w:rsidRPr="00316965">
        <w:rPr>
          <w:szCs w:val="22"/>
        </w:rPr>
        <w:t>areh</w:t>
      </w:r>
      <w:r w:rsidR="00514921">
        <w:rPr>
          <w:szCs w:val="22"/>
        </w:rPr>
        <w:t>ousing and support activities, Civil engineering, M</w:t>
      </w:r>
      <w:r w:rsidRPr="00316965">
        <w:rPr>
          <w:szCs w:val="22"/>
        </w:rPr>
        <w:t xml:space="preserve">anufacture </w:t>
      </w:r>
      <w:r w:rsidR="00514921">
        <w:rPr>
          <w:szCs w:val="22"/>
        </w:rPr>
        <w:t>of machinery and equipment and P</w:t>
      </w:r>
      <w:r w:rsidRPr="00316965">
        <w:rPr>
          <w:szCs w:val="22"/>
        </w:rPr>
        <w:t>ostal an</w:t>
      </w:r>
      <w:r w:rsidR="00514921">
        <w:rPr>
          <w:szCs w:val="22"/>
        </w:rPr>
        <w:t>d courier activities. However, w</w:t>
      </w:r>
      <w:r w:rsidRPr="00316965">
        <w:rPr>
          <w:szCs w:val="22"/>
        </w:rPr>
        <w:t xml:space="preserve">arehousing and support activities experienced the highest growth between 2010 and 2017 </w:t>
      </w:r>
      <w:r w:rsidR="00482DD0" w:rsidRPr="00316965">
        <w:rPr>
          <w:szCs w:val="22"/>
        </w:rPr>
        <w:t>at 95</w:t>
      </w:r>
      <w:r w:rsidRPr="00316965">
        <w:rPr>
          <w:szCs w:val="22"/>
        </w:rPr>
        <w:t>%</w:t>
      </w:r>
      <w:r w:rsidR="00514921">
        <w:rPr>
          <w:szCs w:val="22"/>
        </w:rPr>
        <w:t>. This is</w:t>
      </w:r>
      <w:r w:rsidRPr="00316965">
        <w:rPr>
          <w:szCs w:val="22"/>
        </w:rPr>
        <w:t xml:space="preserve"> </w:t>
      </w:r>
      <w:r w:rsidR="00514921">
        <w:rPr>
          <w:szCs w:val="22"/>
        </w:rPr>
        <w:t>followed by P</w:t>
      </w:r>
      <w:r w:rsidR="00482DD0" w:rsidRPr="00316965">
        <w:rPr>
          <w:szCs w:val="22"/>
        </w:rPr>
        <w:t xml:space="preserve">ostal and courier activities at 30% </w:t>
      </w:r>
      <w:r w:rsidRPr="00316965">
        <w:rPr>
          <w:szCs w:val="22"/>
        </w:rPr>
        <w:t xml:space="preserve">compared to the Maritime Sector at 24%. </w:t>
      </w:r>
    </w:p>
    <w:p w14:paraId="1E200FCF" w14:textId="3F1BD38A" w:rsidR="002729FA" w:rsidRPr="002729FA" w:rsidRDefault="00316965" w:rsidP="00316965">
      <w:pPr>
        <w:pStyle w:val="Caption"/>
      </w:pPr>
      <w:bookmarkStart w:id="62" w:name="_Ref16754301"/>
      <w:r>
        <w:t xml:space="preserve">Figure </w:t>
      </w:r>
      <w:r w:rsidR="0049289D">
        <w:rPr>
          <w:noProof/>
        </w:rPr>
        <w:fldChar w:fldCharType="begin"/>
      </w:r>
      <w:r w:rsidR="0049289D">
        <w:rPr>
          <w:noProof/>
        </w:rPr>
        <w:instrText xml:space="preserve"> SEQ Figure \* ARABIC </w:instrText>
      </w:r>
      <w:r w:rsidR="0049289D">
        <w:rPr>
          <w:noProof/>
        </w:rPr>
        <w:fldChar w:fldCharType="separate"/>
      </w:r>
      <w:r>
        <w:rPr>
          <w:noProof/>
        </w:rPr>
        <w:t>2</w:t>
      </w:r>
      <w:r w:rsidR="0049289D">
        <w:rPr>
          <w:noProof/>
        </w:rPr>
        <w:fldChar w:fldCharType="end"/>
      </w:r>
      <w:bookmarkEnd w:id="62"/>
      <w:r w:rsidR="002729FA" w:rsidRPr="002729FA">
        <w:t xml:space="preserve">: The direct contribution through turnover of the Scottish Maritime Sector against comparable Scottish industries in 2017  </w:t>
      </w:r>
    </w:p>
    <w:p w14:paraId="5CFB6491" w14:textId="7A2ECFA4" w:rsidR="002729FA" w:rsidRDefault="00A45F7F" w:rsidP="00E37669">
      <w:pPr>
        <w:rPr>
          <w:sz w:val="20"/>
        </w:rPr>
      </w:pPr>
      <w:r>
        <w:rPr>
          <w:noProof/>
          <w:lang w:eastAsia="en-GB"/>
        </w:rPr>
        <w:drawing>
          <wp:inline distT="0" distB="0" distL="0" distR="0" wp14:anchorId="70E0BB17" wp14:editId="7B94D8A7">
            <wp:extent cx="6254151" cy="2820838"/>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4DF7F3" w14:textId="3C947A94" w:rsidR="002729FA" w:rsidRDefault="00287FA0" w:rsidP="00287FA0">
      <w:pPr>
        <w:ind w:left="5760" w:firstLine="720"/>
        <w:rPr>
          <w:i/>
          <w:sz w:val="18"/>
        </w:rPr>
      </w:pPr>
      <w:r>
        <w:rPr>
          <w:i/>
          <w:sz w:val="18"/>
        </w:rPr>
        <w:t xml:space="preserve">Source: FAME, </w:t>
      </w:r>
      <w:r w:rsidRPr="00E851E8">
        <w:rPr>
          <w:i/>
          <w:sz w:val="18"/>
        </w:rPr>
        <w:t>ONS, Cebr analysis</w:t>
      </w:r>
    </w:p>
    <w:p w14:paraId="1D0F13D3" w14:textId="77777777" w:rsidR="00514921" w:rsidRDefault="00514921" w:rsidP="00287FA0">
      <w:pPr>
        <w:ind w:left="5760" w:firstLine="720"/>
        <w:rPr>
          <w:i/>
          <w:sz w:val="18"/>
        </w:rPr>
      </w:pPr>
    </w:p>
    <w:p w14:paraId="66784CE8" w14:textId="77777777" w:rsidR="00514921" w:rsidRDefault="00514921" w:rsidP="00287FA0">
      <w:pPr>
        <w:ind w:left="5760" w:firstLine="720"/>
        <w:rPr>
          <w:i/>
          <w:sz w:val="18"/>
        </w:rPr>
      </w:pPr>
    </w:p>
    <w:p w14:paraId="302B5685" w14:textId="77777777" w:rsidR="00514921" w:rsidRDefault="00514921" w:rsidP="00287FA0">
      <w:pPr>
        <w:ind w:left="5760" w:firstLine="720"/>
        <w:rPr>
          <w:i/>
          <w:sz w:val="18"/>
        </w:rPr>
      </w:pPr>
    </w:p>
    <w:p w14:paraId="09A2F7EC" w14:textId="77777777" w:rsidR="00514921" w:rsidRPr="00E87ED2" w:rsidRDefault="00514921" w:rsidP="00287FA0">
      <w:pPr>
        <w:ind w:left="5760" w:firstLine="720"/>
        <w:rPr>
          <w:sz w:val="20"/>
        </w:rPr>
      </w:pPr>
    </w:p>
    <w:p w14:paraId="79830EFB" w14:textId="3FE262B6" w:rsidR="008B7438" w:rsidRDefault="00B652B2" w:rsidP="008B7438">
      <w:pPr>
        <w:pStyle w:val="Heading2"/>
      </w:pPr>
      <w:bookmarkStart w:id="63" w:name="_Toc487701492"/>
      <w:bookmarkStart w:id="64" w:name="_Toc487704497"/>
      <w:bookmarkStart w:id="65" w:name="_Toc487704523"/>
      <w:bookmarkStart w:id="66" w:name="_Toc487707530"/>
      <w:bookmarkStart w:id="67" w:name="_Toc487708571"/>
      <w:bookmarkStart w:id="68" w:name="_Toc16768005"/>
      <w:bookmarkEnd w:id="63"/>
      <w:bookmarkEnd w:id="64"/>
      <w:bookmarkEnd w:id="65"/>
      <w:bookmarkEnd w:id="66"/>
      <w:bookmarkEnd w:id="67"/>
      <w:r>
        <w:t xml:space="preserve">The direct </w:t>
      </w:r>
      <w:r w:rsidR="00C709B5">
        <w:t>impact through GVA</w:t>
      </w:r>
      <w:bookmarkEnd w:id="68"/>
    </w:p>
    <w:p w14:paraId="4B66AA11" w14:textId="638013DB" w:rsidR="00316965" w:rsidRPr="00A048EF" w:rsidRDefault="007634DA" w:rsidP="007634DA">
      <w:pPr>
        <w:spacing w:after="120"/>
      </w:pPr>
      <w:r>
        <w:t xml:space="preserve">Following </w:t>
      </w:r>
      <w:r w:rsidR="00AD0985">
        <w:t>turnover</w:t>
      </w:r>
      <w:r>
        <w:t>, this subsection illustrates the contributions in term</w:t>
      </w:r>
      <w:r w:rsidR="009A2ED8">
        <w:t>s of the GVA from the Maritime S</w:t>
      </w:r>
      <w:r>
        <w:t>ector in Scotland to Scottish and UK GDP.</w:t>
      </w:r>
      <w:r w:rsidRPr="00B80CD1">
        <w:t xml:space="preserve"> </w:t>
      </w:r>
      <w:r w:rsidR="00916D86">
        <w:fldChar w:fldCharType="begin"/>
      </w:r>
      <w:r w:rsidR="00916D86">
        <w:instrText xml:space="preserve"> REF _Ref16685302 \h </w:instrText>
      </w:r>
      <w:r w:rsidR="00916D86">
        <w:fldChar w:fldCharType="separate"/>
      </w:r>
      <w:r w:rsidR="00316965">
        <w:t xml:space="preserve">Figure </w:t>
      </w:r>
      <w:r w:rsidR="00316965">
        <w:rPr>
          <w:noProof/>
        </w:rPr>
        <w:t>3</w:t>
      </w:r>
      <w:r w:rsidR="00916D86">
        <w:fldChar w:fldCharType="end"/>
      </w:r>
      <w:r w:rsidR="00916D86">
        <w:t xml:space="preserve"> </w:t>
      </w:r>
      <w:r>
        <w:t>below shows this direct impact, disaggregated by in</w:t>
      </w:r>
      <w:r w:rsidR="009A2ED8">
        <w:t>dustry in the years 2010 to 2017</w:t>
      </w:r>
      <w:r>
        <w:t xml:space="preserve"> inclusive.</w:t>
      </w:r>
    </w:p>
    <w:p w14:paraId="1AD7D0FD" w14:textId="72E88323" w:rsidR="008B7438" w:rsidRDefault="00916D86" w:rsidP="00916D86">
      <w:pPr>
        <w:pStyle w:val="Caption"/>
      </w:pPr>
      <w:bookmarkStart w:id="69" w:name="_Ref16685302"/>
      <w:r>
        <w:lastRenderedPageBreak/>
        <w:t xml:space="preserve">Figure </w:t>
      </w:r>
      <w:r w:rsidR="00BF1DE1">
        <w:rPr>
          <w:noProof/>
        </w:rPr>
        <w:fldChar w:fldCharType="begin"/>
      </w:r>
      <w:r w:rsidR="00BF1DE1">
        <w:rPr>
          <w:noProof/>
        </w:rPr>
        <w:instrText xml:space="preserve"> SEQ Figure \* ARABIC </w:instrText>
      </w:r>
      <w:r w:rsidR="00BF1DE1">
        <w:rPr>
          <w:noProof/>
        </w:rPr>
        <w:fldChar w:fldCharType="separate"/>
      </w:r>
      <w:r w:rsidR="00316965">
        <w:rPr>
          <w:noProof/>
        </w:rPr>
        <w:t>3</w:t>
      </w:r>
      <w:r w:rsidR="00BF1DE1">
        <w:rPr>
          <w:noProof/>
        </w:rPr>
        <w:fldChar w:fldCharType="end"/>
      </w:r>
      <w:bookmarkEnd w:id="69"/>
      <w:r w:rsidR="008B7438">
        <w:t xml:space="preserve">: </w:t>
      </w:r>
      <w:r w:rsidR="005632E0">
        <w:t>The direct contribution of the Maritime sector in Scotland through GVA, and the Scotland’s share of the Maritime sector’s total direct contribution through GVA</w:t>
      </w:r>
      <w:r w:rsidR="009A2ED8">
        <w:t>, 2010 to 2017, £ million</w:t>
      </w:r>
    </w:p>
    <w:p w14:paraId="61437AAF" w14:textId="3A313484" w:rsidR="009A2ED8" w:rsidRPr="009A2ED8" w:rsidRDefault="009A2ED8" w:rsidP="009A2ED8">
      <w:r>
        <w:rPr>
          <w:noProof/>
          <w:lang w:eastAsia="en-GB"/>
        </w:rPr>
        <w:drawing>
          <wp:inline distT="0" distB="0" distL="0" distR="0" wp14:anchorId="0CB87862" wp14:editId="4D2E68FD">
            <wp:extent cx="6120130" cy="30575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6CFB29" w14:textId="2A116218" w:rsidR="00B86153" w:rsidRPr="00A85645" w:rsidRDefault="00B86153" w:rsidP="00A85645">
      <w:pPr>
        <w:jc w:val="right"/>
      </w:pPr>
      <w:r w:rsidRPr="000A706F">
        <w:rPr>
          <w:i/>
          <w:color w:val="404040" w:themeColor="text1" w:themeTint="BF"/>
          <w:sz w:val="18"/>
        </w:rPr>
        <w:t>Source: ONS, FAME, Cebr analysis</w:t>
      </w:r>
    </w:p>
    <w:p w14:paraId="0D6C9E9D" w14:textId="47C22F40" w:rsidR="000A2560" w:rsidRDefault="005413A8" w:rsidP="001D7011">
      <w:r>
        <w:t xml:space="preserve">It is estimated that the </w:t>
      </w:r>
      <w:r w:rsidR="009A2ED8">
        <w:t>Maritime S</w:t>
      </w:r>
      <w:r w:rsidR="00E53B58">
        <w:t>ector</w:t>
      </w:r>
      <w:r w:rsidR="00B4337B">
        <w:t xml:space="preserve"> in </w:t>
      </w:r>
      <w:r w:rsidR="002A4226">
        <w:t>Scotland</w:t>
      </w:r>
      <w:r w:rsidR="002024C8">
        <w:t xml:space="preserve"> </w:t>
      </w:r>
      <w:r>
        <w:t xml:space="preserve">directly contributed just </w:t>
      </w:r>
      <w:r w:rsidR="009E1556">
        <w:t xml:space="preserve">over </w:t>
      </w:r>
      <w:r>
        <w:t>£</w:t>
      </w:r>
      <w:r w:rsidR="002A4226">
        <w:t>3.</w:t>
      </w:r>
      <w:r w:rsidR="009A2ED8">
        <w:t>7 billion of GVA in 2017</w:t>
      </w:r>
      <w:r w:rsidR="00B4337B">
        <w:t>.</w:t>
      </w:r>
      <w:r w:rsidR="002A4226">
        <w:t xml:space="preserve"> </w:t>
      </w:r>
      <w:r w:rsidR="004934BF">
        <w:t>GVA has remained relatively stable</w:t>
      </w:r>
      <w:r w:rsidR="00410139">
        <w:t>, and</w:t>
      </w:r>
      <w:r w:rsidR="004934BF">
        <w:t xml:space="preserve"> on average the Scottish sector has contributed around £3.5 billion to GVA each year with the exception of 2011 and 2016. The most dramatic decrease in GVA can be noted in 2016, where GVA decreased by 24% from the previous year. This is mostly driven by a significant decrease in GVA from </w:t>
      </w:r>
      <w:r w:rsidR="00A6061C">
        <w:t xml:space="preserve">the </w:t>
      </w:r>
      <w:r w:rsidR="004934BF">
        <w:t>Marine Offshore Oil &amp; Gas</w:t>
      </w:r>
      <w:r w:rsidR="00A6061C">
        <w:t xml:space="preserve"> industry</w:t>
      </w:r>
      <w:r w:rsidR="004934BF">
        <w:t xml:space="preserve"> which halved in</w:t>
      </w:r>
      <w:r w:rsidR="003718A9">
        <w:t xml:space="preserve"> value from 2015 to 2016, most likely</w:t>
      </w:r>
      <w:r w:rsidR="004934BF">
        <w:t xml:space="preserve"> explained by the fall in the world price of crude oil</w:t>
      </w:r>
      <w:r w:rsidR="00961983">
        <w:t xml:space="preserve">. However, since 2016, the marine oil and gas industry has regained momentum increasing by 73% from 2016 to 2017. </w:t>
      </w:r>
    </w:p>
    <w:p w14:paraId="45BA9400" w14:textId="0B134472" w:rsidR="00275C04" w:rsidRDefault="00A6061C" w:rsidP="001D7011">
      <w:r>
        <w:t>It</w:t>
      </w:r>
      <w:r w:rsidR="00275C04">
        <w:t xml:space="preserve"> </w:t>
      </w:r>
      <w:r w:rsidR="00410139">
        <w:t>is estimated that the Maritime S</w:t>
      </w:r>
      <w:r w:rsidR="00275C04">
        <w:t xml:space="preserve">ector in Scotland represented </w:t>
      </w:r>
      <w:r>
        <w:t>27.2</w:t>
      </w:r>
      <w:r w:rsidR="00275C04">
        <w:t>% of the direct GVA impact</w:t>
      </w:r>
      <w:r>
        <w:t xml:space="preserve"> of the entire UK sector in 2017</w:t>
      </w:r>
      <w:r w:rsidR="00275C04">
        <w:t xml:space="preserve">. </w:t>
      </w:r>
      <w:r w:rsidR="001B4A87">
        <w:t>This share of the direct GVA contribution has remained b</w:t>
      </w:r>
      <w:r>
        <w:t>roadly consistent across the eight</w:t>
      </w:r>
      <w:r w:rsidR="001B4A87">
        <w:t xml:space="preserve"> years considered</w:t>
      </w:r>
      <w:r>
        <w:t xml:space="preserve"> with the exception of 2016 where the share dropped to 20%. However, a</w:t>
      </w:r>
      <w:r w:rsidR="001B4A87">
        <w:t>s Scotland boasts the majority of economic activity associated with Marine Offshore Oil and Gas – a highly productive sector in terms of GVA generated per job (see further below) – it holds a disproportion</w:t>
      </w:r>
      <w:r>
        <w:t>ately higher share of Maritime S</w:t>
      </w:r>
      <w:r w:rsidR="001B4A87">
        <w:t>ector GVA when compared to the rest of the UK.</w:t>
      </w:r>
    </w:p>
    <w:p w14:paraId="5BDD1808" w14:textId="75F90B24" w:rsidR="00A45F7F" w:rsidRDefault="003519B1" w:rsidP="001D7011">
      <w:pPr>
        <w:spacing w:after="120"/>
      </w:pPr>
      <w:r>
        <w:t>As with business turnover</w:t>
      </w:r>
      <w:r w:rsidR="001515D2">
        <w:t>, t</w:t>
      </w:r>
      <w:r w:rsidR="00A6061C">
        <w:t>he marine engineering and scientific</w:t>
      </w:r>
      <w:r w:rsidR="00B857A5">
        <w:t xml:space="preserve"> industry contributed the largest share of GVA in all of the years considered</w:t>
      </w:r>
      <w:r w:rsidR="001515D2">
        <w:t xml:space="preserve">, on average </w:t>
      </w:r>
      <w:r>
        <w:t xml:space="preserve">at </w:t>
      </w:r>
      <w:r w:rsidR="00A6061C">
        <w:t>73</w:t>
      </w:r>
      <w:r w:rsidR="001515D2">
        <w:t>% across the years considered</w:t>
      </w:r>
      <w:r w:rsidR="00A67850">
        <w:t xml:space="preserve"> – a</w:t>
      </w:r>
      <w:r w:rsidR="005413A8">
        <w:t xml:space="preserve">round </w:t>
      </w:r>
      <w:r w:rsidR="00A6061C">
        <w:t>£2.5</w:t>
      </w:r>
      <w:r w:rsidR="00A67850">
        <w:t xml:space="preserve"> billion </w:t>
      </w:r>
      <w:r w:rsidR="005413A8">
        <w:t>of GVA w</w:t>
      </w:r>
      <w:r w:rsidR="00A6061C">
        <w:t>as directly contributed by the marine engineering and scientific</w:t>
      </w:r>
      <w:r w:rsidR="005413A8">
        <w:t xml:space="preserve"> industry</w:t>
      </w:r>
      <w:r w:rsidR="007C20B1">
        <w:t xml:space="preserve"> in Scotland</w:t>
      </w:r>
      <w:r w:rsidR="00A6061C">
        <w:t xml:space="preserve"> in 2017</w:t>
      </w:r>
      <w:r w:rsidR="005413A8">
        <w:t>.</w:t>
      </w:r>
      <w:r w:rsidR="001515D2">
        <w:t xml:space="preserve"> </w:t>
      </w:r>
      <w:r w:rsidR="007C20B1">
        <w:t xml:space="preserve">In contrast, </w:t>
      </w:r>
      <w:r w:rsidR="00A6061C">
        <w:t>maritime business s</w:t>
      </w:r>
      <w:r w:rsidR="001515D2">
        <w:t xml:space="preserve">ervices make a minor contribution to </w:t>
      </w:r>
      <w:r w:rsidR="007C20B1">
        <w:t>GVA in Scotland</w:t>
      </w:r>
      <w:r w:rsidR="001515D2">
        <w:t xml:space="preserve">, with </w:t>
      </w:r>
      <w:r w:rsidR="00161F74">
        <w:t xml:space="preserve">approximately </w:t>
      </w:r>
      <w:r w:rsidR="001515D2">
        <w:t>£</w:t>
      </w:r>
      <w:r w:rsidR="00A6061C">
        <w:t>54</w:t>
      </w:r>
      <w:r w:rsidR="001515D2">
        <w:t xml:space="preserve"> million in GVA (</w:t>
      </w:r>
      <w:r w:rsidR="00A6061C">
        <w:t>1.5</w:t>
      </w:r>
      <w:r w:rsidR="001515D2">
        <w:t>%).</w:t>
      </w:r>
    </w:p>
    <w:p w14:paraId="538E5A3B" w14:textId="42EE30D2" w:rsidR="00316965" w:rsidRDefault="00316965" w:rsidP="00316965">
      <w:r>
        <w:t xml:space="preserve">To place these results into context, </w:t>
      </w:r>
      <w:r>
        <w:fldChar w:fldCharType="begin"/>
      </w:r>
      <w:r>
        <w:instrText xml:space="preserve"> REF _Ref16754451 \h </w:instrText>
      </w:r>
      <w:r>
        <w:fldChar w:fldCharType="separate"/>
      </w:r>
      <w:r>
        <w:t xml:space="preserve">Figure </w:t>
      </w:r>
      <w:r>
        <w:rPr>
          <w:noProof/>
        </w:rPr>
        <w:t>4</w:t>
      </w:r>
      <w:r>
        <w:fldChar w:fldCharType="end"/>
      </w:r>
      <w:r>
        <w:t xml:space="preserve"> below compares GVA from the Scottish Maritime Sector with other comparable industries in Scotland in 2017. In 2017, the direct contribution of GVA from the Scottish Maritime Sector exceeded that of all co</w:t>
      </w:r>
      <w:r w:rsidR="00C55C84">
        <w:t>mparable industries except for A</w:t>
      </w:r>
      <w:r>
        <w:t xml:space="preserve">rchitectural and engineering activities. In terms of growth, the Scottish Maritime Sector grew by 9.7% from 2010 to 2017, exceeding the </w:t>
      </w:r>
      <w:r w:rsidR="00C55C84">
        <w:t>growth of A</w:t>
      </w:r>
      <w:r>
        <w:t xml:space="preserve">rchitectural and engineering activities and civil engineering and manufacture of machinery and equipment. </w:t>
      </w:r>
    </w:p>
    <w:p w14:paraId="42FFB326" w14:textId="6E892051" w:rsidR="00316965" w:rsidRDefault="00316965" w:rsidP="00316965">
      <w:pPr>
        <w:pStyle w:val="Caption"/>
      </w:pPr>
      <w:bookmarkStart w:id="70" w:name="_Ref16754451"/>
      <w:r>
        <w:t xml:space="preserve">Figure </w:t>
      </w:r>
      <w:r w:rsidR="0049289D">
        <w:rPr>
          <w:noProof/>
        </w:rPr>
        <w:fldChar w:fldCharType="begin"/>
      </w:r>
      <w:r w:rsidR="0049289D">
        <w:rPr>
          <w:noProof/>
        </w:rPr>
        <w:instrText xml:space="preserve"> SEQ Figure \* ARABIC </w:instrText>
      </w:r>
      <w:r w:rsidR="0049289D">
        <w:rPr>
          <w:noProof/>
        </w:rPr>
        <w:fldChar w:fldCharType="separate"/>
      </w:r>
      <w:r>
        <w:rPr>
          <w:noProof/>
        </w:rPr>
        <w:t>4</w:t>
      </w:r>
      <w:r w:rsidR="0049289D">
        <w:rPr>
          <w:noProof/>
        </w:rPr>
        <w:fldChar w:fldCharType="end"/>
      </w:r>
      <w:bookmarkEnd w:id="70"/>
      <w:r w:rsidRPr="002729FA">
        <w:t>: The direct contribution t</w:t>
      </w:r>
      <w:r>
        <w:t xml:space="preserve">hrough GVA </w:t>
      </w:r>
      <w:r w:rsidRPr="002729FA">
        <w:t xml:space="preserve">of the Scottish Maritime Sector against comparable Scottish industries in 2017  </w:t>
      </w:r>
    </w:p>
    <w:p w14:paraId="6688A35A" w14:textId="22EF98C7" w:rsidR="00316965" w:rsidRPr="00A45F7F" w:rsidRDefault="00316965" w:rsidP="001D7011">
      <w:pPr>
        <w:spacing w:after="120"/>
      </w:pPr>
      <w:r>
        <w:rPr>
          <w:noProof/>
          <w:lang w:eastAsia="en-GB"/>
        </w:rPr>
        <w:drawing>
          <wp:inline distT="0" distB="0" distL="0" distR="0" wp14:anchorId="5CC4BF0B" wp14:editId="7BE421FA">
            <wp:extent cx="6120130" cy="2796355"/>
            <wp:effectExtent l="0" t="0" r="0"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BA6A16" w14:textId="1892A9D1" w:rsidR="004D2710" w:rsidRPr="00287FA0" w:rsidRDefault="00287FA0" w:rsidP="00C55C84">
      <w:pPr>
        <w:ind w:left="5760" w:firstLine="720"/>
        <w:jc w:val="right"/>
        <w:rPr>
          <w:sz w:val="20"/>
        </w:rPr>
      </w:pPr>
      <w:r>
        <w:rPr>
          <w:i/>
          <w:sz w:val="18"/>
        </w:rPr>
        <w:t xml:space="preserve">Source: FAME, </w:t>
      </w:r>
      <w:r w:rsidRPr="00E851E8">
        <w:rPr>
          <w:i/>
          <w:sz w:val="18"/>
        </w:rPr>
        <w:t>ONS, Cebr analysis</w:t>
      </w:r>
    </w:p>
    <w:p w14:paraId="5352E1E3" w14:textId="49FA2717" w:rsidR="00C709B5" w:rsidRDefault="00C709B5" w:rsidP="00C709B5">
      <w:pPr>
        <w:pStyle w:val="Heading2"/>
      </w:pPr>
      <w:bookmarkStart w:id="71" w:name="_Toc16768006"/>
      <w:r>
        <w:t>The direct impact through employment</w:t>
      </w:r>
      <w:bookmarkEnd w:id="71"/>
    </w:p>
    <w:p w14:paraId="7256B184" w14:textId="55A0959C" w:rsidR="00316965" w:rsidRPr="00F56145" w:rsidRDefault="007D7702" w:rsidP="008B7FD1">
      <w:pPr>
        <w:spacing w:after="120"/>
      </w:pPr>
      <w:r>
        <w:t xml:space="preserve">This subsection </w:t>
      </w:r>
      <w:r w:rsidR="007D4727">
        <w:t>outlines</w:t>
      </w:r>
      <w:r>
        <w:t xml:space="preserve"> the </w:t>
      </w:r>
      <w:r w:rsidR="00830B0E">
        <w:t xml:space="preserve">direct </w:t>
      </w:r>
      <w:r>
        <w:t>em</w:t>
      </w:r>
      <w:r w:rsidR="00830B0E">
        <w:t>ployment impact from the M</w:t>
      </w:r>
      <w:r>
        <w:t xml:space="preserve">aritime </w:t>
      </w:r>
      <w:r w:rsidR="00180574">
        <w:t>S</w:t>
      </w:r>
      <w:r w:rsidR="008348B2">
        <w:t>ector</w:t>
      </w:r>
      <w:r w:rsidR="00650DE9">
        <w:t xml:space="preserve"> in Scotland</w:t>
      </w:r>
      <w:r>
        <w:t xml:space="preserve">. </w:t>
      </w:r>
      <w:r w:rsidR="000D4724">
        <w:fldChar w:fldCharType="begin"/>
      </w:r>
      <w:r w:rsidR="000D4724">
        <w:instrText xml:space="preserve"> REF _Ref16685331 \h </w:instrText>
      </w:r>
      <w:r w:rsidR="000D4724">
        <w:fldChar w:fldCharType="separate"/>
      </w:r>
      <w:r w:rsidR="00316965">
        <w:t xml:space="preserve">Figure </w:t>
      </w:r>
      <w:r w:rsidR="00316965">
        <w:rPr>
          <w:noProof/>
        </w:rPr>
        <w:t>5</w:t>
      </w:r>
      <w:r w:rsidR="000D4724">
        <w:fldChar w:fldCharType="end"/>
      </w:r>
      <w:r w:rsidR="000D4724">
        <w:t xml:space="preserve"> </w:t>
      </w:r>
      <w:r>
        <w:t>below shows the estimated direct employment impact from t</w:t>
      </w:r>
      <w:r w:rsidR="00180574">
        <w:t>he shipping, p</w:t>
      </w:r>
      <w:r w:rsidR="00830B0E">
        <w:t>orts,</w:t>
      </w:r>
      <w:r w:rsidR="00180574">
        <w:t xml:space="preserve"> leisure m</w:t>
      </w:r>
      <w:r w:rsidR="00830B0E">
        <w:t>arine</w:t>
      </w:r>
      <w:r w:rsidR="00180574">
        <w:t>, MES, and MBS</w:t>
      </w:r>
      <w:r w:rsidR="00830B0E">
        <w:t xml:space="preserve"> </w:t>
      </w:r>
      <w:r>
        <w:t>industries</w:t>
      </w:r>
      <w:r w:rsidR="00C430B4">
        <w:t xml:space="preserve"> in Scotland</w:t>
      </w:r>
      <w:r w:rsidR="00830B0E">
        <w:t>,</w:t>
      </w:r>
      <w:r>
        <w:t xml:space="preserve"> in the</w:t>
      </w:r>
      <w:r w:rsidR="00180574">
        <w:t xml:space="preserve"> years 2010 to 2017</w:t>
      </w:r>
      <w:r>
        <w:t>.</w:t>
      </w:r>
    </w:p>
    <w:p w14:paraId="5CE76487" w14:textId="09C57454" w:rsidR="004C61AB" w:rsidRDefault="000D4724" w:rsidP="000D4724">
      <w:pPr>
        <w:pStyle w:val="Caption"/>
      </w:pPr>
      <w:bookmarkStart w:id="72" w:name="_Ref16685331"/>
      <w:r>
        <w:t xml:space="preserve">Figure </w:t>
      </w:r>
      <w:r w:rsidR="00BF1DE1">
        <w:rPr>
          <w:noProof/>
        </w:rPr>
        <w:fldChar w:fldCharType="begin"/>
      </w:r>
      <w:r w:rsidR="00BF1DE1">
        <w:rPr>
          <w:noProof/>
        </w:rPr>
        <w:instrText xml:space="preserve"> SEQ Figure \* ARABIC </w:instrText>
      </w:r>
      <w:r w:rsidR="00BF1DE1">
        <w:rPr>
          <w:noProof/>
        </w:rPr>
        <w:fldChar w:fldCharType="separate"/>
      </w:r>
      <w:r w:rsidR="00316965">
        <w:rPr>
          <w:noProof/>
        </w:rPr>
        <w:t>5</w:t>
      </w:r>
      <w:r w:rsidR="00BF1DE1">
        <w:rPr>
          <w:noProof/>
        </w:rPr>
        <w:fldChar w:fldCharType="end"/>
      </w:r>
      <w:bookmarkEnd w:id="72"/>
      <w:r w:rsidR="004C61AB">
        <w:t xml:space="preserve">: </w:t>
      </w:r>
      <w:r w:rsidR="00991C63">
        <w:t>The direc</w:t>
      </w:r>
      <w:r w:rsidR="00650683">
        <w:t>t contribution of the Maritime S</w:t>
      </w:r>
      <w:r w:rsidR="00991C63">
        <w:t>ector in Scotland through employment, and the Sc</w:t>
      </w:r>
      <w:r w:rsidR="00410139">
        <w:t>otland’s share of the Maritime S</w:t>
      </w:r>
      <w:r w:rsidR="00991C63">
        <w:t>ector’s total direct contribution through employment</w:t>
      </w:r>
      <w:r w:rsidR="00180574">
        <w:t>, 2010 to 2017, thousands of jobs</w:t>
      </w:r>
    </w:p>
    <w:p w14:paraId="03C77A3E" w14:textId="5C80C24F" w:rsidR="006272FE" w:rsidRDefault="00180574" w:rsidP="001D7011">
      <w:pPr>
        <w:spacing w:after="0"/>
      </w:pPr>
      <w:r>
        <w:rPr>
          <w:noProof/>
          <w:lang w:eastAsia="en-GB"/>
        </w:rPr>
        <w:drawing>
          <wp:inline distT="0" distB="0" distL="0" distR="0" wp14:anchorId="52AB3840" wp14:editId="661AC8F6">
            <wp:extent cx="6120130" cy="3124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64E9E0" w14:textId="77777777" w:rsidR="00B86153" w:rsidRPr="000A706F" w:rsidRDefault="00B86153" w:rsidP="00D945C5">
      <w:pPr>
        <w:keepNext/>
        <w:keepLines/>
        <w:spacing w:before="60" w:after="120"/>
        <w:jc w:val="right"/>
        <w:rPr>
          <w:i/>
          <w:color w:val="404040" w:themeColor="text1" w:themeTint="BF"/>
          <w:sz w:val="18"/>
        </w:rPr>
      </w:pPr>
      <w:r w:rsidRPr="000A706F">
        <w:rPr>
          <w:i/>
          <w:color w:val="404040" w:themeColor="text1" w:themeTint="BF"/>
          <w:sz w:val="18"/>
        </w:rPr>
        <w:t>Source: ONS, FAME, Cebr analysis</w:t>
      </w:r>
    </w:p>
    <w:p w14:paraId="0DB36A2E" w14:textId="0839549C" w:rsidR="00A45F7F" w:rsidRDefault="00B05EC5" w:rsidP="00431B75">
      <w:r>
        <w:t xml:space="preserve">It is estimated that the </w:t>
      </w:r>
      <w:r w:rsidR="00AC6B7C">
        <w:t>M</w:t>
      </w:r>
      <w:r>
        <w:t xml:space="preserve">aritime </w:t>
      </w:r>
      <w:r w:rsidR="00410139">
        <w:t>S</w:t>
      </w:r>
      <w:r w:rsidR="006525CA">
        <w:t>ector</w:t>
      </w:r>
      <w:r>
        <w:t xml:space="preserve"> </w:t>
      </w:r>
      <w:r w:rsidR="004D2710">
        <w:t xml:space="preserve">in Scotland </w:t>
      </w:r>
      <w:r>
        <w:t xml:space="preserve">directly </w:t>
      </w:r>
      <w:r w:rsidR="004D2710">
        <w:t xml:space="preserve">contributed </w:t>
      </w:r>
      <w:r w:rsidR="00180574">
        <w:t xml:space="preserve">41,000 </w:t>
      </w:r>
      <w:r w:rsidR="004D2710">
        <w:t xml:space="preserve">jobs </w:t>
      </w:r>
      <w:r w:rsidR="00180574">
        <w:t>in 2017</w:t>
      </w:r>
      <w:r>
        <w:t xml:space="preserve">, </w:t>
      </w:r>
      <w:r w:rsidR="004D2710">
        <w:t xml:space="preserve">with the total level of employment </w:t>
      </w:r>
      <w:r w:rsidR="00180574">
        <w:t>remaining relatively stable since</w:t>
      </w:r>
      <w:r w:rsidR="004D2710">
        <w:t xml:space="preserve"> 2010</w:t>
      </w:r>
      <w:r>
        <w:t xml:space="preserve">. </w:t>
      </w:r>
      <w:r w:rsidR="00D01D99">
        <w:t xml:space="preserve">Across all industries, the share of UK Maritime </w:t>
      </w:r>
      <w:r w:rsidR="006875D2">
        <w:t>S</w:t>
      </w:r>
      <w:r w:rsidR="00D01D99">
        <w:t xml:space="preserve">ector employment directly contributed in Scotland is estimated to be </w:t>
      </w:r>
      <w:r w:rsidR="00180574">
        <w:t xml:space="preserve">18.6% in 2017. </w:t>
      </w:r>
      <w:r w:rsidR="00026E7B">
        <w:t>Once again, the largest contributions came from Marine Offshore and Gas activities (</w:t>
      </w:r>
      <w:r w:rsidR="00180574">
        <w:t>18,000 jobs in 2017</w:t>
      </w:r>
      <w:r w:rsidR="00410139">
        <w:t>) and</w:t>
      </w:r>
      <w:r w:rsidR="00026E7B">
        <w:t xml:space="preserve"> other </w:t>
      </w:r>
      <w:r w:rsidR="003C207D">
        <w:t xml:space="preserve">marine </w:t>
      </w:r>
      <w:r w:rsidR="00026E7B">
        <w:t xml:space="preserve">activities of the </w:t>
      </w:r>
      <w:r w:rsidR="00180574">
        <w:t>MES</w:t>
      </w:r>
      <w:r w:rsidR="00026E7B">
        <w:t xml:space="preserve"> indust</w:t>
      </w:r>
      <w:r w:rsidR="00180574">
        <w:t>ry</w:t>
      </w:r>
      <w:r w:rsidR="00026E7B">
        <w:t xml:space="preserve"> (</w:t>
      </w:r>
      <w:r w:rsidR="00180574">
        <w:t>11,100 jobs in 2017</w:t>
      </w:r>
      <w:r w:rsidR="00026E7B">
        <w:t xml:space="preserve">). </w:t>
      </w:r>
      <w:r w:rsidR="00D77939">
        <w:t>Following this trend,</w:t>
      </w:r>
      <w:r w:rsidR="00BF1DE1">
        <w:t xml:space="preserve"> we expect</w:t>
      </w:r>
      <w:r w:rsidR="00D77939">
        <w:t xml:space="preserve"> to see a</w:t>
      </w:r>
      <w:r w:rsidR="003C207D">
        <w:t xml:space="preserve"> continued rise </w:t>
      </w:r>
      <w:r w:rsidR="003C207D">
        <w:lastRenderedPageBreak/>
        <w:t xml:space="preserve">in employment </w:t>
      </w:r>
      <w:r w:rsidR="00D77939">
        <w:t xml:space="preserve">among other marine activities (specifically </w:t>
      </w:r>
      <w:r w:rsidR="003C207D">
        <w:t>marine renewable energy) as further investment have been made into the marine renewable energy sector</w:t>
      </w:r>
      <w:r w:rsidR="00126C05">
        <w:t xml:space="preserve"> over the past few years</w:t>
      </w:r>
      <w:r w:rsidR="003C207D">
        <w:t>. A recent example of this is the development and construction of marine tidal turbines. Currently, the world’s largest most powerful tidal tu</w:t>
      </w:r>
      <w:r w:rsidR="00D77939">
        <w:t>rbine is constructed in Dundee which will not only boost employment within the industry but also turnover and GVA.</w:t>
      </w:r>
      <w:r w:rsidR="00D77939" w:rsidRPr="001E3868">
        <w:rPr>
          <w:vertAlign w:val="superscript"/>
        </w:rPr>
        <w:footnoteReference w:id="12"/>
      </w:r>
    </w:p>
    <w:p w14:paraId="31825692" w14:textId="5E4D632A" w:rsidR="00A45F7F" w:rsidRDefault="006567B8" w:rsidP="001D7011">
      <w:pPr>
        <w:spacing w:after="120"/>
      </w:pPr>
      <w:r>
        <w:t xml:space="preserve">After combining the direct economic impacts of the Scottish Maritime sector through GVA and employment, it is observed that jobs across the sector and each industry are highly productive. </w:t>
      </w:r>
      <w:r w:rsidR="000D4724">
        <w:fldChar w:fldCharType="begin"/>
      </w:r>
      <w:r w:rsidR="000D4724">
        <w:instrText xml:space="preserve"> REF _Ref16685371 \h </w:instrText>
      </w:r>
      <w:r w:rsidR="000D4724">
        <w:fldChar w:fldCharType="separate"/>
      </w:r>
      <w:r w:rsidR="000D4724">
        <w:t xml:space="preserve">Table </w:t>
      </w:r>
      <w:r w:rsidR="000D4724">
        <w:rPr>
          <w:noProof/>
        </w:rPr>
        <w:t>9</w:t>
      </w:r>
      <w:r w:rsidR="000D4724">
        <w:fldChar w:fldCharType="end"/>
      </w:r>
      <w:r w:rsidR="000D4724">
        <w:t xml:space="preserve"> </w:t>
      </w:r>
      <w:r w:rsidR="000703B1">
        <w:t>below shows the levels of productivity across each industr</w:t>
      </w:r>
      <w:r w:rsidR="006544E8">
        <w:t>y within the Scottish Maritime S</w:t>
      </w:r>
      <w:r w:rsidR="000703B1">
        <w:t>ect</w:t>
      </w:r>
      <w:r w:rsidR="006544E8">
        <w:t>or across the years 2010 to 2017</w:t>
      </w:r>
      <w:r w:rsidR="000703B1">
        <w:t>.</w:t>
      </w:r>
      <w:r w:rsidR="002C2507">
        <w:t xml:space="preserve"> High productivity levels concentrated in </w:t>
      </w:r>
      <w:r w:rsidR="006544E8">
        <w:t xml:space="preserve">Marine Offshore </w:t>
      </w:r>
      <w:r w:rsidR="002C2507">
        <w:t>Oil and Gas activities helps boost the overall productivity of the Scottish Maritime sector in excess of the UK level.</w:t>
      </w:r>
    </w:p>
    <w:p w14:paraId="651338FD" w14:textId="5808C6C5" w:rsidR="00391560" w:rsidRDefault="000D4724" w:rsidP="000D4724">
      <w:pPr>
        <w:pStyle w:val="Caption"/>
      </w:pPr>
      <w:bookmarkStart w:id="73" w:name="_Ref16685371"/>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6875D2">
        <w:rPr>
          <w:noProof/>
        </w:rPr>
        <w:t>9</w:t>
      </w:r>
      <w:r w:rsidR="00BF1DE1">
        <w:rPr>
          <w:noProof/>
        </w:rPr>
        <w:fldChar w:fldCharType="end"/>
      </w:r>
      <w:bookmarkEnd w:id="73"/>
      <w:r w:rsidR="00391560">
        <w:t>: Productivity (GVA per employee) in the Scottish Maritime sector and constituent industries</w:t>
      </w:r>
      <w:r w:rsidR="009836A2">
        <w:t>, 2010 to 2017</w:t>
      </w:r>
    </w:p>
    <w:tbl>
      <w:tblPr>
        <w:tblW w:w="5000" w:type="pct"/>
        <w:tblLook w:val="04A0" w:firstRow="1" w:lastRow="0" w:firstColumn="1" w:lastColumn="0" w:noHBand="0" w:noVBand="1"/>
      </w:tblPr>
      <w:tblGrid>
        <w:gridCol w:w="1820"/>
        <w:gridCol w:w="976"/>
        <w:gridCol w:w="976"/>
        <w:gridCol w:w="976"/>
        <w:gridCol w:w="976"/>
        <w:gridCol w:w="976"/>
        <w:gridCol w:w="976"/>
        <w:gridCol w:w="976"/>
        <w:gridCol w:w="976"/>
      </w:tblGrid>
      <w:tr w:rsidR="006544E8" w:rsidRPr="006544E8" w14:paraId="1B9D3172" w14:textId="77777777" w:rsidTr="006544E8">
        <w:trPr>
          <w:trHeight w:val="525"/>
        </w:trPr>
        <w:tc>
          <w:tcPr>
            <w:tcW w:w="945" w:type="pct"/>
            <w:tcBorders>
              <w:top w:val="single" w:sz="8" w:space="0" w:color="FFFFFF"/>
              <w:left w:val="nil"/>
              <w:bottom w:val="single" w:sz="12" w:space="0" w:color="FFFFFF"/>
              <w:right w:val="single" w:sz="8" w:space="0" w:color="FFFFFF"/>
            </w:tcBorders>
            <w:shd w:val="clear" w:color="000000" w:fill="008C9B"/>
            <w:vAlign w:val="center"/>
            <w:hideMark/>
          </w:tcPr>
          <w:p w14:paraId="1A8FA518" w14:textId="77777777" w:rsidR="006544E8" w:rsidRPr="006544E8" w:rsidRDefault="006544E8" w:rsidP="006544E8">
            <w:pPr>
              <w:spacing w:after="0"/>
              <w:rPr>
                <w:rFonts w:ascii="Calibri" w:eastAsia="Times New Roman" w:hAnsi="Calibri"/>
                <w:b/>
                <w:bCs/>
                <w:color w:val="FFFFFF"/>
                <w:sz w:val="20"/>
                <w:lang w:eastAsia="en-GB"/>
              </w:rPr>
            </w:pPr>
            <w:r w:rsidRPr="006544E8">
              <w:rPr>
                <w:rFonts w:ascii="Calibri" w:eastAsia="Times New Roman" w:hAnsi="Calibri"/>
                <w:b/>
                <w:bCs/>
                <w:color w:val="FFFFFF"/>
                <w:sz w:val="20"/>
                <w:lang w:eastAsia="en-GB"/>
              </w:rPr>
              <w:t>GVA per employee</w:t>
            </w:r>
          </w:p>
        </w:tc>
        <w:tc>
          <w:tcPr>
            <w:tcW w:w="507" w:type="pct"/>
            <w:tcBorders>
              <w:top w:val="single" w:sz="8" w:space="0" w:color="FFFFFF"/>
              <w:left w:val="nil"/>
              <w:bottom w:val="single" w:sz="12" w:space="0" w:color="FFFFFF"/>
              <w:right w:val="single" w:sz="8" w:space="0" w:color="FFFFFF"/>
            </w:tcBorders>
            <w:shd w:val="clear" w:color="000000" w:fill="008C9B"/>
            <w:vAlign w:val="center"/>
            <w:hideMark/>
          </w:tcPr>
          <w:p w14:paraId="13BD5912" w14:textId="77777777" w:rsidR="006544E8" w:rsidRPr="006544E8" w:rsidRDefault="006544E8" w:rsidP="006544E8">
            <w:pPr>
              <w:spacing w:after="0"/>
              <w:jc w:val="center"/>
              <w:rPr>
                <w:rFonts w:ascii="Calibri" w:eastAsia="Times New Roman" w:hAnsi="Calibri"/>
                <w:b/>
                <w:bCs/>
                <w:color w:val="FFFFFF"/>
                <w:sz w:val="20"/>
                <w:lang w:eastAsia="en-GB"/>
              </w:rPr>
            </w:pPr>
            <w:r w:rsidRPr="006544E8">
              <w:rPr>
                <w:rFonts w:ascii="Calibri" w:eastAsia="Times New Roman" w:hAnsi="Calibri"/>
                <w:b/>
                <w:bCs/>
                <w:color w:val="FFFFFF"/>
                <w:sz w:val="20"/>
                <w:lang w:eastAsia="en-GB"/>
              </w:rPr>
              <w:t>2010</w:t>
            </w:r>
          </w:p>
        </w:tc>
        <w:tc>
          <w:tcPr>
            <w:tcW w:w="507" w:type="pct"/>
            <w:tcBorders>
              <w:top w:val="single" w:sz="8" w:space="0" w:color="FFFFFF"/>
              <w:left w:val="nil"/>
              <w:bottom w:val="single" w:sz="12" w:space="0" w:color="FFFFFF"/>
              <w:right w:val="single" w:sz="8" w:space="0" w:color="FFFFFF"/>
            </w:tcBorders>
            <w:shd w:val="clear" w:color="000000" w:fill="008C9B"/>
            <w:vAlign w:val="center"/>
            <w:hideMark/>
          </w:tcPr>
          <w:p w14:paraId="620EC8BA" w14:textId="77777777" w:rsidR="006544E8" w:rsidRPr="006544E8" w:rsidRDefault="006544E8" w:rsidP="006544E8">
            <w:pPr>
              <w:spacing w:after="0"/>
              <w:jc w:val="center"/>
              <w:rPr>
                <w:rFonts w:ascii="Calibri" w:eastAsia="Times New Roman" w:hAnsi="Calibri"/>
                <w:b/>
                <w:bCs/>
                <w:color w:val="FFFFFF"/>
                <w:sz w:val="20"/>
                <w:lang w:eastAsia="en-GB"/>
              </w:rPr>
            </w:pPr>
            <w:r w:rsidRPr="006544E8">
              <w:rPr>
                <w:rFonts w:ascii="Calibri" w:eastAsia="Times New Roman" w:hAnsi="Calibri"/>
                <w:b/>
                <w:bCs/>
                <w:color w:val="FFFFFF"/>
                <w:sz w:val="20"/>
                <w:lang w:eastAsia="en-GB"/>
              </w:rPr>
              <w:t>2011</w:t>
            </w:r>
          </w:p>
        </w:tc>
        <w:tc>
          <w:tcPr>
            <w:tcW w:w="507" w:type="pct"/>
            <w:tcBorders>
              <w:top w:val="single" w:sz="8" w:space="0" w:color="FFFFFF"/>
              <w:left w:val="nil"/>
              <w:bottom w:val="single" w:sz="12" w:space="0" w:color="FFFFFF"/>
              <w:right w:val="single" w:sz="8" w:space="0" w:color="FFFFFF"/>
            </w:tcBorders>
            <w:shd w:val="clear" w:color="000000" w:fill="008C9B"/>
            <w:vAlign w:val="center"/>
            <w:hideMark/>
          </w:tcPr>
          <w:p w14:paraId="6C376275" w14:textId="77777777" w:rsidR="006544E8" w:rsidRPr="006544E8" w:rsidRDefault="006544E8" w:rsidP="006544E8">
            <w:pPr>
              <w:spacing w:after="0"/>
              <w:jc w:val="center"/>
              <w:rPr>
                <w:rFonts w:ascii="Calibri" w:eastAsia="Times New Roman" w:hAnsi="Calibri"/>
                <w:b/>
                <w:bCs/>
                <w:color w:val="FFFFFF"/>
                <w:sz w:val="20"/>
                <w:lang w:eastAsia="en-GB"/>
              </w:rPr>
            </w:pPr>
            <w:r w:rsidRPr="006544E8">
              <w:rPr>
                <w:rFonts w:ascii="Calibri" w:eastAsia="Times New Roman" w:hAnsi="Calibri"/>
                <w:b/>
                <w:bCs/>
                <w:color w:val="FFFFFF"/>
                <w:sz w:val="20"/>
                <w:lang w:eastAsia="en-GB"/>
              </w:rPr>
              <w:t>2012</w:t>
            </w:r>
          </w:p>
        </w:tc>
        <w:tc>
          <w:tcPr>
            <w:tcW w:w="507" w:type="pct"/>
            <w:tcBorders>
              <w:top w:val="single" w:sz="8" w:space="0" w:color="FFFFFF"/>
              <w:left w:val="nil"/>
              <w:bottom w:val="single" w:sz="12" w:space="0" w:color="FFFFFF"/>
              <w:right w:val="single" w:sz="8" w:space="0" w:color="FFFFFF"/>
            </w:tcBorders>
            <w:shd w:val="clear" w:color="000000" w:fill="008C9B"/>
            <w:vAlign w:val="center"/>
            <w:hideMark/>
          </w:tcPr>
          <w:p w14:paraId="23C90902" w14:textId="77777777" w:rsidR="006544E8" w:rsidRPr="006544E8" w:rsidRDefault="006544E8" w:rsidP="006544E8">
            <w:pPr>
              <w:spacing w:after="0"/>
              <w:jc w:val="center"/>
              <w:rPr>
                <w:rFonts w:ascii="Calibri" w:eastAsia="Times New Roman" w:hAnsi="Calibri"/>
                <w:b/>
                <w:bCs/>
                <w:color w:val="FFFFFF"/>
                <w:sz w:val="20"/>
                <w:lang w:eastAsia="en-GB"/>
              </w:rPr>
            </w:pPr>
            <w:r w:rsidRPr="006544E8">
              <w:rPr>
                <w:rFonts w:ascii="Calibri" w:eastAsia="Times New Roman" w:hAnsi="Calibri"/>
                <w:b/>
                <w:bCs/>
                <w:color w:val="FFFFFF"/>
                <w:sz w:val="20"/>
                <w:lang w:eastAsia="en-GB"/>
              </w:rPr>
              <w:t>2013</w:t>
            </w:r>
          </w:p>
        </w:tc>
        <w:tc>
          <w:tcPr>
            <w:tcW w:w="507" w:type="pct"/>
            <w:tcBorders>
              <w:top w:val="single" w:sz="8" w:space="0" w:color="FFFFFF"/>
              <w:left w:val="nil"/>
              <w:bottom w:val="single" w:sz="12" w:space="0" w:color="FFFFFF"/>
              <w:right w:val="single" w:sz="8" w:space="0" w:color="FFFFFF"/>
            </w:tcBorders>
            <w:shd w:val="clear" w:color="000000" w:fill="008C9B"/>
            <w:vAlign w:val="center"/>
            <w:hideMark/>
          </w:tcPr>
          <w:p w14:paraId="726B57C8" w14:textId="77777777" w:rsidR="006544E8" w:rsidRPr="006544E8" w:rsidRDefault="006544E8" w:rsidP="006544E8">
            <w:pPr>
              <w:spacing w:after="0"/>
              <w:jc w:val="center"/>
              <w:rPr>
                <w:rFonts w:ascii="Calibri" w:eastAsia="Times New Roman" w:hAnsi="Calibri"/>
                <w:b/>
                <w:bCs/>
                <w:color w:val="FFFFFF"/>
                <w:sz w:val="20"/>
                <w:lang w:eastAsia="en-GB"/>
              </w:rPr>
            </w:pPr>
            <w:r w:rsidRPr="006544E8">
              <w:rPr>
                <w:rFonts w:ascii="Calibri" w:eastAsia="Times New Roman" w:hAnsi="Calibri"/>
                <w:b/>
                <w:bCs/>
                <w:color w:val="FFFFFF"/>
                <w:sz w:val="20"/>
                <w:lang w:eastAsia="en-GB"/>
              </w:rPr>
              <w:t>2014</w:t>
            </w:r>
          </w:p>
        </w:tc>
        <w:tc>
          <w:tcPr>
            <w:tcW w:w="507" w:type="pct"/>
            <w:tcBorders>
              <w:top w:val="single" w:sz="8" w:space="0" w:color="FFFFFF"/>
              <w:left w:val="nil"/>
              <w:bottom w:val="single" w:sz="12" w:space="0" w:color="FFFFFF"/>
              <w:right w:val="single" w:sz="8" w:space="0" w:color="FFFFFF"/>
            </w:tcBorders>
            <w:shd w:val="clear" w:color="000000" w:fill="008C9B"/>
            <w:vAlign w:val="center"/>
            <w:hideMark/>
          </w:tcPr>
          <w:p w14:paraId="1B138D7E" w14:textId="77777777" w:rsidR="006544E8" w:rsidRPr="006544E8" w:rsidRDefault="006544E8" w:rsidP="006544E8">
            <w:pPr>
              <w:spacing w:after="0"/>
              <w:jc w:val="center"/>
              <w:rPr>
                <w:rFonts w:ascii="Calibri" w:eastAsia="Times New Roman" w:hAnsi="Calibri"/>
                <w:b/>
                <w:bCs/>
                <w:color w:val="FFFFFF"/>
                <w:sz w:val="20"/>
                <w:lang w:eastAsia="en-GB"/>
              </w:rPr>
            </w:pPr>
            <w:r w:rsidRPr="006544E8">
              <w:rPr>
                <w:rFonts w:ascii="Calibri" w:eastAsia="Times New Roman" w:hAnsi="Calibri"/>
                <w:b/>
                <w:bCs/>
                <w:color w:val="FFFFFF"/>
                <w:sz w:val="20"/>
                <w:lang w:eastAsia="en-GB"/>
              </w:rPr>
              <w:t>2015</w:t>
            </w:r>
          </w:p>
        </w:tc>
        <w:tc>
          <w:tcPr>
            <w:tcW w:w="507" w:type="pct"/>
            <w:tcBorders>
              <w:top w:val="single" w:sz="8" w:space="0" w:color="FFFFFF"/>
              <w:left w:val="nil"/>
              <w:bottom w:val="single" w:sz="12" w:space="0" w:color="FFFFFF"/>
              <w:right w:val="single" w:sz="8" w:space="0" w:color="FFFFFF"/>
            </w:tcBorders>
            <w:shd w:val="clear" w:color="000000" w:fill="008C9B"/>
            <w:vAlign w:val="center"/>
            <w:hideMark/>
          </w:tcPr>
          <w:p w14:paraId="5827DBBC" w14:textId="77777777" w:rsidR="006544E8" w:rsidRPr="006544E8" w:rsidRDefault="006544E8" w:rsidP="006544E8">
            <w:pPr>
              <w:spacing w:after="0"/>
              <w:jc w:val="center"/>
              <w:rPr>
                <w:rFonts w:ascii="Calibri" w:eastAsia="Times New Roman" w:hAnsi="Calibri"/>
                <w:b/>
                <w:bCs/>
                <w:color w:val="FFFFFF"/>
                <w:sz w:val="20"/>
                <w:lang w:eastAsia="en-GB"/>
              </w:rPr>
            </w:pPr>
            <w:r w:rsidRPr="006544E8">
              <w:rPr>
                <w:rFonts w:ascii="Calibri" w:eastAsia="Times New Roman" w:hAnsi="Calibri"/>
                <w:b/>
                <w:bCs/>
                <w:color w:val="FFFFFF"/>
                <w:sz w:val="20"/>
                <w:lang w:eastAsia="en-GB"/>
              </w:rPr>
              <w:t>2016</w:t>
            </w:r>
          </w:p>
        </w:tc>
        <w:tc>
          <w:tcPr>
            <w:tcW w:w="507" w:type="pct"/>
            <w:tcBorders>
              <w:top w:val="single" w:sz="8" w:space="0" w:color="FFFFFF"/>
              <w:left w:val="nil"/>
              <w:bottom w:val="single" w:sz="12" w:space="0" w:color="FFFFFF"/>
              <w:right w:val="single" w:sz="8" w:space="0" w:color="FFFFFF"/>
            </w:tcBorders>
            <w:shd w:val="clear" w:color="000000" w:fill="008C9B"/>
            <w:vAlign w:val="center"/>
            <w:hideMark/>
          </w:tcPr>
          <w:p w14:paraId="0C25A7A6" w14:textId="77777777" w:rsidR="006544E8" w:rsidRPr="006544E8" w:rsidRDefault="006544E8" w:rsidP="006544E8">
            <w:pPr>
              <w:spacing w:after="0"/>
              <w:jc w:val="center"/>
              <w:rPr>
                <w:rFonts w:ascii="Calibri" w:eastAsia="Times New Roman" w:hAnsi="Calibri"/>
                <w:b/>
                <w:bCs/>
                <w:color w:val="FFFFFF"/>
                <w:sz w:val="20"/>
                <w:lang w:eastAsia="en-GB"/>
              </w:rPr>
            </w:pPr>
            <w:r w:rsidRPr="006544E8">
              <w:rPr>
                <w:rFonts w:ascii="Calibri" w:eastAsia="Times New Roman" w:hAnsi="Calibri"/>
                <w:b/>
                <w:bCs/>
                <w:color w:val="FFFFFF"/>
                <w:sz w:val="20"/>
                <w:lang w:eastAsia="en-GB"/>
              </w:rPr>
              <w:t>2017</w:t>
            </w:r>
          </w:p>
        </w:tc>
      </w:tr>
      <w:tr w:rsidR="009A5306" w:rsidRPr="006544E8" w14:paraId="3AD5ACB3" w14:textId="77777777" w:rsidTr="009A5306">
        <w:trPr>
          <w:trHeight w:val="330"/>
        </w:trPr>
        <w:tc>
          <w:tcPr>
            <w:tcW w:w="945" w:type="pct"/>
            <w:tcBorders>
              <w:top w:val="nil"/>
              <w:left w:val="single" w:sz="8" w:space="0" w:color="FFFFFF"/>
              <w:bottom w:val="single" w:sz="8" w:space="0" w:color="FFFFFF"/>
              <w:right w:val="single" w:sz="8" w:space="0" w:color="FFFFFF"/>
            </w:tcBorders>
            <w:shd w:val="clear" w:color="000000" w:fill="008C9B"/>
            <w:vAlign w:val="center"/>
            <w:hideMark/>
          </w:tcPr>
          <w:p w14:paraId="787EA758" w14:textId="16DF7111" w:rsidR="009A5306" w:rsidRPr="006544E8" w:rsidRDefault="009A5306" w:rsidP="009A5306">
            <w:pPr>
              <w:spacing w:after="0"/>
              <w:rPr>
                <w:rFonts w:ascii="Calibri" w:eastAsia="Times New Roman" w:hAnsi="Calibri"/>
                <w:b/>
                <w:bCs/>
                <w:color w:val="FFFFFF"/>
                <w:sz w:val="20"/>
                <w:lang w:eastAsia="en-GB"/>
              </w:rPr>
            </w:pPr>
            <w:r>
              <w:rPr>
                <w:rFonts w:ascii="Calibri" w:eastAsia="Times New Roman" w:hAnsi="Calibri"/>
                <w:b/>
                <w:bCs/>
                <w:color w:val="FFFFFF"/>
                <w:sz w:val="20"/>
                <w:lang w:eastAsia="en-GB"/>
              </w:rPr>
              <w:t>UK economy</w:t>
            </w:r>
          </w:p>
        </w:tc>
        <w:tc>
          <w:tcPr>
            <w:tcW w:w="507" w:type="pct"/>
            <w:tcBorders>
              <w:top w:val="nil"/>
              <w:left w:val="nil"/>
              <w:bottom w:val="single" w:sz="8" w:space="0" w:color="FFFFFF"/>
              <w:right w:val="single" w:sz="8" w:space="0" w:color="FFFFFF"/>
            </w:tcBorders>
            <w:shd w:val="clear" w:color="auto" w:fill="D0CECE"/>
            <w:vAlign w:val="center"/>
            <w:hideMark/>
          </w:tcPr>
          <w:p w14:paraId="2DE6DF5E" w14:textId="3C638877" w:rsidR="009A5306" w:rsidRPr="006544E8" w:rsidRDefault="009A5306" w:rsidP="009A5306">
            <w:pPr>
              <w:spacing w:after="0"/>
              <w:jc w:val="center"/>
              <w:rPr>
                <w:rFonts w:ascii="Calibri" w:eastAsia="Times New Roman" w:hAnsi="Calibri"/>
                <w:color w:val="000000"/>
                <w:sz w:val="20"/>
                <w:lang w:eastAsia="en-GB"/>
              </w:rPr>
            </w:pPr>
            <w:r w:rsidRPr="009A5306">
              <w:rPr>
                <w:rFonts w:ascii="Calibri" w:eastAsia="Times New Roman" w:hAnsi="Calibri"/>
                <w:color w:val="000000"/>
                <w:sz w:val="20"/>
                <w:lang w:eastAsia="en-GB"/>
              </w:rPr>
              <w:t>£46,215</w:t>
            </w:r>
          </w:p>
        </w:tc>
        <w:tc>
          <w:tcPr>
            <w:tcW w:w="507" w:type="pct"/>
            <w:tcBorders>
              <w:top w:val="nil"/>
              <w:left w:val="nil"/>
              <w:bottom w:val="single" w:sz="8" w:space="0" w:color="FFFFFF"/>
              <w:right w:val="single" w:sz="8" w:space="0" w:color="FFFFFF"/>
            </w:tcBorders>
            <w:shd w:val="clear" w:color="auto" w:fill="D0CECE"/>
            <w:vAlign w:val="center"/>
            <w:hideMark/>
          </w:tcPr>
          <w:p w14:paraId="0D13F17E" w14:textId="627D4B09" w:rsidR="009A5306" w:rsidRPr="006544E8" w:rsidRDefault="009A5306" w:rsidP="009A5306">
            <w:pPr>
              <w:spacing w:after="0"/>
              <w:jc w:val="center"/>
              <w:rPr>
                <w:rFonts w:ascii="Calibri" w:eastAsia="Times New Roman" w:hAnsi="Calibri"/>
                <w:color w:val="000000"/>
                <w:sz w:val="20"/>
                <w:lang w:eastAsia="en-GB"/>
              </w:rPr>
            </w:pPr>
            <w:r w:rsidRPr="009A5306">
              <w:rPr>
                <w:rFonts w:ascii="Calibri" w:eastAsia="Times New Roman" w:hAnsi="Calibri"/>
                <w:color w:val="000000"/>
                <w:sz w:val="20"/>
                <w:lang w:eastAsia="en-GB"/>
              </w:rPr>
              <w:t>£47,176</w:t>
            </w:r>
          </w:p>
        </w:tc>
        <w:tc>
          <w:tcPr>
            <w:tcW w:w="507" w:type="pct"/>
            <w:tcBorders>
              <w:top w:val="nil"/>
              <w:left w:val="nil"/>
              <w:bottom w:val="single" w:sz="8" w:space="0" w:color="FFFFFF"/>
              <w:right w:val="single" w:sz="8" w:space="0" w:color="FFFFFF"/>
            </w:tcBorders>
            <w:shd w:val="clear" w:color="auto" w:fill="D0CECE"/>
            <w:vAlign w:val="center"/>
            <w:hideMark/>
          </w:tcPr>
          <w:p w14:paraId="5124282B" w14:textId="55DD9E95" w:rsidR="009A5306" w:rsidRPr="006544E8" w:rsidRDefault="009A5306" w:rsidP="009A5306">
            <w:pPr>
              <w:spacing w:after="0"/>
              <w:jc w:val="center"/>
              <w:rPr>
                <w:rFonts w:ascii="Calibri" w:eastAsia="Times New Roman" w:hAnsi="Calibri"/>
                <w:color w:val="000000"/>
                <w:sz w:val="20"/>
                <w:lang w:eastAsia="en-GB"/>
              </w:rPr>
            </w:pPr>
            <w:r w:rsidRPr="009A5306">
              <w:rPr>
                <w:rFonts w:ascii="Calibri" w:eastAsia="Times New Roman" w:hAnsi="Calibri"/>
                <w:color w:val="000000"/>
                <w:sz w:val="20"/>
                <w:lang w:eastAsia="en-GB"/>
              </w:rPr>
              <w:t>£48,355</w:t>
            </w:r>
          </w:p>
        </w:tc>
        <w:tc>
          <w:tcPr>
            <w:tcW w:w="507" w:type="pct"/>
            <w:tcBorders>
              <w:top w:val="nil"/>
              <w:left w:val="nil"/>
              <w:bottom w:val="single" w:sz="8" w:space="0" w:color="FFFFFF"/>
              <w:right w:val="single" w:sz="8" w:space="0" w:color="FFFFFF"/>
            </w:tcBorders>
            <w:shd w:val="clear" w:color="auto" w:fill="D0CECE"/>
            <w:vAlign w:val="center"/>
            <w:hideMark/>
          </w:tcPr>
          <w:p w14:paraId="7325D8B4" w14:textId="1C1A4E13" w:rsidR="009A5306" w:rsidRPr="006544E8" w:rsidRDefault="009A5306" w:rsidP="009A5306">
            <w:pPr>
              <w:spacing w:after="0"/>
              <w:jc w:val="center"/>
              <w:rPr>
                <w:rFonts w:ascii="Calibri" w:eastAsia="Times New Roman" w:hAnsi="Calibri"/>
                <w:color w:val="000000"/>
                <w:sz w:val="20"/>
                <w:lang w:eastAsia="en-GB"/>
              </w:rPr>
            </w:pPr>
            <w:r w:rsidRPr="009A5306">
              <w:rPr>
                <w:rFonts w:ascii="Calibri" w:eastAsia="Times New Roman" w:hAnsi="Calibri"/>
                <w:color w:val="000000"/>
                <w:sz w:val="20"/>
                <w:lang w:eastAsia="en-GB"/>
              </w:rPr>
              <w:t>£49,691</w:t>
            </w:r>
          </w:p>
        </w:tc>
        <w:tc>
          <w:tcPr>
            <w:tcW w:w="507" w:type="pct"/>
            <w:tcBorders>
              <w:top w:val="nil"/>
              <w:left w:val="nil"/>
              <w:bottom w:val="single" w:sz="8" w:space="0" w:color="FFFFFF"/>
              <w:right w:val="single" w:sz="8" w:space="0" w:color="FFFFFF"/>
            </w:tcBorders>
            <w:shd w:val="clear" w:color="auto" w:fill="D0CECE"/>
            <w:vAlign w:val="center"/>
            <w:hideMark/>
          </w:tcPr>
          <w:p w14:paraId="0DF75E7D" w14:textId="7160FFE2" w:rsidR="009A5306" w:rsidRPr="006544E8" w:rsidRDefault="009A5306" w:rsidP="009A5306">
            <w:pPr>
              <w:spacing w:after="0"/>
              <w:jc w:val="center"/>
              <w:rPr>
                <w:rFonts w:ascii="Calibri" w:eastAsia="Times New Roman" w:hAnsi="Calibri"/>
                <w:color w:val="000000"/>
                <w:sz w:val="20"/>
                <w:lang w:eastAsia="en-GB"/>
              </w:rPr>
            </w:pPr>
            <w:r w:rsidRPr="009A5306">
              <w:rPr>
                <w:rFonts w:ascii="Calibri" w:eastAsia="Times New Roman" w:hAnsi="Calibri"/>
                <w:color w:val="000000"/>
                <w:sz w:val="20"/>
                <w:lang w:eastAsia="en-GB"/>
              </w:rPr>
              <w:t>£50,877</w:t>
            </w:r>
          </w:p>
        </w:tc>
        <w:tc>
          <w:tcPr>
            <w:tcW w:w="507" w:type="pct"/>
            <w:tcBorders>
              <w:top w:val="nil"/>
              <w:left w:val="nil"/>
              <w:bottom w:val="single" w:sz="8" w:space="0" w:color="FFFFFF"/>
              <w:right w:val="single" w:sz="8" w:space="0" w:color="FFFFFF"/>
            </w:tcBorders>
            <w:shd w:val="clear" w:color="auto" w:fill="D0CECE"/>
            <w:vAlign w:val="center"/>
            <w:hideMark/>
          </w:tcPr>
          <w:p w14:paraId="65F0A6DE" w14:textId="522DE2B4" w:rsidR="009A5306" w:rsidRPr="006544E8" w:rsidRDefault="009A5306" w:rsidP="009A5306">
            <w:pPr>
              <w:spacing w:after="0"/>
              <w:jc w:val="center"/>
              <w:rPr>
                <w:rFonts w:ascii="Calibri" w:eastAsia="Times New Roman" w:hAnsi="Calibri"/>
                <w:color w:val="000000"/>
                <w:sz w:val="20"/>
                <w:lang w:eastAsia="en-GB"/>
              </w:rPr>
            </w:pPr>
            <w:r w:rsidRPr="009A5306">
              <w:rPr>
                <w:rFonts w:ascii="Calibri" w:eastAsia="Times New Roman" w:hAnsi="Calibri"/>
                <w:color w:val="000000"/>
                <w:sz w:val="20"/>
                <w:lang w:eastAsia="en-GB"/>
              </w:rPr>
              <w:t>£51,619</w:t>
            </w:r>
          </w:p>
        </w:tc>
        <w:tc>
          <w:tcPr>
            <w:tcW w:w="507" w:type="pct"/>
            <w:tcBorders>
              <w:top w:val="nil"/>
              <w:left w:val="nil"/>
              <w:bottom w:val="single" w:sz="8" w:space="0" w:color="FFFFFF"/>
              <w:right w:val="single" w:sz="8" w:space="0" w:color="FFFFFF"/>
            </w:tcBorders>
            <w:shd w:val="clear" w:color="auto" w:fill="D0CECE"/>
            <w:vAlign w:val="center"/>
            <w:hideMark/>
          </w:tcPr>
          <w:p w14:paraId="5C3E7B19" w14:textId="66C55656" w:rsidR="009A5306" w:rsidRPr="006544E8" w:rsidRDefault="009A5306" w:rsidP="009A5306">
            <w:pPr>
              <w:spacing w:after="0"/>
              <w:jc w:val="center"/>
              <w:rPr>
                <w:rFonts w:ascii="Calibri" w:eastAsia="Times New Roman" w:hAnsi="Calibri"/>
                <w:color w:val="000000"/>
                <w:sz w:val="20"/>
                <w:lang w:eastAsia="en-GB"/>
              </w:rPr>
            </w:pPr>
            <w:r w:rsidRPr="009A5306">
              <w:rPr>
                <w:rFonts w:ascii="Calibri" w:eastAsia="Times New Roman" w:hAnsi="Calibri"/>
                <w:color w:val="000000"/>
                <w:sz w:val="20"/>
                <w:lang w:eastAsia="en-GB"/>
              </w:rPr>
              <w:t>£53,013</w:t>
            </w:r>
          </w:p>
        </w:tc>
        <w:tc>
          <w:tcPr>
            <w:tcW w:w="507" w:type="pct"/>
            <w:tcBorders>
              <w:top w:val="nil"/>
              <w:left w:val="nil"/>
              <w:bottom w:val="single" w:sz="8" w:space="0" w:color="FFFFFF"/>
              <w:right w:val="single" w:sz="8" w:space="0" w:color="FFFFFF"/>
            </w:tcBorders>
            <w:shd w:val="clear" w:color="auto" w:fill="D0CECE"/>
            <w:vAlign w:val="center"/>
            <w:hideMark/>
          </w:tcPr>
          <w:p w14:paraId="64054FDD" w14:textId="521F7834" w:rsidR="009A5306" w:rsidRPr="006544E8" w:rsidRDefault="009A5306" w:rsidP="009A5306">
            <w:pPr>
              <w:spacing w:after="0"/>
              <w:jc w:val="center"/>
              <w:rPr>
                <w:rFonts w:ascii="Calibri" w:eastAsia="Times New Roman" w:hAnsi="Calibri"/>
                <w:color w:val="000000"/>
                <w:sz w:val="20"/>
                <w:lang w:eastAsia="en-GB"/>
              </w:rPr>
            </w:pPr>
            <w:r w:rsidRPr="009A5306">
              <w:rPr>
                <w:rFonts w:ascii="Calibri" w:eastAsia="Times New Roman" w:hAnsi="Calibri"/>
                <w:color w:val="000000"/>
                <w:sz w:val="20"/>
                <w:lang w:eastAsia="en-GB"/>
              </w:rPr>
              <w:t>£54,330</w:t>
            </w:r>
          </w:p>
        </w:tc>
      </w:tr>
      <w:tr w:rsidR="009A5306" w:rsidRPr="006544E8" w14:paraId="75CB8411" w14:textId="77777777" w:rsidTr="006544E8">
        <w:trPr>
          <w:trHeight w:val="330"/>
        </w:trPr>
        <w:tc>
          <w:tcPr>
            <w:tcW w:w="945" w:type="pct"/>
            <w:tcBorders>
              <w:top w:val="nil"/>
              <w:left w:val="single" w:sz="8" w:space="0" w:color="FFFFFF"/>
              <w:bottom w:val="single" w:sz="8" w:space="0" w:color="FFFFFF"/>
              <w:right w:val="single" w:sz="8" w:space="0" w:color="FFFFFF"/>
            </w:tcBorders>
            <w:shd w:val="clear" w:color="000000" w:fill="008C9B"/>
            <w:vAlign w:val="center"/>
          </w:tcPr>
          <w:p w14:paraId="10FEEF26" w14:textId="75E731A0" w:rsidR="009A5306" w:rsidRPr="006544E8" w:rsidRDefault="009A5306" w:rsidP="009A5306">
            <w:pPr>
              <w:spacing w:after="0"/>
              <w:rPr>
                <w:rFonts w:ascii="Calibri" w:eastAsia="Times New Roman" w:hAnsi="Calibri"/>
                <w:b/>
                <w:bCs/>
                <w:color w:val="FFFFFF"/>
                <w:sz w:val="20"/>
                <w:lang w:eastAsia="en-GB"/>
              </w:rPr>
            </w:pPr>
            <w:r w:rsidRPr="006544E8">
              <w:rPr>
                <w:rFonts w:ascii="Calibri" w:eastAsia="Times New Roman" w:hAnsi="Calibri"/>
                <w:b/>
                <w:bCs/>
                <w:color w:val="FFFFFF"/>
                <w:sz w:val="20"/>
                <w:lang w:eastAsia="en-GB"/>
              </w:rPr>
              <w:t>UK Maritime sector</w:t>
            </w:r>
          </w:p>
        </w:tc>
        <w:tc>
          <w:tcPr>
            <w:tcW w:w="507" w:type="pct"/>
            <w:tcBorders>
              <w:top w:val="nil"/>
              <w:left w:val="nil"/>
              <w:bottom w:val="single" w:sz="8" w:space="0" w:color="FFFFFF"/>
              <w:right w:val="single" w:sz="8" w:space="0" w:color="FFFFFF"/>
            </w:tcBorders>
            <w:shd w:val="clear" w:color="000000" w:fill="E7EEEF"/>
            <w:vAlign w:val="center"/>
          </w:tcPr>
          <w:p w14:paraId="1F293E6D" w14:textId="4167AADB"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£69,760</w:t>
            </w:r>
          </w:p>
        </w:tc>
        <w:tc>
          <w:tcPr>
            <w:tcW w:w="507" w:type="pct"/>
            <w:tcBorders>
              <w:top w:val="nil"/>
              <w:left w:val="nil"/>
              <w:bottom w:val="single" w:sz="8" w:space="0" w:color="FFFFFF"/>
              <w:right w:val="single" w:sz="8" w:space="0" w:color="FFFFFF"/>
            </w:tcBorders>
            <w:shd w:val="clear" w:color="000000" w:fill="E7EEEF"/>
            <w:vAlign w:val="center"/>
          </w:tcPr>
          <w:p w14:paraId="0C4CA93A" w14:textId="41126468"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£68,554</w:t>
            </w:r>
          </w:p>
        </w:tc>
        <w:tc>
          <w:tcPr>
            <w:tcW w:w="507" w:type="pct"/>
            <w:tcBorders>
              <w:top w:val="nil"/>
              <w:left w:val="nil"/>
              <w:bottom w:val="single" w:sz="8" w:space="0" w:color="FFFFFF"/>
              <w:right w:val="single" w:sz="8" w:space="0" w:color="FFFFFF"/>
            </w:tcBorders>
            <w:shd w:val="clear" w:color="000000" w:fill="E7EEEF"/>
            <w:vAlign w:val="center"/>
          </w:tcPr>
          <w:p w14:paraId="7404D070" w14:textId="79A2C33E"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£78,170</w:t>
            </w:r>
          </w:p>
        </w:tc>
        <w:tc>
          <w:tcPr>
            <w:tcW w:w="507" w:type="pct"/>
            <w:tcBorders>
              <w:top w:val="nil"/>
              <w:left w:val="nil"/>
              <w:bottom w:val="single" w:sz="8" w:space="0" w:color="FFFFFF"/>
              <w:right w:val="single" w:sz="8" w:space="0" w:color="FFFFFF"/>
            </w:tcBorders>
            <w:shd w:val="clear" w:color="000000" w:fill="E7EEEF"/>
            <w:vAlign w:val="center"/>
          </w:tcPr>
          <w:p w14:paraId="77BD45A1" w14:textId="74291D14"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£74,721</w:t>
            </w:r>
          </w:p>
        </w:tc>
        <w:tc>
          <w:tcPr>
            <w:tcW w:w="507" w:type="pct"/>
            <w:tcBorders>
              <w:top w:val="nil"/>
              <w:left w:val="nil"/>
              <w:bottom w:val="single" w:sz="8" w:space="0" w:color="FFFFFF"/>
              <w:right w:val="single" w:sz="8" w:space="0" w:color="FFFFFF"/>
            </w:tcBorders>
            <w:shd w:val="clear" w:color="000000" w:fill="E7EEEF"/>
            <w:vAlign w:val="center"/>
          </w:tcPr>
          <w:p w14:paraId="332535E3" w14:textId="684D7655"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£75,599</w:t>
            </w:r>
          </w:p>
        </w:tc>
        <w:tc>
          <w:tcPr>
            <w:tcW w:w="507" w:type="pct"/>
            <w:tcBorders>
              <w:top w:val="nil"/>
              <w:left w:val="nil"/>
              <w:bottom w:val="single" w:sz="8" w:space="0" w:color="FFFFFF"/>
              <w:right w:val="single" w:sz="8" w:space="0" w:color="FFFFFF"/>
            </w:tcBorders>
            <w:shd w:val="clear" w:color="000000" w:fill="E7EEEF"/>
            <w:vAlign w:val="center"/>
          </w:tcPr>
          <w:p w14:paraId="35911DCE" w14:textId="7EC194A2"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£75,209</w:t>
            </w:r>
          </w:p>
        </w:tc>
        <w:tc>
          <w:tcPr>
            <w:tcW w:w="507" w:type="pct"/>
            <w:tcBorders>
              <w:top w:val="nil"/>
              <w:left w:val="nil"/>
              <w:bottom w:val="single" w:sz="8" w:space="0" w:color="FFFFFF"/>
              <w:right w:val="single" w:sz="8" w:space="0" w:color="FFFFFF"/>
            </w:tcBorders>
            <w:shd w:val="clear" w:color="000000" w:fill="E7EEEF"/>
            <w:vAlign w:val="center"/>
          </w:tcPr>
          <w:p w14:paraId="1B314799" w14:textId="6370116C"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£74,609</w:t>
            </w:r>
          </w:p>
        </w:tc>
        <w:tc>
          <w:tcPr>
            <w:tcW w:w="507" w:type="pct"/>
            <w:tcBorders>
              <w:top w:val="nil"/>
              <w:left w:val="nil"/>
              <w:bottom w:val="single" w:sz="8" w:space="0" w:color="FFFFFF"/>
              <w:right w:val="single" w:sz="8" w:space="0" w:color="FFFFFF"/>
            </w:tcBorders>
            <w:shd w:val="clear" w:color="000000" w:fill="E7EEEF"/>
            <w:vAlign w:val="center"/>
          </w:tcPr>
          <w:p w14:paraId="4C94714D" w14:textId="5D593EC3"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£77,358</w:t>
            </w:r>
          </w:p>
        </w:tc>
      </w:tr>
      <w:tr w:rsidR="009A5306" w:rsidRPr="006544E8" w14:paraId="01EC2818" w14:textId="77777777" w:rsidTr="009A5306">
        <w:trPr>
          <w:trHeight w:val="315"/>
        </w:trPr>
        <w:tc>
          <w:tcPr>
            <w:tcW w:w="945" w:type="pct"/>
            <w:tcBorders>
              <w:top w:val="nil"/>
              <w:left w:val="single" w:sz="8" w:space="0" w:color="FFFFFF"/>
              <w:bottom w:val="single" w:sz="8" w:space="0" w:color="FFFFFF"/>
              <w:right w:val="single" w:sz="8" w:space="0" w:color="FFFFFF"/>
            </w:tcBorders>
            <w:shd w:val="clear" w:color="000000" w:fill="008C9B"/>
            <w:vAlign w:val="center"/>
            <w:hideMark/>
          </w:tcPr>
          <w:p w14:paraId="324F1995" w14:textId="77777777" w:rsidR="009A5306" w:rsidRPr="006544E8" w:rsidRDefault="009A5306" w:rsidP="009A5306">
            <w:pPr>
              <w:spacing w:after="0"/>
              <w:rPr>
                <w:rFonts w:ascii="Calibri" w:eastAsia="Times New Roman" w:hAnsi="Calibri"/>
                <w:b/>
                <w:bCs/>
                <w:color w:val="FFFFFF"/>
                <w:sz w:val="20"/>
                <w:lang w:eastAsia="en-GB"/>
              </w:rPr>
            </w:pPr>
            <w:r w:rsidRPr="006544E8">
              <w:rPr>
                <w:rFonts w:ascii="Calibri" w:eastAsia="Times New Roman" w:hAnsi="Calibri"/>
                <w:b/>
                <w:bCs/>
                <w:color w:val="FFFFFF"/>
                <w:sz w:val="20"/>
                <w:lang w:eastAsia="en-GB"/>
              </w:rPr>
              <w:t>Scotland Maritime sector</w:t>
            </w:r>
          </w:p>
        </w:tc>
        <w:tc>
          <w:tcPr>
            <w:tcW w:w="507" w:type="pct"/>
            <w:tcBorders>
              <w:top w:val="nil"/>
              <w:left w:val="nil"/>
              <w:bottom w:val="single" w:sz="8" w:space="0" w:color="FFFFFF"/>
              <w:right w:val="single" w:sz="8" w:space="0" w:color="FFFFFF"/>
            </w:tcBorders>
            <w:shd w:val="clear" w:color="000000" w:fill="D0CECE"/>
            <w:vAlign w:val="center"/>
            <w:hideMark/>
          </w:tcPr>
          <w:p w14:paraId="1F9538B4" w14:textId="77777777" w:rsidR="009A5306" w:rsidRPr="006544E8" w:rsidRDefault="009A5306" w:rsidP="009A5306">
            <w:pPr>
              <w:spacing w:after="0"/>
              <w:jc w:val="center"/>
              <w:rPr>
                <w:rFonts w:ascii="Calibri" w:eastAsia="Times New Roman" w:hAnsi="Calibri"/>
                <w:b/>
                <w:bCs/>
                <w:color w:val="000000"/>
                <w:sz w:val="20"/>
                <w:lang w:eastAsia="en-GB"/>
              </w:rPr>
            </w:pPr>
            <w:r w:rsidRPr="006544E8">
              <w:rPr>
                <w:rFonts w:ascii="Calibri" w:eastAsia="Times New Roman" w:hAnsi="Calibri"/>
                <w:b/>
                <w:bCs/>
                <w:color w:val="000000"/>
                <w:sz w:val="20"/>
                <w:lang w:eastAsia="en-GB"/>
              </w:rPr>
              <w:t>£89,349</w:t>
            </w:r>
          </w:p>
        </w:tc>
        <w:tc>
          <w:tcPr>
            <w:tcW w:w="507" w:type="pct"/>
            <w:tcBorders>
              <w:top w:val="nil"/>
              <w:left w:val="nil"/>
              <w:bottom w:val="single" w:sz="8" w:space="0" w:color="FFFFFF"/>
              <w:right w:val="single" w:sz="8" w:space="0" w:color="FFFFFF"/>
            </w:tcBorders>
            <w:shd w:val="clear" w:color="auto" w:fill="D0CECE"/>
            <w:vAlign w:val="center"/>
            <w:hideMark/>
          </w:tcPr>
          <w:p w14:paraId="3AAD277C" w14:textId="77777777" w:rsidR="009A5306" w:rsidRPr="006544E8" w:rsidRDefault="009A5306" w:rsidP="009A5306">
            <w:pPr>
              <w:spacing w:after="0"/>
              <w:jc w:val="center"/>
              <w:rPr>
                <w:rFonts w:ascii="Calibri" w:eastAsia="Times New Roman" w:hAnsi="Calibri"/>
                <w:b/>
                <w:bCs/>
                <w:color w:val="000000"/>
                <w:sz w:val="20"/>
                <w:lang w:eastAsia="en-GB"/>
              </w:rPr>
            </w:pPr>
            <w:r w:rsidRPr="006544E8">
              <w:rPr>
                <w:rFonts w:ascii="Calibri" w:eastAsia="Times New Roman" w:hAnsi="Calibri"/>
                <w:b/>
                <w:bCs/>
                <w:color w:val="000000"/>
                <w:sz w:val="20"/>
                <w:lang w:eastAsia="en-GB"/>
              </w:rPr>
              <w:t>£78,492</w:t>
            </w:r>
          </w:p>
        </w:tc>
        <w:tc>
          <w:tcPr>
            <w:tcW w:w="507" w:type="pct"/>
            <w:tcBorders>
              <w:top w:val="nil"/>
              <w:left w:val="nil"/>
              <w:bottom w:val="single" w:sz="8" w:space="0" w:color="FFFFFF"/>
              <w:right w:val="single" w:sz="8" w:space="0" w:color="FFFFFF"/>
            </w:tcBorders>
            <w:shd w:val="clear" w:color="000000" w:fill="D0CECE"/>
            <w:vAlign w:val="center"/>
            <w:hideMark/>
          </w:tcPr>
          <w:p w14:paraId="1FD08E93" w14:textId="77777777" w:rsidR="009A5306" w:rsidRPr="006544E8" w:rsidRDefault="009A5306" w:rsidP="009A5306">
            <w:pPr>
              <w:spacing w:after="0"/>
              <w:jc w:val="center"/>
              <w:rPr>
                <w:rFonts w:ascii="Calibri" w:eastAsia="Times New Roman" w:hAnsi="Calibri"/>
                <w:b/>
                <w:bCs/>
                <w:color w:val="000000"/>
                <w:sz w:val="20"/>
                <w:lang w:eastAsia="en-GB"/>
              </w:rPr>
            </w:pPr>
            <w:r w:rsidRPr="006544E8">
              <w:rPr>
                <w:rFonts w:ascii="Calibri" w:eastAsia="Times New Roman" w:hAnsi="Calibri"/>
                <w:b/>
                <w:bCs/>
                <w:color w:val="000000"/>
                <w:sz w:val="20"/>
                <w:lang w:eastAsia="en-GB"/>
              </w:rPr>
              <w:t>£92,246</w:t>
            </w:r>
          </w:p>
        </w:tc>
        <w:tc>
          <w:tcPr>
            <w:tcW w:w="507" w:type="pct"/>
            <w:tcBorders>
              <w:top w:val="nil"/>
              <w:left w:val="nil"/>
              <w:bottom w:val="single" w:sz="8" w:space="0" w:color="FFFFFF"/>
              <w:right w:val="single" w:sz="8" w:space="0" w:color="FFFFFF"/>
            </w:tcBorders>
            <w:shd w:val="clear" w:color="000000" w:fill="D0CECE"/>
            <w:vAlign w:val="center"/>
            <w:hideMark/>
          </w:tcPr>
          <w:p w14:paraId="1EFA5EAB" w14:textId="77777777" w:rsidR="009A5306" w:rsidRPr="006544E8" w:rsidRDefault="009A5306" w:rsidP="009A5306">
            <w:pPr>
              <w:spacing w:after="0"/>
              <w:jc w:val="center"/>
              <w:rPr>
                <w:rFonts w:ascii="Calibri" w:eastAsia="Times New Roman" w:hAnsi="Calibri"/>
                <w:b/>
                <w:bCs/>
                <w:color w:val="000000"/>
                <w:sz w:val="20"/>
                <w:lang w:eastAsia="en-GB"/>
              </w:rPr>
            </w:pPr>
            <w:r w:rsidRPr="006544E8">
              <w:rPr>
                <w:rFonts w:ascii="Calibri" w:eastAsia="Times New Roman" w:hAnsi="Calibri"/>
                <w:b/>
                <w:bCs/>
                <w:color w:val="000000"/>
                <w:sz w:val="20"/>
                <w:lang w:eastAsia="en-GB"/>
              </w:rPr>
              <w:t>£88,816</w:t>
            </w:r>
          </w:p>
        </w:tc>
        <w:tc>
          <w:tcPr>
            <w:tcW w:w="507" w:type="pct"/>
            <w:tcBorders>
              <w:top w:val="nil"/>
              <w:left w:val="nil"/>
              <w:bottom w:val="single" w:sz="8" w:space="0" w:color="FFFFFF"/>
              <w:right w:val="single" w:sz="8" w:space="0" w:color="FFFFFF"/>
            </w:tcBorders>
            <w:shd w:val="clear" w:color="000000" w:fill="D0CECE"/>
            <w:vAlign w:val="center"/>
            <w:hideMark/>
          </w:tcPr>
          <w:p w14:paraId="060E819E" w14:textId="77777777" w:rsidR="009A5306" w:rsidRPr="006544E8" w:rsidRDefault="009A5306" w:rsidP="009A5306">
            <w:pPr>
              <w:spacing w:after="0"/>
              <w:jc w:val="center"/>
              <w:rPr>
                <w:rFonts w:ascii="Calibri" w:eastAsia="Times New Roman" w:hAnsi="Calibri"/>
                <w:b/>
                <w:bCs/>
                <w:color w:val="000000"/>
                <w:sz w:val="20"/>
                <w:lang w:eastAsia="en-GB"/>
              </w:rPr>
            </w:pPr>
            <w:r w:rsidRPr="006544E8">
              <w:rPr>
                <w:rFonts w:ascii="Calibri" w:eastAsia="Times New Roman" w:hAnsi="Calibri"/>
                <w:b/>
                <w:bCs/>
                <w:color w:val="000000"/>
                <w:sz w:val="20"/>
                <w:lang w:eastAsia="en-GB"/>
              </w:rPr>
              <w:t>£79,011</w:t>
            </w:r>
          </w:p>
        </w:tc>
        <w:tc>
          <w:tcPr>
            <w:tcW w:w="507" w:type="pct"/>
            <w:tcBorders>
              <w:top w:val="nil"/>
              <w:left w:val="nil"/>
              <w:bottom w:val="single" w:sz="8" w:space="0" w:color="FFFFFF"/>
              <w:right w:val="single" w:sz="8" w:space="0" w:color="FFFFFF"/>
            </w:tcBorders>
            <w:shd w:val="clear" w:color="000000" w:fill="D0CECE"/>
            <w:vAlign w:val="center"/>
            <w:hideMark/>
          </w:tcPr>
          <w:p w14:paraId="758F466A" w14:textId="77777777" w:rsidR="009A5306" w:rsidRPr="006544E8" w:rsidRDefault="009A5306" w:rsidP="009A5306">
            <w:pPr>
              <w:spacing w:after="0"/>
              <w:jc w:val="center"/>
              <w:rPr>
                <w:rFonts w:ascii="Calibri" w:eastAsia="Times New Roman" w:hAnsi="Calibri"/>
                <w:b/>
                <w:bCs/>
                <w:color w:val="000000"/>
                <w:sz w:val="20"/>
                <w:lang w:eastAsia="en-GB"/>
              </w:rPr>
            </w:pPr>
            <w:r w:rsidRPr="006544E8">
              <w:rPr>
                <w:rFonts w:ascii="Calibri" w:eastAsia="Times New Roman" w:hAnsi="Calibri"/>
                <w:b/>
                <w:bCs/>
                <w:color w:val="000000"/>
                <w:sz w:val="20"/>
                <w:lang w:eastAsia="en-GB"/>
              </w:rPr>
              <w:t>£91,124</w:t>
            </w:r>
          </w:p>
        </w:tc>
        <w:tc>
          <w:tcPr>
            <w:tcW w:w="507" w:type="pct"/>
            <w:tcBorders>
              <w:top w:val="nil"/>
              <w:left w:val="nil"/>
              <w:bottom w:val="single" w:sz="8" w:space="0" w:color="FFFFFF"/>
              <w:right w:val="single" w:sz="8" w:space="0" w:color="FFFFFF"/>
            </w:tcBorders>
            <w:shd w:val="clear" w:color="000000" w:fill="D0CECE"/>
            <w:vAlign w:val="center"/>
            <w:hideMark/>
          </w:tcPr>
          <w:p w14:paraId="148D3D4F" w14:textId="77777777" w:rsidR="009A5306" w:rsidRPr="006544E8" w:rsidRDefault="009A5306" w:rsidP="009A5306">
            <w:pPr>
              <w:spacing w:after="0"/>
              <w:jc w:val="center"/>
              <w:rPr>
                <w:rFonts w:ascii="Calibri" w:eastAsia="Times New Roman" w:hAnsi="Calibri"/>
                <w:b/>
                <w:bCs/>
                <w:color w:val="000000"/>
                <w:sz w:val="20"/>
                <w:lang w:eastAsia="en-GB"/>
              </w:rPr>
            </w:pPr>
            <w:r w:rsidRPr="006544E8">
              <w:rPr>
                <w:rFonts w:ascii="Calibri" w:eastAsia="Times New Roman" w:hAnsi="Calibri"/>
                <w:b/>
                <w:bCs/>
                <w:color w:val="000000"/>
                <w:sz w:val="20"/>
                <w:lang w:eastAsia="en-GB"/>
              </w:rPr>
              <w:t>£71,721</w:t>
            </w:r>
          </w:p>
        </w:tc>
        <w:tc>
          <w:tcPr>
            <w:tcW w:w="507" w:type="pct"/>
            <w:tcBorders>
              <w:top w:val="nil"/>
              <w:left w:val="nil"/>
              <w:bottom w:val="single" w:sz="8" w:space="0" w:color="FFFFFF"/>
              <w:right w:val="single" w:sz="8" w:space="0" w:color="FFFFFF"/>
            </w:tcBorders>
            <w:shd w:val="clear" w:color="000000" w:fill="D0CECE"/>
            <w:vAlign w:val="center"/>
            <w:hideMark/>
          </w:tcPr>
          <w:p w14:paraId="0975A94A" w14:textId="77777777" w:rsidR="009A5306" w:rsidRPr="006544E8" w:rsidRDefault="009A5306" w:rsidP="009A5306">
            <w:pPr>
              <w:spacing w:after="0"/>
              <w:jc w:val="center"/>
              <w:rPr>
                <w:rFonts w:ascii="Calibri" w:eastAsia="Times New Roman" w:hAnsi="Calibri"/>
                <w:b/>
                <w:bCs/>
                <w:color w:val="000000"/>
                <w:sz w:val="20"/>
                <w:lang w:eastAsia="en-GB"/>
              </w:rPr>
            </w:pPr>
            <w:r w:rsidRPr="006544E8">
              <w:rPr>
                <w:rFonts w:ascii="Calibri" w:eastAsia="Times New Roman" w:hAnsi="Calibri"/>
                <w:b/>
                <w:bCs/>
                <w:color w:val="000000"/>
                <w:sz w:val="20"/>
                <w:lang w:eastAsia="en-GB"/>
              </w:rPr>
              <w:t>£90,598</w:t>
            </w:r>
          </w:p>
        </w:tc>
      </w:tr>
      <w:tr w:rsidR="009A5306" w:rsidRPr="006544E8" w14:paraId="240885BD" w14:textId="77777777" w:rsidTr="006544E8">
        <w:trPr>
          <w:trHeight w:val="315"/>
        </w:trPr>
        <w:tc>
          <w:tcPr>
            <w:tcW w:w="945" w:type="pct"/>
            <w:tcBorders>
              <w:top w:val="nil"/>
              <w:left w:val="single" w:sz="8" w:space="0" w:color="FFFFFF"/>
              <w:bottom w:val="single" w:sz="8" w:space="0" w:color="FFFFFF"/>
              <w:right w:val="single" w:sz="8" w:space="0" w:color="FFFFFF"/>
            </w:tcBorders>
            <w:shd w:val="clear" w:color="000000" w:fill="008C9B"/>
            <w:vAlign w:val="center"/>
            <w:hideMark/>
          </w:tcPr>
          <w:p w14:paraId="5BCADAA3" w14:textId="77777777" w:rsidR="009A5306" w:rsidRPr="006544E8" w:rsidRDefault="009A5306" w:rsidP="009A5306">
            <w:pPr>
              <w:spacing w:after="0"/>
              <w:rPr>
                <w:rFonts w:ascii="Calibri" w:eastAsia="Times New Roman" w:hAnsi="Calibri"/>
                <w:color w:val="FFFFFF"/>
                <w:sz w:val="20"/>
                <w:lang w:eastAsia="en-GB"/>
              </w:rPr>
            </w:pPr>
            <w:r w:rsidRPr="006544E8">
              <w:rPr>
                <w:rFonts w:ascii="Calibri" w:eastAsia="Times New Roman" w:hAnsi="Calibri"/>
                <w:color w:val="FFFFFF"/>
                <w:sz w:val="20"/>
                <w:lang w:eastAsia="en-GB"/>
              </w:rPr>
              <w:t>Shipping</w:t>
            </w:r>
          </w:p>
        </w:tc>
        <w:tc>
          <w:tcPr>
            <w:tcW w:w="507" w:type="pct"/>
            <w:tcBorders>
              <w:top w:val="nil"/>
              <w:left w:val="nil"/>
              <w:bottom w:val="single" w:sz="8" w:space="0" w:color="FFFFFF"/>
              <w:right w:val="single" w:sz="8" w:space="0" w:color="FFFFFF"/>
            </w:tcBorders>
            <w:shd w:val="clear" w:color="000000" w:fill="E7EEEF"/>
            <w:vAlign w:val="center"/>
            <w:hideMark/>
          </w:tcPr>
          <w:p w14:paraId="103288B8"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£72,090</w:t>
            </w:r>
          </w:p>
        </w:tc>
        <w:tc>
          <w:tcPr>
            <w:tcW w:w="507" w:type="pct"/>
            <w:tcBorders>
              <w:top w:val="nil"/>
              <w:left w:val="nil"/>
              <w:bottom w:val="single" w:sz="8" w:space="0" w:color="FFFFFF"/>
              <w:right w:val="single" w:sz="8" w:space="0" w:color="FFFFFF"/>
            </w:tcBorders>
            <w:shd w:val="clear" w:color="000000" w:fill="E7EEEF"/>
            <w:vAlign w:val="center"/>
            <w:hideMark/>
          </w:tcPr>
          <w:p w14:paraId="7DB3BBBA"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£75,912</w:t>
            </w:r>
          </w:p>
        </w:tc>
        <w:tc>
          <w:tcPr>
            <w:tcW w:w="507" w:type="pct"/>
            <w:tcBorders>
              <w:top w:val="nil"/>
              <w:left w:val="nil"/>
              <w:bottom w:val="single" w:sz="8" w:space="0" w:color="FFFFFF"/>
              <w:right w:val="single" w:sz="8" w:space="0" w:color="FFFFFF"/>
            </w:tcBorders>
            <w:shd w:val="clear" w:color="000000" w:fill="E7EEEF"/>
            <w:vAlign w:val="center"/>
            <w:hideMark/>
          </w:tcPr>
          <w:p w14:paraId="7335DA4F"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£86,961</w:t>
            </w:r>
          </w:p>
        </w:tc>
        <w:tc>
          <w:tcPr>
            <w:tcW w:w="507" w:type="pct"/>
            <w:tcBorders>
              <w:top w:val="nil"/>
              <w:left w:val="nil"/>
              <w:bottom w:val="single" w:sz="8" w:space="0" w:color="FFFFFF"/>
              <w:right w:val="single" w:sz="8" w:space="0" w:color="FFFFFF"/>
            </w:tcBorders>
            <w:shd w:val="clear" w:color="000000" w:fill="E7EEEF"/>
            <w:vAlign w:val="center"/>
            <w:hideMark/>
          </w:tcPr>
          <w:p w14:paraId="7404FFC2"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£68,019</w:t>
            </w:r>
          </w:p>
        </w:tc>
        <w:tc>
          <w:tcPr>
            <w:tcW w:w="507" w:type="pct"/>
            <w:tcBorders>
              <w:top w:val="nil"/>
              <w:left w:val="nil"/>
              <w:bottom w:val="single" w:sz="8" w:space="0" w:color="FFFFFF"/>
              <w:right w:val="single" w:sz="8" w:space="0" w:color="FFFFFF"/>
            </w:tcBorders>
            <w:shd w:val="clear" w:color="000000" w:fill="E7EEEF"/>
            <w:vAlign w:val="center"/>
            <w:hideMark/>
          </w:tcPr>
          <w:p w14:paraId="7ED4A770"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£84,723</w:t>
            </w:r>
          </w:p>
        </w:tc>
        <w:tc>
          <w:tcPr>
            <w:tcW w:w="507" w:type="pct"/>
            <w:tcBorders>
              <w:top w:val="nil"/>
              <w:left w:val="nil"/>
              <w:bottom w:val="single" w:sz="8" w:space="0" w:color="FFFFFF"/>
              <w:right w:val="single" w:sz="8" w:space="0" w:color="FFFFFF"/>
            </w:tcBorders>
            <w:shd w:val="clear" w:color="000000" w:fill="E7EEEF"/>
            <w:vAlign w:val="center"/>
            <w:hideMark/>
          </w:tcPr>
          <w:p w14:paraId="3F287E88"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£86,566</w:t>
            </w:r>
          </w:p>
        </w:tc>
        <w:tc>
          <w:tcPr>
            <w:tcW w:w="507" w:type="pct"/>
            <w:tcBorders>
              <w:top w:val="nil"/>
              <w:left w:val="nil"/>
              <w:bottom w:val="single" w:sz="8" w:space="0" w:color="FFFFFF"/>
              <w:right w:val="single" w:sz="8" w:space="0" w:color="FFFFFF"/>
            </w:tcBorders>
            <w:shd w:val="clear" w:color="000000" w:fill="E7EEEF"/>
            <w:vAlign w:val="center"/>
            <w:hideMark/>
          </w:tcPr>
          <w:p w14:paraId="0F8AF137"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£102,831</w:t>
            </w:r>
          </w:p>
        </w:tc>
        <w:tc>
          <w:tcPr>
            <w:tcW w:w="507" w:type="pct"/>
            <w:tcBorders>
              <w:top w:val="nil"/>
              <w:left w:val="nil"/>
              <w:bottom w:val="single" w:sz="8" w:space="0" w:color="FFFFFF"/>
              <w:right w:val="single" w:sz="8" w:space="0" w:color="FFFFFF"/>
            </w:tcBorders>
            <w:shd w:val="clear" w:color="000000" w:fill="E7EEEF"/>
            <w:vAlign w:val="center"/>
            <w:hideMark/>
          </w:tcPr>
          <w:p w14:paraId="60547B3C"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£104,254</w:t>
            </w:r>
          </w:p>
        </w:tc>
      </w:tr>
      <w:tr w:rsidR="009A5306" w:rsidRPr="006544E8" w14:paraId="2CF75E06" w14:textId="77777777" w:rsidTr="006544E8">
        <w:trPr>
          <w:trHeight w:val="315"/>
        </w:trPr>
        <w:tc>
          <w:tcPr>
            <w:tcW w:w="945" w:type="pct"/>
            <w:tcBorders>
              <w:top w:val="nil"/>
              <w:left w:val="single" w:sz="8" w:space="0" w:color="FFFFFF"/>
              <w:bottom w:val="single" w:sz="8" w:space="0" w:color="FFFFFF"/>
              <w:right w:val="single" w:sz="8" w:space="0" w:color="FFFFFF"/>
            </w:tcBorders>
            <w:shd w:val="clear" w:color="000000" w:fill="008C9B"/>
            <w:vAlign w:val="center"/>
            <w:hideMark/>
          </w:tcPr>
          <w:p w14:paraId="75FF6E70" w14:textId="77777777" w:rsidR="009A5306" w:rsidRPr="006544E8" w:rsidRDefault="009A5306" w:rsidP="009A5306">
            <w:pPr>
              <w:spacing w:after="0"/>
              <w:rPr>
                <w:rFonts w:ascii="Calibri" w:eastAsia="Times New Roman" w:hAnsi="Calibri"/>
                <w:color w:val="FFFFFF"/>
                <w:sz w:val="20"/>
                <w:lang w:eastAsia="en-GB"/>
              </w:rPr>
            </w:pPr>
            <w:r w:rsidRPr="006544E8">
              <w:rPr>
                <w:rFonts w:ascii="Calibri" w:eastAsia="Times New Roman" w:hAnsi="Calibri"/>
                <w:color w:val="FFFFFF"/>
                <w:sz w:val="20"/>
                <w:lang w:eastAsia="en-GB"/>
              </w:rPr>
              <w:t>Ports</w:t>
            </w:r>
          </w:p>
        </w:tc>
        <w:tc>
          <w:tcPr>
            <w:tcW w:w="507" w:type="pct"/>
            <w:tcBorders>
              <w:top w:val="nil"/>
              <w:left w:val="nil"/>
              <w:bottom w:val="single" w:sz="8" w:space="0" w:color="FFFFFF"/>
              <w:right w:val="single" w:sz="8" w:space="0" w:color="FFFFFF"/>
            </w:tcBorders>
            <w:shd w:val="clear" w:color="000000" w:fill="D0CECE"/>
            <w:vAlign w:val="center"/>
            <w:hideMark/>
          </w:tcPr>
          <w:p w14:paraId="633CA32A"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£62,627</w:t>
            </w:r>
          </w:p>
        </w:tc>
        <w:tc>
          <w:tcPr>
            <w:tcW w:w="507" w:type="pct"/>
            <w:tcBorders>
              <w:top w:val="nil"/>
              <w:left w:val="nil"/>
              <w:bottom w:val="single" w:sz="8" w:space="0" w:color="FFFFFF"/>
              <w:right w:val="single" w:sz="8" w:space="0" w:color="FFFFFF"/>
            </w:tcBorders>
            <w:shd w:val="clear" w:color="000000" w:fill="D0CECE"/>
            <w:vAlign w:val="center"/>
            <w:hideMark/>
          </w:tcPr>
          <w:p w14:paraId="284C726D"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£59,637</w:t>
            </w:r>
          </w:p>
        </w:tc>
        <w:tc>
          <w:tcPr>
            <w:tcW w:w="507" w:type="pct"/>
            <w:tcBorders>
              <w:top w:val="nil"/>
              <w:left w:val="nil"/>
              <w:bottom w:val="single" w:sz="8" w:space="0" w:color="FFFFFF"/>
              <w:right w:val="single" w:sz="8" w:space="0" w:color="FFFFFF"/>
            </w:tcBorders>
            <w:shd w:val="clear" w:color="000000" w:fill="D0CECE"/>
            <w:vAlign w:val="center"/>
            <w:hideMark/>
          </w:tcPr>
          <w:p w14:paraId="17CE9638"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£99,544</w:t>
            </w:r>
          </w:p>
        </w:tc>
        <w:tc>
          <w:tcPr>
            <w:tcW w:w="507" w:type="pct"/>
            <w:tcBorders>
              <w:top w:val="nil"/>
              <w:left w:val="nil"/>
              <w:bottom w:val="single" w:sz="8" w:space="0" w:color="FFFFFF"/>
              <w:right w:val="single" w:sz="8" w:space="0" w:color="FFFFFF"/>
            </w:tcBorders>
            <w:shd w:val="clear" w:color="000000" w:fill="D0CECE"/>
            <w:vAlign w:val="center"/>
            <w:hideMark/>
          </w:tcPr>
          <w:p w14:paraId="6B6594EB"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£73,091</w:t>
            </w:r>
          </w:p>
        </w:tc>
        <w:tc>
          <w:tcPr>
            <w:tcW w:w="507" w:type="pct"/>
            <w:tcBorders>
              <w:top w:val="nil"/>
              <w:left w:val="nil"/>
              <w:bottom w:val="single" w:sz="8" w:space="0" w:color="FFFFFF"/>
              <w:right w:val="single" w:sz="8" w:space="0" w:color="FFFFFF"/>
            </w:tcBorders>
            <w:shd w:val="clear" w:color="000000" w:fill="D0CECE"/>
            <w:vAlign w:val="center"/>
            <w:hideMark/>
          </w:tcPr>
          <w:p w14:paraId="330EEC84"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£78,038</w:t>
            </w:r>
          </w:p>
        </w:tc>
        <w:tc>
          <w:tcPr>
            <w:tcW w:w="507" w:type="pct"/>
            <w:tcBorders>
              <w:top w:val="nil"/>
              <w:left w:val="nil"/>
              <w:bottom w:val="single" w:sz="8" w:space="0" w:color="FFFFFF"/>
              <w:right w:val="single" w:sz="8" w:space="0" w:color="FFFFFF"/>
            </w:tcBorders>
            <w:shd w:val="clear" w:color="000000" w:fill="D0CECE"/>
            <w:vAlign w:val="center"/>
            <w:hideMark/>
          </w:tcPr>
          <w:p w14:paraId="5E944238"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£77,021</w:t>
            </w:r>
          </w:p>
        </w:tc>
        <w:tc>
          <w:tcPr>
            <w:tcW w:w="507" w:type="pct"/>
            <w:tcBorders>
              <w:top w:val="nil"/>
              <w:left w:val="nil"/>
              <w:bottom w:val="single" w:sz="8" w:space="0" w:color="FFFFFF"/>
              <w:right w:val="single" w:sz="8" w:space="0" w:color="FFFFFF"/>
            </w:tcBorders>
            <w:shd w:val="clear" w:color="000000" w:fill="D0CECE"/>
            <w:vAlign w:val="center"/>
            <w:hideMark/>
          </w:tcPr>
          <w:p w14:paraId="78BD3602"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£75,874</w:t>
            </w:r>
          </w:p>
        </w:tc>
        <w:tc>
          <w:tcPr>
            <w:tcW w:w="507" w:type="pct"/>
            <w:tcBorders>
              <w:top w:val="nil"/>
              <w:left w:val="nil"/>
              <w:bottom w:val="single" w:sz="8" w:space="0" w:color="FFFFFF"/>
              <w:right w:val="single" w:sz="8" w:space="0" w:color="FFFFFF"/>
            </w:tcBorders>
            <w:shd w:val="clear" w:color="000000" w:fill="D0CECE"/>
            <w:vAlign w:val="center"/>
            <w:hideMark/>
          </w:tcPr>
          <w:p w14:paraId="0DCDD880"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£88,189</w:t>
            </w:r>
          </w:p>
        </w:tc>
      </w:tr>
      <w:tr w:rsidR="009A5306" w:rsidRPr="006544E8" w14:paraId="5C511A7D" w14:textId="77777777" w:rsidTr="006544E8">
        <w:trPr>
          <w:trHeight w:val="315"/>
        </w:trPr>
        <w:tc>
          <w:tcPr>
            <w:tcW w:w="945" w:type="pct"/>
            <w:tcBorders>
              <w:top w:val="nil"/>
              <w:left w:val="single" w:sz="8" w:space="0" w:color="FFFFFF"/>
              <w:bottom w:val="single" w:sz="8" w:space="0" w:color="FFFFFF"/>
              <w:right w:val="single" w:sz="8" w:space="0" w:color="FFFFFF"/>
            </w:tcBorders>
            <w:shd w:val="clear" w:color="000000" w:fill="008C9B"/>
            <w:vAlign w:val="center"/>
            <w:hideMark/>
          </w:tcPr>
          <w:p w14:paraId="28DED683" w14:textId="77777777" w:rsidR="009A5306" w:rsidRPr="006544E8" w:rsidRDefault="009A5306" w:rsidP="009A5306">
            <w:pPr>
              <w:spacing w:after="0"/>
              <w:rPr>
                <w:rFonts w:ascii="Calibri" w:eastAsia="Times New Roman" w:hAnsi="Calibri"/>
                <w:color w:val="FFFFFF"/>
                <w:sz w:val="20"/>
                <w:lang w:eastAsia="en-GB"/>
              </w:rPr>
            </w:pPr>
            <w:r w:rsidRPr="006544E8">
              <w:rPr>
                <w:rFonts w:ascii="Calibri" w:eastAsia="Times New Roman" w:hAnsi="Calibri"/>
                <w:color w:val="FFFFFF"/>
                <w:sz w:val="20"/>
                <w:lang w:eastAsia="en-GB"/>
              </w:rPr>
              <w:t>Leisure Marine</w:t>
            </w:r>
          </w:p>
        </w:tc>
        <w:tc>
          <w:tcPr>
            <w:tcW w:w="507" w:type="pct"/>
            <w:tcBorders>
              <w:top w:val="nil"/>
              <w:left w:val="nil"/>
              <w:bottom w:val="single" w:sz="8" w:space="0" w:color="FFFFFF"/>
              <w:right w:val="single" w:sz="8" w:space="0" w:color="FFFFFF"/>
            </w:tcBorders>
            <w:shd w:val="clear" w:color="000000" w:fill="E7EEEF"/>
            <w:vAlign w:val="center"/>
            <w:hideMark/>
          </w:tcPr>
          <w:p w14:paraId="07D81A43"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£28,665</w:t>
            </w:r>
          </w:p>
        </w:tc>
        <w:tc>
          <w:tcPr>
            <w:tcW w:w="507" w:type="pct"/>
            <w:tcBorders>
              <w:top w:val="nil"/>
              <w:left w:val="nil"/>
              <w:bottom w:val="single" w:sz="8" w:space="0" w:color="FFFFFF"/>
              <w:right w:val="single" w:sz="8" w:space="0" w:color="FFFFFF"/>
            </w:tcBorders>
            <w:shd w:val="clear" w:color="000000" w:fill="E7EEEF"/>
            <w:vAlign w:val="center"/>
            <w:hideMark/>
          </w:tcPr>
          <w:p w14:paraId="08743870"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£28,505</w:t>
            </w:r>
          </w:p>
        </w:tc>
        <w:tc>
          <w:tcPr>
            <w:tcW w:w="507" w:type="pct"/>
            <w:tcBorders>
              <w:top w:val="nil"/>
              <w:left w:val="nil"/>
              <w:bottom w:val="single" w:sz="8" w:space="0" w:color="FFFFFF"/>
              <w:right w:val="single" w:sz="8" w:space="0" w:color="FFFFFF"/>
            </w:tcBorders>
            <w:shd w:val="clear" w:color="000000" w:fill="E7EEEF"/>
            <w:vAlign w:val="center"/>
            <w:hideMark/>
          </w:tcPr>
          <w:p w14:paraId="6DA5C7B9"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£30,796</w:t>
            </w:r>
          </w:p>
        </w:tc>
        <w:tc>
          <w:tcPr>
            <w:tcW w:w="507" w:type="pct"/>
            <w:tcBorders>
              <w:top w:val="nil"/>
              <w:left w:val="nil"/>
              <w:bottom w:val="single" w:sz="8" w:space="0" w:color="FFFFFF"/>
              <w:right w:val="single" w:sz="8" w:space="0" w:color="FFFFFF"/>
            </w:tcBorders>
            <w:shd w:val="clear" w:color="000000" w:fill="E7EEEF"/>
            <w:vAlign w:val="center"/>
            <w:hideMark/>
          </w:tcPr>
          <w:p w14:paraId="0BEBF667"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£33,063</w:t>
            </w:r>
          </w:p>
        </w:tc>
        <w:tc>
          <w:tcPr>
            <w:tcW w:w="507" w:type="pct"/>
            <w:tcBorders>
              <w:top w:val="nil"/>
              <w:left w:val="nil"/>
              <w:bottom w:val="single" w:sz="8" w:space="0" w:color="FFFFFF"/>
              <w:right w:val="single" w:sz="8" w:space="0" w:color="FFFFFF"/>
            </w:tcBorders>
            <w:shd w:val="clear" w:color="000000" w:fill="E7EEEF"/>
            <w:vAlign w:val="center"/>
            <w:hideMark/>
          </w:tcPr>
          <w:p w14:paraId="765879FF"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£33,623</w:t>
            </w:r>
          </w:p>
        </w:tc>
        <w:tc>
          <w:tcPr>
            <w:tcW w:w="507" w:type="pct"/>
            <w:tcBorders>
              <w:top w:val="nil"/>
              <w:left w:val="nil"/>
              <w:bottom w:val="single" w:sz="8" w:space="0" w:color="FFFFFF"/>
              <w:right w:val="single" w:sz="8" w:space="0" w:color="FFFFFF"/>
            </w:tcBorders>
            <w:shd w:val="clear" w:color="000000" w:fill="E7EEEF"/>
            <w:vAlign w:val="center"/>
            <w:hideMark/>
          </w:tcPr>
          <w:p w14:paraId="3B4D2EC3"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£33,368</w:t>
            </w:r>
          </w:p>
        </w:tc>
        <w:tc>
          <w:tcPr>
            <w:tcW w:w="507" w:type="pct"/>
            <w:tcBorders>
              <w:top w:val="nil"/>
              <w:left w:val="nil"/>
              <w:bottom w:val="single" w:sz="8" w:space="0" w:color="FFFFFF"/>
              <w:right w:val="single" w:sz="8" w:space="0" w:color="FFFFFF"/>
            </w:tcBorders>
            <w:shd w:val="clear" w:color="000000" w:fill="E7EEEF"/>
            <w:vAlign w:val="center"/>
            <w:hideMark/>
          </w:tcPr>
          <w:p w14:paraId="1B07C3E3"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£32,471</w:t>
            </w:r>
          </w:p>
        </w:tc>
        <w:tc>
          <w:tcPr>
            <w:tcW w:w="507" w:type="pct"/>
            <w:tcBorders>
              <w:top w:val="nil"/>
              <w:left w:val="nil"/>
              <w:bottom w:val="single" w:sz="8" w:space="0" w:color="FFFFFF"/>
              <w:right w:val="single" w:sz="8" w:space="0" w:color="FFFFFF"/>
            </w:tcBorders>
            <w:shd w:val="clear" w:color="000000" w:fill="E7EEEF"/>
            <w:vAlign w:val="center"/>
            <w:hideMark/>
          </w:tcPr>
          <w:p w14:paraId="13F2952A"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£32,743</w:t>
            </w:r>
          </w:p>
        </w:tc>
      </w:tr>
      <w:tr w:rsidR="009A5306" w:rsidRPr="006544E8" w14:paraId="3E9E6C84" w14:textId="77777777" w:rsidTr="006544E8">
        <w:trPr>
          <w:trHeight w:val="315"/>
        </w:trPr>
        <w:tc>
          <w:tcPr>
            <w:tcW w:w="945" w:type="pct"/>
            <w:tcBorders>
              <w:top w:val="nil"/>
              <w:left w:val="single" w:sz="8" w:space="0" w:color="FFFFFF"/>
              <w:bottom w:val="single" w:sz="8" w:space="0" w:color="FFFFFF"/>
              <w:right w:val="single" w:sz="8" w:space="0" w:color="FFFFFF"/>
            </w:tcBorders>
            <w:shd w:val="clear" w:color="000000" w:fill="008C9B"/>
            <w:vAlign w:val="center"/>
            <w:hideMark/>
          </w:tcPr>
          <w:p w14:paraId="2E720A06" w14:textId="77777777" w:rsidR="009A5306" w:rsidRPr="006544E8" w:rsidRDefault="009A5306" w:rsidP="009A5306">
            <w:pPr>
              <w:spacing w:after="0"/>
              <w:rPr>
                <w:rFonts w:ascii="Calibri" w:eastAsia="Times New Roman" w:hAnsi="Calibri"/>
                <w:color w:val="FFFFFF"/>
                <w:sz w:val="20"/>
                <w:lang w:eastAsia="en-GB"/>
              </w:rPr>
            </w:pPr>
            <w:r w:rsidRPr="006544E8">
              <w:rPr>
                <w:rFonts w:ascii="Calibri" w:eastAsia="Times New Roman" w:hAnsi="Calibri"/>
                <w:color w:val="FFFFFF"/>
                <w:sz w:val="20"/>
                <w:lang w:eastAsia="en-GB"/>
              </w:rPr>
              <w:t>Marine Engineering</w:t>
            </w:r>
          </w:p>
        </w:tc>
        <w:tc>
          <w:tcPr>
            <w:tcW w:w="507" w:type="pct"/>
            <w:tcBorders>
              <w:top w:val="nil"/>
              <w:left w:val="nil"/>
              <w:bottom w:val="single" w:sz="8" w:space="0" w:color="FFFFFF"/>
              <w:right w:val="single" w:sz="8" w:space="0" w:color="FFFFFF"/>
            </w:tcBorders>
            <w:shd w:val="clear" w:color="000000" w:fill="D0CECE"/>
            <w:vAlign w:val="center"/>
            <w:hideMark/>
          </w:tcPr>
          <w:p w14:paraId="67F74F22"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£96,858</w:t>
            </w:r>
          </w:p>
        </w:tc>
        <w:tc>
          <w:tcPr>
            <w:tcW w:w="507" w:type="pct"/>
            <w:tcBorders>
              <w:top w:val="nil"/>
              <w:left w:val="nil"/>
              <w:bottom w:val="single" w:sz="8" w:space="0" w:color="FFFFFF"/>
              <w:right w:val="single" w:sz="8" w:space="0" w:color="FFFFFF"/>
            </w:tcBorders>
            <w:shd w:val="clear" w:color="000000" w:fill="D0CECE"/>
            <w:vAlign w:val="center"/>
            <w:hideMark/>
          </w:tcPr>
          <w:p w14:paraId="15A3CC15"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£81,881</w:t>
            </w:r>
          </w:p>
        </w:tc>
        <w:tc>
          <w:tcPr>
            <w:tcW w:w="507" w:type="pct"/>
            <w:tcBorders>
              <w:top w:val="nil"/>
              <w:left w:val="nil"/>
              <w:bottom w:val="single" w:sz="8" w:space="0" w:color="FFFFFF"/>
              <w:right w:val="single" w:sz="8" w:space="0" w:color="FFFFFF"/>
            </w:tcBorders>
            <w:shd w:val="clear" w:color="000000" w:fill="D0CECE"/>
            <w:vAlign w:val="center"/>
            <w:hideMark/>
          </w:tcPr>
          <w:p w14:paraId="47D8F75A"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£94,316</w:t>
            </w:r>
          </w:p>
        </w:tc>
        <w:tc>
          <w:tcPr>
            <w:tcW w:w="507" w:type="pct"/>
            <w:tcBorders>
              <w:top w:val="nil"/>
              <w:left w:val="nil"/>
              <w:bottom w:val="single" w:sz="8" w:space="0" w:color="FFFFFF"/>
              <w:right w:val="single" w:sz="8" w:space="0" w:color="FFFFFF"/>
            </w:tcBorders>
            <w:shd w:val="clear" w:color="000000" w:fill="D0CECE"/>
            <w:vAlign w:val="center"/>
            <w:hideMark/>
          </w:tcPr>
          <w:p w14:paraId="69961A99"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£96,439</w:t>
            </w:r>
          </w:p>
        </w:tc>
        <w:tc>
          <w:tcPr>
            <w:tcW w:w="507" w:type="pct"/>
            <w:tcBorders>
              <w:top w:val="nil"/>
              <w:left w:val="nil"/>
              <w:bottom w:val="single" w:sz="8" w:space="0" w:color="FFFFFF"/>
              <w:right w:val="single" w:sz="8" w:space="0" w:color="FFFFFF"/>
            </w:tcBorders>
            <w:shd w:val="clear" w:color="000000" w:fill="D0CECE"/>
            <w:vAlign w:val="center"/>
            <w:hideMark/>
          </w:tcPr>
          <w:p w14:paraId="3E8756CB"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£78,379</w:t>
            </w:r>
          </w:p>
        </w:tc>
        <w:tc>
          <w:tcPr>
            <w:tcW w:w="507" w:type="pct"/>
            <w:tcBorders>
              <w:top w:val="nil"/>
              <w:left w:val="nil"/>
              <w:bottom w:val="single" w:sz="8" w:space="0" w:color="FFFFFF"/>
              <w:right w:val="single" w:sz="8" w:space="0" w:color="FFFFFF"/>
            </w:tcBorders>
            <w:shd w:val="clear" w:color="000000" w:fill="D0CECE"/>
            <w:vAlign w:val="center"/>
            <w:hideMark/>
          </w:tcPr>
          <w:p w14:paraId="69198335"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£94,715</w:t>
            </w:r>
          </w:p>
        </w:tc>
        <w:tc>
          <w:tcPr>
            <w:tcW w:w="507" w:type="pct"/>
            <w:tcBorders>
              <w:top w:val="nil"/>
              <w:left w:val="nil"/>
              <w:bottom w:val="single" w:sz="8" w:space="0" w:color="FFFFFF"/>
              <w:right w:val="single" w:sz="8" w:space="0" w:color="FFFFFF"/>
            </w:tcBorders>
            <w:shd w:val="clear" w:color="000000" w:fill="D0CECE"/>
            <w:vAlign w:val="center"/>
            <w:hideMark/>
          </w:tcPr>
          <w:p w14:paraId="12CB83D0"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£63,036</w:t>
            </w:r>
          </w:p>
        </w:tc>
        <w:tc>
          <w:tcPr>
            <w:tcW w:w="507" w:type="pct"/>
            <w:tcBorders>
              <w:top w:val="nil"/>
              <w:left w:val="nil"/>
              <w:bottom w:val="single" w:sz="8" w:space="0" w:color="FFFFFF"/>
              <w:right w:val="single" w:sz="8" w:space="0" w:color="FFFFFF"/>
            </w:tcBorders>
            <w:shd w:val="clear" w:color="000000" w:fill="D0CECE"/>
            <w:vAlign w:val="center"/>
            <w:hideMark/>
          </w:tcPr>
          <w:p w14:paraId="248C8A32"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£87,533</w:t>
            </w:r>
          </w:p>
        </w:tc>
      </w:tr>
      <w:tr w:rsidR="009A5306" w:rsidRPr="006544E8" w14:paraId="6391EF6B" w14:textId="77777777" w:rsidTr="006544E8">
        <w:trPr>
          <w:trHeight w:val="315"/>
        </w:trPr>
        <w:tc>
          <w:tcPr>
            <w:tcW w:w="945" w:type="pct"/>
            <w:tcBorders>
              <w:top w:val="nil"/>
              <w:left w:val="single" w:sz="8" w:space="0" w:color="FFFFFF"/>
              <w:bottom w:val="single" w:sz="8" w:space="0" w:color="FFFFFF"/>
              <w:right w:val="single" w:sz="8" w:space="0" w:color="FFFFFF"/>
            </w:tcBorders>
            <w:shd w:val="clear" w:color="000000" w:fill="008C9B"/>
            <w:vAlign w:val="center"/>
            <w:hideMark/>
          </w:tcPr>
          <w:p w14:paraId="5EB5E150" w14:textId="77777777" w:rsidR="009A5306" w:rsidRPr="006544E8" w:rsidRDefault="009A5306" w:rsidP="009A5306">
            <w:pPr>
              <w:spacing w:after="0"/>
              <w:rPr>
                <w:rFonts w:ascii="Calibri" w:eastAsia="Times New Roman" w:hAnsi="Calibri"/>
                <w:color w:val="FFFFFF"/>
                <w:sz w:val="20"/>
                <w:lang w:eastAsia="en-GB"/>
              </w:rPr>
            </w:pPr>
            <w:r w:rsidRPr="006544E8">
              <w:rPr>
                <w:rFonts w:ascii="Calibri" w:eastAsia="Times New Roman" w:hAnsi="Calibri"/>
                <w:color w:val="FFFFFF"/>
                <w:sz w:val="20"/>
                <w:lang w:eastAsia="en-GB"/>
              </w:rPr>
              <w:t>Marine Offshore Oil &amp; Gas</w:t>
            </w:r>
          </w:p>
        </w:tc>
        <w:tc>
          <w:tcPr>
            <w:tcW w:w="507" w:type="pct"/>
            <w:tcBorders>
              <w:top w:val="nil"/>
              <w:left w:val="nil"/>
              <w:bottom w:val="single" w:sz="8" w:space="0" w:color="FFFFFF"/>
              <w:right w:val="single" w:sz="8" w:space="0" w:color="FFFFFF"/>
            </w:tcBorders>
            <w:shd w:val="clear" w:color="000000" w:fill="E7EEEF"/>
            <w:vAlign w:val="center"/>
            <w:hideMark/>
          </w:tcPr>
          <w:p w14:paraId="0291A058"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£124,914</w:t>
            </w:r>
          </w:p>
        </w:tc>
        <w:tc>
          <w:tcPr>
            <w:tcW w:w="507" w:type="pct"/>
            <w:tcBorders>
              <w:top w:val="nil"/>
              <w:left w:val="nil"/>
              <w:bottom w:val="single" w:sz="8" w:space="0" w:color="FFFFFF"/>
              <w:right w:val="single" w:sz="8" w:space="0" w:color="FFFFFF"/>
            </w:tcBorders>
            <w:shd w:val="clear" w:color="000000" w:fill="E7EEEF"/>
            <w:vAlign w:val="center"/>
            <w:hideMark/>
          </w:tcPr>
          <w:p w14:paraId="27C10120"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£98,107</w:t>
            </w:r>
          </w:p>
        </w:tc>
        <w:tc>
          <w:tcPr>
            <w:tcW w:w="507" w:type="pct"/>
            <w:tcBorders>
              <w:top w:val="nil"/>
              <w:left w:val="nil"/>
              <w:bottom w:val="single" w:sz="8" w:space="0" w:color="FFFFFF"/>
              <w:right w:val="single" w:sz="8" w:space="0" w:color="FFFFFF"/>
            </w:tcBorders>
            <w:shd w:val="clear" w:color="000000" w:fill="E7EEEF"/>
            <w:vAlign w:val="center"/>
            <w:hideMark/>
          </w:tcPr>
          <w:p w14:paraId="3254E219"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£114,450</w:t>
            </w:r>
          </w:p>
        </w:tc>
        <w:tc>
          <w:tcPr>
            <w:tcW w:w="507" w:type="pct"/>
            <w:tcBorders>
              <w:top w:val="nil"/>
              <w:left w:val="nil"/>
              <w:bottom w:val="single" w:sz="8" w:space="0" w:color="FFFFFF"/>
              <w:right w:val="single" w:sz="8" w:space="0" w:color="FFFFFF"/>
            </w:tcBorders>
            <w:shd w:val="clear" w:color="000000" w:fill="E7EEEF"/>
            <w:vAlign w:val="center"/>
            <w:hideMark/>
          </w:tcPr>
          <w:p w14:paraId="7D72AFC5"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£116,307</w:t>
            </w:r>
          </w:p>
        </w:tc>
        <w:tc>
          <w:tcPr>
            <w:tcW w:w="507" w:type="pct"/>
            <w:tcBorders>
              <w:top w:val="nil"/>
              <w:left w:val="nil"/>
              <w:bottom w:val="single" w:sz="8" w:space="0" w:color="FFFFFF"/>
              <w:right w:val="single" w:sz="8" w:space="0" w:color="FFFFFF"/>
            </w:tcBorders>
            <w:shd w:val="clear" w:color="000000" w:fill="E7EEEF"/>
            <w:vAlign w:val="center"/>
            <w:hideMark/>
          </w:tcPr>
          <w:p w14:paraId="33CE1ED7"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£86,839</w:t>
            </w:r>
          </w:p>
        </w:tc>
        <w:tc>
          <w:tcPr>
            <w:tcW w:w="507" w:type="pct"/>
            <w:tcBorders>
              <w:top w:val="nil"/>
              <w:left w:val="nil"/>
              <w:bottom w:val="single" w:sz="8" w:space="0" w:color="FFFFFF"/>
              <w:right w:val="single" w:sz="8" w:space="0" w:color="FFFFFF"/>
            </w:tcBorders>
            <w:shd w:val="clear" w:color="000000" w:fill="E7EEEF"/>
            <w:vAlign w:val="center"/>
            <w:hideMark/>
          </w:tcPr>
          <w:p w14:paraId="0581E4C4"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£111,625</w:t>
            </w:r>
          </w:p>
        </w:tc>
        <w:tc>
          <w:tcPr>
            <w:tcW w:w="507" w:type="pct"/>
            <w:tcBorders>
              <w:top w:val="nil"/>
              <w:left w:val="nil"/>
              <w:bottom w:val="single" w:sz="8" w:space="0" w:color="FFFFFF"/>
              <w:right w:val="single" w:sz="8" w:space="0" w:color="FFFFFF"/>
            </w:tcBorders>
            <w:shd w:val="clear" w:color="000000" w:fill="E7EEEF"/>
            <w:vAlign w:val="center"/>
            <w:hideMark/>
          </w:tcPr>
          <w:p w14:paraId="6331F1B1"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£66,415</w:t>
            </w:r>
          </w:p>
        </w:tc>
        <w:tc>
          <w:tcPr>
            <w:tcW w:w="507" w:type="pct"/>
            <w:tcBorders>
              <w:top w:val="nil"/>
              <w:left w:val="nil"/>
              <w:bottom w:val="single" w:sz="8" w:space="0" w:color="FFFFFF"/>
              <w:right w:val="single" w:sz="8" w:space="0" w:color="FFFFFF"/>
            </w:tcBorders>
            <w:shd w:val="clear" w:color="000000" w:fill="E7EEEF"/>
            <w:vAlign w:val="center"/>
            <w:hideMark/>
          </w:tcPr>
          <w:p w14:paraId="0E11FFE0"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£108,747</w:t>
            </w:r>
          </w:p>
        </w:tc>
      </w:tr>
      <w:tr w:rsidR="009A5306" w:rsidRPr="006544E8" w14:paraId="3A7588DF" w14:textId="77777777" w:rsidTr="006544E8">
        <w:trPr>
          <w:trHeight w:val="315"/>
        </w:trPr>
        <w:tc>
          <w:tcPr>
            <w:tcW w:w="945" w:type="pct"/>
            <w:tcBorders>
              <w:top w:val="nil"/>
              <w:left w:val="single" w:sz="8" w:space="0" w:color="FFFFFF"/>
              <w:bottom w:val="single" w:sz="8" w:space="0" w:color="FFFFFF"/>
              <w:right w:val="single" w:sz="8" w:space="0" w:color="FFFFFF"/>
            </w:tcBorders>
            <w:shd w:val="clear" w:color="000000" w:fill="008C9B"/>
            <w:vAlign w:val="center"/>
            <w:hideMark/>
          </w:tcPr>
          <w:p w14:paraId="709ABACD" w14:textId="77777777" w:rsidR="009A5306" w:rsidRPr="006544E8" w:rsidRDefault="009A5306" w:rsidP="009A5306">
            <w:pPr>
              <w:spacing w:after="0"/>
              <w:rPr>
                <w:rFonts w:ascii="Calibri" w:eastAsia="Times New Roman" w:hAnsi="Calibri"/>
                <w:color w:val="FFFFFF"/>
                <w:sz w:val="20"/>
                <w:lang w:eastAsia="en-GB"/>
              </w:rPr>
            </w:pPr>
            <w:r w:rsidRPr="006544E8">
              <w:rPr>
                <w:rFonts w:ascii="Calibri" w:eastAsia="Times New Roman" w:hAnsi="Calibri"/>
                <w:color w:val="FFFFFF"/>
                <w:sz w:val="20"/>
                <w:lang w:eastAsia="en-GB"/>
              </w:rPr>
              <w:t>Other Marine Engineering</w:t>
            </w:r>
          </w:p>
        </w:tc>
        <w:tc>
          <w:tcPr>
            <w:tcW w:w="507" w:type="pct"/>
            <w:tcBorders>
              <w:top w:val="nil"/>
              <w:left w:val="nil"/>
              <w:bottom w:val="single" w:sz="8" w:space="0" w:color="FFFFFF"/>
              <w:right w:val="single" w:sz="8" w:space="0" w:color="FFFFFF"/>
            </w:tcBorders>
            <w:shd w:val="clear" w:color="000000" w:fill="D0CECE"/>
            <w:vAlign w:val="center"/>
            <w:hideMark/>
          </w:tcPr>
          <w:p w14:paraId="7AFD4FFE"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£37,246</w:t>
            </w:r>
          </w:p>
        </w:tc>
        <w:tc>
          <w:tcPr>
            <w:tcW w:w="507" w:type="pct"/>
            <w:tcBorders>
              <w:top w:val="nil"/>
              <w:left w:val="nil"/>
              <w:bottom w:val="single" w:sz="8" w:space="0" w:color="FFFFFF"/>
              <w:right w:val="single" w:sz="8" w:space="0" w:color="FFFFFF"/>
            </w:tcBorders>
            <w:shd w:val="clear" w:color="000000" w:fill="D0CECE"/>
            <w:vAlign w:val="center"/>
            <w:hideMark/>
          </w:tcPr>
          <w:p w14:paraId="62F2B77C"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£49,615</w:t>
            </w:r>
          </w:p>
        </w:tc>
        <w:tc>
          <w:tcPr>
            <w:tcW w:w="507" w:type="pct"/>
            <w:tcBorders>
              <w:top w:val="nil"/>
              <w:left w:val="nil"/>
              <w:bottom w:val="single" w:sz="8" w:space="0" w:color="FFFFFF"/>
              <w:right w:val="single" w:sz="8" w:space="0" w:color="FFFFFF"/>
            </w:tcBorders>
            <w:shd w:val="clear" w:color="000000" w:fill="D0CECE"/>
            <w:vAlign w:val="center"/>
            <w:hideMark/>
          </w:tcPr>
          <w:p w14:paraId="147605C3"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£57,029</w:t>
            </w:r>
          </w:p>
        </w:tc>
        <w:tc>
          <w:tcPr>
            <w:tcW w:w="507" w:type="pct"/>
            <w:tcBorders>
              <w:top w:val="nil"/>
              <w:left w:val="nil"/>
              <w:bottom w:val="single" w:sz="8" w:space="0" w:color="FFFFFF"/>
              <w:right w:val="single" w:sz="8" w:space="0" w:color="FFFFFF"/>
            </w:tcBorders>
            <w:shd w:val="clear" w:color="000000" w:fill="D0CECE"/>
            <w:vAlign w:val="center"/>
            <w:hideMark/>
          </w:tcPr>
          <w:p w14:paraId="0EC7CB08"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£60,486</w:t>
            </w:r>
          </w:p>
        </w:tc>
        <w:tc>
          <w:tcPr>
            <w:tcW w:w="507" w:type="pct"/>
            <w:tcBorders>
              <w:top w:val="nil"/>
              <w:left w:val="nil"/>
              <w:bottom w:val="single" w:sz="8" w:space="0" w:color="FFFFFF"/>
              <w:right w:val="single" w:sz="8" w:space="0" w:color="FFFFFF"/>
            </w:tcBorders>
            <w:shd w:val="clear" w:color="000000" w:fill="D0CECE"/>
            <w:vAlign w:val="center"/>
            <w:hideMark/>
          </w:tcPr>
          <w:p w14:paraId="21C4A66F"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£62,394</w:t>
            </w:r>
          </w:p>
        </w:tc>
        <w:tc>
          <w:tcPr>
            <w:tcW w:w="507" w:type="pct"/>
            <w:tcBorders>
              <w:top w:val="nil"/>
              <w:left w:val="nil"/>
              <w:bottom w:val="single" w:sz="8" w:space="0" w:color="FFFFFF"/>
              <w:right w:val="single" w:sz="8" w:space="0" w:color="FFFFFF"/>
            </w:tcBorders>
            <w:shd w:val="clear" w:color="000000" w:fill="D0CECE"/>
            <w:vAlign w:val="center"/>
            <w:hideMark/>
          </w:tcPr>
          <w:p w14:paraId="1031B077"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£60,427</w:t>
            </w:r>
          </w:p>
        </w:tc>
        <w:tc>
          <w:tcPr>
            <w:tcW w:w="507" w:type="pct"/>
            <w:tcBorders>
              <w:top w:val="nil"/>
              <w:left w:val="nil"/>
              <w:bottom w:val="single" w:sz="8" w:space="0" w:color="FFFFFF"/>
              <w:right w:val="single" w:sz="8" w:space="0" w:color="FFFFFF"/>
            </w:tcBorders>
            <w:shd w:val="clear" w:color="000000" w:fill="D0CECE"/>
            <w:vAlign w:val="center"/>
            <w:hideMark/>
          </w:tcPr>
          <w:p w14:paraId="5D4B8B49"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£57,796</w:t>
            </w:r>
          </w:p>
        </w:tc>
        <w:tc>
          <w:tcPr>
            <w:tcW w:w="507" w:type="pct"/>
            <w:tcBorders>
              <w:top w:val="nil"/>
              <w:left w:val="nil"/>
              <w:bottom w:val="single" w:sz="8" w:space="0" w:color="FFFFFF"/>
              <w:right w:val="single" w:sz="8" w:space="0" w:color="FFFFFF"/>
            </w:tcBorders>
            <w:shd w:val="clear" w:color="000000" w:fill="D0CECE"/>
            <w:vAlign w:val="center"/>
            <w:hideMark/>
          </w:tcPr>
          <w:p w14:paraId="362B695B"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£53,254</w:t>
            </w:r>
          </w:p>
        </w:tc>
      </w:tr>
      <w:tr w:rsidR="009A5306" w:rsidRPr="006544E8" w14:paraId="5B4B646E" w14:textId="77777777" w:rsidTr="006544E8">
        <w:trPr>
          <w:trHeight w:val="315"/>
        </w:trPr>
        <w:tc>
          <w:tcPr>
            <w:tcW w:w="945" w:type="pct"/>
            <w:tcBorders>
              <w:top w:val="nil"/>
              <w:left w:val="single" w:sz="8" w:space="0" w:color="FFFFFF"/>
              <w:bottom w:val="single" w:sz="8" w:space="0" w:color="FFFFFF"/>
              <w:right w:val="single" w:sz="8" w:space="0" w:color="FFFFFF"/>
            </w:tcBorders>
            <w:shd w:val="clear" w:color="000000" w:fill="008C9B"/>
            <w:vAlign w:val="center"/>
            <w:hideMark/>
          </w:tcPr>
          <w:p w14:paraId="4A10B16C" w14:textId="77777777" w:rsidR="009A5306" w:rsidRPr="006544E8" w:rsidRDefault="009A5306" w:rsidP="009A5306">
            <w:pPr>
              <w:spacing w:after="0"/>
              <w:rPr>
                <w:rFonts w:ascii="Calibri" w:eastAsia="Times New Roman" w:hAnsi="Calibri"/>
                <w:color w:val="FFFFFF"/>
                <w:sz w:val="20"/>
                <w:lang w:eastAsia="en-GB"/>
              </w:rPr>
            </w:pPr>
            <w:r w:rsidRPr="006544E8">
              <w:rPr>
                <w:rFonts w:ascii="Calibri" w:eastAsia="Times New Roman" w:hAnsi="Calibri"/>
                <w:color w:val="FFFFFF"/>
                <w:sz w:val="20"/>
                <w:lang w:eastAsia="en-GB"/>
              </w:rPr>
              <w:t>Maritime Business Services</w:t>
            </w:r>
          </w:p>
        </w:tc>
        <w:tc>
          <w:tcPr>
            <w:tcW w:w="507" w:type="pct"/>
            <w:tcBorders>
              <w:top w:val="nil"/>
              <w:left w:val="nil"/>
              <w:bottom w:val="single" w:sz="8" w:space="0" w:color="FFFFFF"/>
              <w:right w:val="single" w:sz="8" w:space="0" w:color="FFFFFF"/>
            </w:tcBorders>
            <w:shd w:val="clear" w:color="000000" w:fill="E7EEEF"/>
            <w:vAlign w:val="center"/>
            <w:hideMark/>
          </w:tcPr>
          <w:p w14:paraId="7D7350FA"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£108,687</w:t>
            </w:r>
          </w:p>
        </w:tc>
        <w:tc>
          <w:tcPr>
            <w:tcW w:w="507" w:type="pct"/>
            <w:tcBorders>
              <w:top w:val="nil"/>
              <w:left w:val="nil"/>
              <w:bottom w:val="single" w:sz="8" w:space="0" w:color="FFFFFF"/>
              <w:right w:val="single" w:sz="8" w:space="0" w:color="FFFFFF"/>
            </w:tcBorders>
            <w:shd w:val="clear" w:color="000000" w:fill="E7EEEF"/>
            <w:vAlign w:val="center"/>
            <w:hideMark/>
          </w:tcPr>
          <w:p w14:paraId="4BF6715E"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£112,336</w:t>
            </w:r>
          </w:p>
        </w:tc>
        <w:tc>
          <w:tcPr>
            <w:tcW w:w="507" w:type="pct"/>
            <w:tcBorders>
              <w:top w:val="nil"/>
              <w:left w:val="nil"/>
              <w:bottom w:val="single" w:sz="8" w:space="0" w:color="FFFFFF"/>
              <w:right w:val="single" w:sz="8" w:space="0" w:color="FFFFFF"/>
            </w:tcBorders>
            <w:shd w:val="clear" w:color="000000" w:fill="E7EEEF"/>
            <w:vAlign w:val="center"/>
            <w:hideMark/>
          </w:tcPr>
          <w:p w14:paraId="48680860"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£121,009</w:t>
            </w:r>
          </w:p>
        </w:tc>
        <w:tc>
          <w:tcPr>
            <w:tcW w:w="507" w:type="pct"/>
            <w:tcBorders>
              <w:top w:val="nil"/>
              <w:left w:val="nil"/>
              <w:bottom w:val="single" w:sz="8" w:space="0" w:color="FFFFFF"/>
              <w:right w:val="single" w:sz="8" w:space="0" w:color="FFFFFF"/>
            </w:tcBorders>
            <w:shd w:val="clear" w:color="000000" w:fill="E7EEEF"/>
            <w:vAlign w:val="center"/>
            <w:hideMark/>
          </w:tcPr>
          <w:p w14:paraId="5A1633EC"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£128,562</w:t>
            </w:r>
          </w:p>
        </w:tc>
        <w:tc>
          <w:tcPr>
            <w:tcW w:w="507" w:type="pct"/>
            <w:tcBorders>
              <w:top w:val="nil"/>
              <w:left w:val="nil"/>
              <w:bottom w:val="single" w:sz="8" w:space="0" w:color="FFFFFF"/>
              <w:right w:val="single" w:sz="8" w:space="0" w:color="FFFFFF"/>
            </w:tcBorders>
            <w:shd w:val="clear" w:color="000000" w:fill="E7EEEF"/>
            <w:vAlign w:val="center"/>
            <w:hideMark/>
          </w:tcPr>
          <w:p w14:paraId="20D2D7E7"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£131,809</w:t>
            </w:r>
          </w:p>
        </w:tc>
        <w:tc>
          <w:tcPr>
            <w:tcW w:w="507" w:type="pct"/>
            <w:tcBorders>
              <w:top w:val="nil"/>
              <w:left w:val="nil"/>
              <w:bottom w:val="single" w:sz="8" w:space="0" w:color="FFFFFF"/>
              <w:right w:val="single" w:sz="8" w:space="0" w:color="FFFFFF"/>
            </w:tcBorders>
            <w:shd w:val="clear" w:color="000000" w:fill="E7EEEF"/>
            <w:vAlign w:val="center"/>
            <w:hideMark/>
          </w:tcPr>
          <w:p w14:paraId="53B1735C"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£111,591</w:t>
            </w:r>
          </w:p>
        </w:tc>
        <w:tc>
          <w:tcPr>
            <w:tcW w:w="507" w:type="pct"/>
            <w:tcBorders>
              <w:top w:val="nil"/>
              <w:left w:val="nil"/>
              <w:bottom w:val="single" w:sz="8" w:space="0" w:color="FFFFFF"/>
              <w:right w:val="single" w:sz="8" w:space="0" w:color="FFFFFF"/>
            </w:tcBorders>
            <w:shd w:val="clear" w:color="000000" w:fill="E7EEEF"/>
            <w:vAlign w:val="center"/>
            <w:hideMark/>
          </w:tcPr>
          <w:p w14:paraId="59A38456"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£112,770</w:t>
            </w:r>
          </w:p>
        </w:tc>
        <w:tc>
          <w:tcPr>
            <w:tcW w:w="507" w:type="pct"/>
            <w:tcBorders>
              <w:top w:val="nil"/>
              <w:left w:val="nil"/>
              <w:bottom w:val="single" w:sz="8" w:space="0" w:color="FFFFFF"/>
              <w:right w:val="single" w:sz="8" w:space="0" w:color="FFFFFF"/>
            </w:tcBorders>
            <w:shd w:val="clear" w:color="000000" w:fill="E7EEEF"/>
            <w:vAlign w:val="center"/>
            <w:hideMark/>
          </w:tcPr>
          <w:p w14:paraId="7118B101" w14:textId="77777777" w:rsidR="009A5306" w:rsidRPr="006544E8" w:rsidRDefault="009A5306" w:rsidP="009A5306">
            <w:pPr>
              <w:spacing w:after="0"/>
              <w:jc w:val="center"/>
              <w:rPr>
                <w:rFonts w:ascii="Calibri" w:eastAsia="Times New Roman" w:hAnsi="Calibri"/>
                <w:color w:val="000000"/>
                <w:sz w:val="20"/>
                <w:lang w:eastAsia="en-GB"/>
              </w:rPr>
            </w:pPr>
            <w:r w:rsidRPr="006544E8">
              <w:rPr>
                <w:rFonts w:ascii="Calibri" w:eastAsia="Times New Roman" w:hAnsi="Calibri"/>
                <w:color w:val="000000"/>
                <w:sz w:val="20"/>
                <w:lang w:eastAsia="en-GB"/>
              </w:rPr>
              <w:t>£112,886</w:t>
            </w:r>
          </w:p>
        </w:tc>
      </w:tr>
    </w:tbl>
    <w:p w14:paraId="2A1BD544" w14:textId="2A34F501" w:rsidR="005F06DA" w:rsidRPr="009836A2" w:rsidRDefault="00391560" w:rsidP="009836A2">
      <w:pPr>
        <w:spacing w:before="60" w:after="0"/>
        <w:jc w:val="right"/>
      </w:pPr>
      <w:r w:rsidRPr="00E851E8">
        <w:rPr>
          <w:i/>
          <w:sz w:val="18"/>
        </w:rPr>
        <w:t>Source:</w:t>
      </w:r>
      <w:r w:rsidR="003E5BE2">
        <w:rPr>
          <w:i/>
          <w:sz w:val="18"/>
        </w:rPr>
        <w:t xml:space="preserve"> ONS</w:t>
      </w:r>
      <w:r w:rsidRPr="00E851E8">
        <w:rPr>
          <w:i/>
          <w:sz w:val="18"/>
        </w:rPr>
        <w:t>, Cebr analysis</w:t>
      </w:r>
      <w:r w:rsidR="005F06DA">
        <w:br w:type="page"/>
      </w:r>
    </w:p>
    <w:p w14:paraId="38455284" w14:textId="153840D5" w:rsidR="00C709B5" w:rsidRDefault="00C709B5" w:rsidP="00C709B5">
      <w:pPr>
        <w:pStyle w:val="Heading2"/>
      </w:pPr>
      <w:bookmarkStart w:id="74" w:name="_Toc16768007"/>
      <w:r>
        <w:lastRenderedPageBreak/>
        <w:t>The direct impact through the compensation of employees</w:t>
      </w:r>
      <w:bookmarkEnd w:id="74"/>
    </w:p>
    <w:p w14:paraId="3574111D" w14:textId="6F25509E" w:rsidR="00185A37" w:rsidRPr="00470A5B" w:rsidRDefault="00470A5B" w:rsidP="009836A2">
      <w:r>
        <w:t xml:space="preserve">This section considers </w:t>
      </w:r>
      <w:r w:rsidR="000C6EE6">
        <w:t xml:space="preserve">the </w:t>
      </w:r>
      <w:r>
        <w:t xml:space="preserve">compensation of employees which is directly supported by </w:t>
      </w:r>
      <w:r w:rsidR="00C07E64">
        <w:t>the</w:t>
      </w:r>
      <w:r w:rsidR="00EF3D2C">
        <w:t xml:space="preserve"> </w:t>
      </w:r>
      <w:r w:rsidR="00FB0F9F">
        <w:t xml:space="preserve">Maritime </w:t>
      </w:r>
      <w:r w:rsidR="009836A2">
        <w:t>S</w:t>
      </w:r>
      <w:r w:rsidR="003A0DE9">
        <w:t>ector</w:t>
      </w:r>
      <w:r w:rsidR="0062184F">
        <w:t xml:space="preserve"> </w:t>
      </w:r>
      <w:r w:rsidR="00C07E64">
        <w:t>in Scotland</w:t>
      </w:r>
      <w:r>
        <w:t>.</w:t>
      </w:r>
      <w:r w:rsidR="00EF3D2C">
        <w:t xml:space="preserve"> </w:t>
      </w:r>
      <w:r w:rsidR="000D4724">
        <w:fldChar w:fldCharType="begin"/>
      </w:r>
      <w:r w:rsidR="000D4724">
        <w:instrText xml:space="preserve"> REF _Ref16685397 \h </w:instrText>
      </w:r>
      <w:r w:rsidR="000D4724">
        <w:fldChar w:fldCharType="separate"/>
      </w:r>
      <w:r w:rsidR="00316965">
        <w:t xml:space="preserve">Figure </w:t>
      </w:r>
      <w:r w:rsidR="00316965">
        <w:rPr>
          <w:noProof/>
        </w:rPr>
        <w:t>6</w:t>
      </w:r>
      <w:r w:rsidR="000D4724">
        <w:fldChar w:fldCharType="end"/>
      </w:r>
      <w:r w:rsidR="000D4724">
        <w:t xml:space="preserve"> </w:t>
      </w:r>
      <w:r w:rsidR="00185A37">
        <w:t xml:space="preserve">below shows the direct impact </w:t>
      </w:r>
      <w:r w:rsidR="0062184F">
        <w:t>through</w:t>
      </w:r>
      <w:r w:rsidR="00185A37">
        <w:t xml:space="preserve"> the compensation of emp</w:t>
      </w:r>
      <w:r w:rsidR="009836A2">
        <w:t>loyees in the years 2010 to 2017</w:t>
      </w:r>
      <w:r w:rsidR="00185A37">
        <w:t xml:space="preserve">, disaggregated by </w:t>
      </w:r>
      <w:r w:rsidR="00CF3E99">
        <w:t xml:space="preserve">each </w:t>
      </w:r>
      <w:r w:rsidR="0062184F">
        <w:t xml:space="preserve">Maritime </w:t>
      </w:r>
      <w:r w:rsidR="007D2660">
        <w:t>industry</w:t>
      </w:r>
      <w:r w:rsidR="0039232D">
        <w:t xml:space="preserve"> in Scotland</w:t>
      </w:r>
      <w:r w:rsidR="00185A37">
        <w:t>.</w:t>
      </w:r>
    </w:p>
    <w:p w14:paraId="43D454C1" w14:textId="0E80E112" w:rsidR="004C61AB" w:rsidRDefault="000D4724" w:rsidP="000D4724">
      <w:pPr>
        <w:pStyle w:val="Caption"/>
      </w:pPr>
      <w:bookmarkStart w:id="75" w:name="_Ref16685397"/>
      <w:r>
        <w:t xml:space="preserve">Figure </w:t>
      </w:r>
      <w:r w:rsidR="00BF1DE1">
        <w:rPr>
          <w:noProof/>
        </w:rPr>
        <w:fldChar w:fldCharType="begin"/>
      </w:r>
      <w:r w:rsidR="00BF1DE1">
        <w:rPr>
          <w:noProof/>
        </w:rPr>
        <w:instrText xml:space="preserve"> SEQ Figure \* ARABIC </w:instrText>
      </w:r>
      <w:r w:rsidR="00BF1DE1">
        <w:rPr>
          <w:noProof/>
        </w:rPr>
        <w:fldChar w:fldCharType="separate"/>
      </w:r>
      <w:r w:rsidR="00316965">
        <w:rPr>
          <w:noProof/>
        </w:rPr>
        <w:t>6</w:t>
      </w:r>
      <w:r w:rsidR="00BF1DE1">
        <w:rPr>
          <w:noProof/>
        </w:rPr>
        <w:fldChar w:fldCharType="end"/>
      </w:r>
      <w:bookmarkEnd w:id="75"/>
      <w:r w:rsidR="007D5015">
        <w:t>:</w:t>
      </w:r>
      <w:r w:rsidR="004C61AB">
        <w:t xml:space="preserve"> </w:t>
      </w:r>
      <w:r w:rsidR="004C61AB" w:rsidRPr="00CF7468">
        <w:t xml:space="preserve">The direct contribution of the </w:t>
      </w:r>
      <w:r w:rsidR="00D97E62">
        <w:t>Maritime industries</w:t>
      </w:r>
      <w:r w:rsidR="004C61AB" w:rsidRPr="00CF7468">
        <w:t xml:space="preserve"> </w:t>
      </w:r>
      <w:r w:rsidR="00C07E64">
        <w:t xml:space="preserve">in Scotland </w:t>
      </w:r>
      <w:r w:rsidR="00774702" w:rsidRPr="00CF7468">
        <w:t>to</w:t>
      </w:r>
      <w:r w:rsidR="004C61AB" w:rsidRPr="00CF7468">
        <w:t xml:space="preserve"> </w:t>
      </w:r>
      <w:r w:rsidR="00774702">
        <w:t xml:space="preserve">the </w:t>
      </w:r>
      <w:r w:rsidR="004C61AB" w:rsidRPr="00CF7468">
        <w:t xml:space="preserve">compensation of employees, and the </w:t>
      </w:r>
      <w:r w:rsidR="00D97E62">
        <w:t xml:space="preserve">combined industries’ </w:t>
      </w:r>
      <w:r w:rsidR="004C61AB" w:rsidRPr="00CF7468">
        <w:t xml:space="preserve">share of the total contribution </w:t>
      </w:r>
      <w:r w:rsidR="009836A2">
        <w:t>from the UK Maritime S</w:t>
      </w:r>
      <w:r w:rsidR="00774702">
        <w:t>ector</w:t>
      </w:r>
      <w:r w:rsidR="009836A2">
        <w:t>, 2010 to 2017, £ million</w:t>
      </w:r>
    </w:p>
    <w:p w14:paraId="223BC992" w14:textId="040993A9" w:rsidR="00B86153" w:rsidRPr="007D2525" w:rsidRDefault="009836A2" w:rsidP="007D2525">
      <w:pPr>
        <w:jc w:val="right"/>
      </w:pPr>
      <w:r>
        <w:rPr>
          <w:noProof/>
          <w:lang w:eastAsia="en-GB"/>
        </w:rPr>
        <w:drawing>
          <wp:inline distT="0" distB="0" distL="0" distR="0" wp14:anchorId="7E727549" wp14:editId="09C31A7A">
            <wp:extent cx="5991225" cy="33051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86153" w:rsidRPr="006875D2">
        <w:rPr>
          <w:i/>
          <w:color w:val="000000" w:themeColor="text1"/>
          <w:sz w:val="18"/>
        </w:rPr>
        <w:t>Source: ONS, FAME, Cebr analysis</w:t>
      </w:r>
    </w:p>
    <w:p w14:paraId="6132D34A" w14:textId="2F802194" w:rsidR="007D2525" w:rsidRDefault="007D2525" w:rsidP="001D7011">
      <w:r>
        <w:t>The direc</w:t>
      </w:r>
      <w:r w:rsidR="00763000">
        <w:t>t contribution of the Maritime S</w:t>
      </w:r>
      <w:r>
        <w:t xml:space="preserve">ector to </w:t>
      </w:r>
      <w:r w:rsidR="000520BC">
        <w:t xml:space="preserve">the </w:t>
      </w:r>
      <w:r>
        <w:t>co</w:t>
      </w:r>
      <w:r w:rsidR="00763000">
        <w:t>mpensation of employees was £2.3</w:t>
      </w:r>
      <w:r>
        <w:t xml:space="preserve"> </w:t>
      </w:r>
      <w:r w:rsidR="00763000">
        <w:t>billion in 2017</w:t>
      </w:r>
      <w:r w:rsidR="000520BC">
        <w:t>; this represented</w:t>
      </w:r>
      <w:r w:rsidR="00763000">
        <w:t xml:space="preserve"> approximately 33</w:t>
      </w:r>
      <w:r>
        <w:t>% of the direc</w:t>
      </w:r>
      <w:r w:rsidR="00763000">
        <w:t>t contribution of the Maritime S</w:t>
      </w:r>
      <w:r>
        <w:t>ector as a whole</w:t>
      </w:r>
      <w:r w:rsidR="000520BC">
        <w:t xml:space="preserve"> in that year</w:t>
      </w:r>
      <w:r>
        <w:t xml:space="preserve">. </w:t>
      </w:r>
    </w:p>
    <w:p w14:paraId="0618AEDA" w14:textId="7924BA9C" w:rsidR="000B181E" w:rsidRDefault="0056580E" w:rsidP="001D7011">
      <w:pPr>
        <w:spacing w:after="0"/>
      </w:pPr>
      <w:r>
        <w:t xml:space="preserve">Consistent with </w:t>
      </w:r>
      <w:r w:rsidR="003C3D67">
        <w:t>its relatively large direct contribution in GVA</w:t>
      </w:r>
      <w:r w:rsidR="000B181E">
        <w:t xml:space="preserve">, the </w:t>
      </w:r>
      <w:r w:rsidR="00763000">
        <w:t>MES industry</w:t>
      </w:r>
      <w:r w:rsidR="000B181E">
        <w:t xml:space="preserve"> contributed</w:t>
      </w:r>
      <w:r w:rsidR="00763000">
        <w:t xml:space="preserve"> 80</w:t>
      </w:r>
      <w:r w:rsidR="000B181E">
        <w:t xml:space="preserve">% of </w:t>
      </w:r>
      <w:r>
        <w:t xml:space="preserve">the </w:t>
      </w:r>
      <w:r w:rsidR="00900B21">
        <w:t>Scottish</w:t>
      </w:r>
      <w:r w:rsidR="000B181E">
        <w:t xml:space="preserve"> </w:t>
      </w:r>
      <w:r w:rsidR="00774702">
        <w:t xml:space="preserve">sector’s </w:t>
      </w:r>
      <w:r w:rsidR="000B181E">
        <w:t>direct contribution to the compensation of employees</w:t>
      </w:r>
      <w:r w:rsidR="00763000">
        <w:t xml:space="preserve"> in 2017 equivalent to £1.8 billion. The direct contribution from the MES industry has remained relatively stable under the time period considered, on average contributing £1.8 billion to the compensation of employees. However, in 2016, the MES industry’s contribution shrank to £1.2 billion driven by dramatic decrease in Marine Offshore Oil and Gas in line with the global fall in the price of crude oil. </w:t>
      </w:r>
      <w:r w:rsidR="00682DDF">
        <w:t xml:space="preserve">The shipping industry has remained the second largest industry throughout the time period considered, and in 2017 the shipping industry </w:t>
      </w:r>
      <w:r w:rsidR="00763000">
        <w:t xml:space="preserve">directly contributed £300 million to the compensation of employees in 2017.  </w:t>
      </w:r>
    </w:p>
    <w:p w14:paraId="6084AC08" w14:textId="77777777" w:rsidR="005B6B9D" w:rsidRDefault="005B6B9D">
      <w:pPr>
        <w:spacing w:after="0"/>
        <w:rPr>
          <w:rFonts w:eastAsiaTheme="majorEastAsia" w:cstheme="majorBidi"/>
          <w:b/>
          <w:bCs/>
          <w:color w:val="7F7F7F" w:themeColor="text1" w:themeTint="80"/>
          <w:sz w:val="28"/>
          <w:szCs w:val="26"/>
        </w:rPr>
      </w:pPr>
      <w:bookmarkStart w:id="76" w:name="_Toc486495377"/>
      <w:bookmarkStart w:id="77" w:name="_Toc486495435"/>
      <w:bookmarkStart w:id="78" w:name="_Toc486956797"/>
      <w:bookmarkStart w:id="79" w:name="_Toc486495378"/>
      <w:bookmarkStart w:id="80" w:name="_Toc486495436"/>
      <w:bookmarkStart w:id="81" w:name="_Toc486956798"/>
      <w:bookmarkEnd w:id="76"/>
      <w:bookmarkEnd w:id="77"/>
      <w:bookmarkEnd w:id="78"/>
      <w:bookmarkEnd w:id="79"/>
      <w:bookmarkEnd w:id="80"/>
      <w:bookmarkEnd w:id="81"/>
      <w:r>
        <w:br w:type="page"/>
      </w:r>
    </w:p>
    <w:p w14:paraId="11856411" w14:textId="10FFA0D0" w:rsidR="002671F0" w:rsidRDefault="002671F0" w:rsidP="002671F0">
      <w:pPr>
        <w:pStyle w:val="Heading2"/>
      </w:pPr>
      <w:bookmarkStart w:id="82" w:name="_Toc16768008"/>
      <w:r>
        <w:lastRenderedPageBreak/>
        <w:t xml:space="preserve">The </w:t>
      </w:r>
      <w:r w:rsidR="00A36C15">
        <w:t xml:space="preserve">direct Exchequer </w:t>
      </w:r>
      <w:r>
        <w:t>contribution</w:t>
      </w:r>
      <w:r w:rsidR="004A6D4E">
        <w:t xml:space="preserve"> in Scotland</w:t>
      </w:r>
      <w:bookmarkEnd w:id="82"/>
    </w:p>
    <w:p w14:paraId="08AED035" w14:textId="141F9FB5" w:rsidR="008322F7" w:rsidRDefault="003634CA" w:rsidP="001D7011">
      <w:pPr>
        <w:spacing w:after="120"/>
      </w:pPr>
      <w:r>
        <w:t>Here</w:t>
      </w:r>
      <w:r w:rsidR="00A048EF">
        <w:t xml:space="preserve"> </w:t>
      </w:r>
      <w:r w:rsidR="002671F0">
        <w:t>we examine</w:t>
      </w:r>
      <w:r w:rsidR="00C92320">
        <w:t xml:space="preserve"> </w:t>
      </w:r>
      <w:r w:rsidR="00A048EF">
        <w:t xml:space="preserve">the contribution of </w:t>
      </w:r>
      <w:r w:rsidR="004A6D4E">
        <w:t xml:space="preserve">the </w:t>
      </w:r>
      <w:r w:rsidR="002671F0">
        <w:t xml:space="preserve">Maritime </w:t>
      </w:r>
      <w:r w:rsidR="00BB19ED">
        <w:t>S</w:t>
      </w:r>
      <w:r w:rsidR="00FE2717">
        <w:t>ector</w:t>
      </w:r>
      <w:r w:rsidR="00A048EF">
        <w:t xml:space="preserve"> </w:t>
      </w:r>
      <w:r w:rsidR="004A6D4E">
        <w:t>in Scotland</w:t>
      </w:r>
      <w:r w:rsidR="00650B85">
        <w:t xml:space="preserve"> </w:t>
      </w:r>
      <w:r w:rsidR="00A048EF">
        <w:t xml:space="preserve">to the UK </w:t>
      </w:r>
      <w:r w:rsidR="002671F0">
        <w:t xml:space="preserve">Exchequer, through tax revenues raised from </w:t>
      </w:r>
      <w:r w:rsidR="00650B85">
        <w:t xml:space="preserve">Maritime-related </w:t>
      </w:r>
      <w:r w:rsidR="002671F0">
        <w:t>activities</w:t>
      </w:r>
      <w:r w:rsidR="00A048EF">
        <w:t xml:space="preserve">. </w:t>
      </w:r>
      <w:r w:rsidR="00235452">
        <w:t>In order to capture the incidence of taxation on the direct activities</w:t>
      </w:r>
      <w:r w:rsidR="004A6D4E">
        <w:t xml:space="preserve"> of the sector,</w:t>
      </w:r>
      <w:r w:rsidR="00235452">
        <w:t xml:space="preserve"> </w:t>
      </w:r>
      <w:r w:rsidR="002C334C">
        <w:t>Cebr has measured the</w:t>
      </w:r>
      <w:r w:rsidR="00A048EF">
        <w:t xml:space="preserve"> contribution</w:t>
      </w:r>
      <w:r w:rsidR="00235452">
        <w:t xml:space="preserve"> through revenues raised from</w:t>
      </w:r>
      <w:r w:rsidR="001A7AC9">
        <w:t xml:space="preserve"> the tax heads listed below:</w:t>
      </w:r>
    </w:p>
    <w:p w14:paraId="357626F2" w14:textId="257B85E7" w:rsidR="00A048EF" w:rsidRPr="001D7011" w:rsidRDefault="00A048EF" w:rsidP="001D7011">
      <w:pPr>
        <w:pStyle w:val="ListBullet"/>
        <w:numPr>
          <w:ilvl w:val="0"/>
          <w:numId w:val="25"/>
        </w:numPr>
        <w:spacing w:after="120"/>
        <w:ind w:left="360"/>
        <w:rPr>
          <w:rFonts w:ascii="Calibri" w:eastAsia="Microsoft JhengHei" w:hAnsi="Calibri"/>
        </w:rPr>
      </w:pPr>
      <w:r w:rsidRPr="001D7011">
        <w:rPr>
          <w:rFonts w:ascii="Calibri" w:eastAsia="Microsoft JhengHei" w:hAnsi="Calibri"/>
        </w:rPr>
        <w:t xml:space="preserve">Income </w:t>
      </w:r>
      <w:r w:rsidR="006E6942" w:rsidRPr="001D7011">
        <w:rPr>
          <w:rFonts w:ascii="Calibri" w:eastAsia="Microsoft JhengHei" w:hAnsi="Calibri"/>
        </w:rPr>
        <w:t>T</w:t>
      </w:r>
      <w:r w:rsidRPr="001D7011">
        <w:rPr>
          <w:rFonts w:ascii="Calibri" w:eastAsia="Microsoft JhengHei" w:hAnsi="Calibri"/>
        </w:rPr>
        <w:t>ax;</w:t>
      </w:r>
    </w:p>
    <w:p w14:paraId="10C0D368" w14:textId="447D4928" w:rsidR="00A048EF" w:rsidRPr="001D7011" w:rsidRDefault="00A048EF" w:rsidP="001D7011">
      <w:pPr>
        <w:pStyle w:val="ListBullet"/>
        <w:numPr>
          <w:ilvl w:val="0"/>
          <w:numId w:val="25"/>
        </w:numPr>
        <w:spacing w:after="120"/>
        <w:ind w:left="360"/>
        <w:rPr>
          <w:rFonts w:ascii="Calibri" w:eastAsia="Microsoft JhengHei" w:hAnsi="Calibri"/>
        </w:rPr>
      </w:pPr>
      <w:r w:rsidRPr="001D7011">
        <w:rPr>
          <w:rFonts w:ascii="Calibri" w:eastAsia="Microsoft JhengHei" w:hAnsi="Calibri"/>
        </w:rPr>
        <w:t xml:space="preserve">National </w:t>
      </w:r>
      <w:r w:rsidR="00650B85" w:rsidRPr="001D7011">
        <w:rPr>
          <w:rFonts w:ascii="Calibri" w:eastAsia="Microsoft JhengHei" w:hAnsi="Calibri"/>
        </w:rPr>
        <w:t>I</w:t>
      </w:r>
      <w:r w:rsidRPr="001D7011">
        <w:rPr>
          <w:rFonts w:ascii="Calibri" w:eastAsia="Microsoft JhengHei" w:hAnsi="Calibri"/>
        </w:rPr>
        <w:t xml:space="preserve">nsurance </w:t>
      </w:r>
      <w:r w:rsidR="006E6942" w:rsidRPr="001D7011">
        <w:rPr>
          <w:rFonts w:ascii="Calibri" w:eastAsia="Microsoft JhengHei" w:hAnsi="Calibri"/>
        </w:rPr>
        <w:t>C</w:t>
      </w:r>
      <w:r w:rsidRPr="001D7011">
        <w:rPr>
          <w:rFonts w:ascii="Calibri" w:eastAsia="Microsoft JhengHei" w:hAnsi="Calibri"/>
        </w:rPr>
        <w:t>ontributions</w:t>
      </w:r>
      <w:r w:rsidR="006E6942" w:rsidRPr="001D7011">
        <w:rPr>
          <w:rFonts w:ascii="Calibri" w:eastAsia="Microsoft JhengHei" w:hAnsi="Calibri"/>
        </w:rPr>
        <w:t xml:space="preserve"> (NICs)</w:t>
      </w:r>
      <w:r w:rsidRPr="001D7011">
        <w:rPr>
          <w:rFonts w:ascii="Calibri" w:eastAsia="Microsoft JhengHei" w:hAnsi="Calibri"/>
        </w:rPr>
        <w:t xml:space="preserve"> – from both </w:t>
      </w:r>
      <w:r w:rsidR="006E6942" w:rsidRPr="001D7011">
        <w:rPr>
          <w:rFonts w:ascii="Calibri" w:eastAsia="Microsoft JhengHei" w:hAnsi="Calibri"/>
        </w:rPr>
        <w:t>Employer and Employee contributions</w:t>
      </w:r>
      <w:r w:rsidRPr="001D7011">
        <w:rPr>
          <w:rFonts w:ascii="Calibri" w:eastAsia="Microsoft JhengHei" w:hAnsi="Calibri"/>
        </w:rPr>
        <w:t>;</w:t>
      </w:r>
    </w:p>
    <w:p w14:paraId="507AE6D1" w14:textId="156C4E2A" w:rsidR="00A048EF" w:rsidRPr="001D7011" w:rsidRDefault="006E6942" w:rsidP="001D7011">
      <w:pPr>
        <w:pStyle w:val="ListBullet"/>
        <w:numPr>
          <w:ilvl w:val="0"/>
          <w:numId w:val="25"/>
        </w:numPr>
        <w:spacing w:after="120"/>
        <w:ind w:left="360"/>
        <w:rPr>
          <w:rFonts w:ascii="Calibri" w:eastAsia="Microsoft JhengHei" w:hAnsi="Calibri"/>
        </w:rPr>
      </w:pPr>
      <w:r w:rsidRPr="001D7011">
        <w:rPr>
          <w:rFonts w:ascii="Calibri" w:eastAsia="Microsoft JhengHei" w:hAnsi="Calibri"/>
        </w:rPr>
        <w:t>Value-Added Tax (</w:t>
      </w:r>
      <w:r w:rsidR="00A048EF" w:rsidRPr="001D7011">
        <w:rPr>
          <w:rFonts w:ascii="Calibri" w:eastAsia="Microsoft JhengHei" w:hAnsi="Calibri"/>
        </w:rPr>
        <w:t>VAT</w:t>
      </w:r>
      <w:r w:rsidRPr="001D7011">
        <w:rPr>
          <w:rFonts w:ascii="Calibri" w:eastAsia="Microsoft JhengHei" w:hAnsi="Calibri"/>
        </w:rPr>
        <w:t>)</w:t>
      </w:r>
      <w:r w:rsidR="002301EC" w:rsidRPr="001D7011">
        <w:rPr>
          <w:rFonts w:ascii="Calibri" w:eastAsia="Microsoft JhengHei" w:hAnsi="Calibri"/>
        </w:rPr>
        <w:t xml:space="preserve"> as paid by businesses operating in the Maritime </w:t>
      </w:r>
      <w:r w:rsidR="00A54616" w:rsidRPr="001D7011">
        <w:rPr>
          <w:rFonts w:ascii="Calibri" w:eastAsia="Microsoft JhengHei" w:hAnsi="Calibri"/>
        </w:rPr>
        <w:t>sector</w:t>
      </w:r>
      <w:r w:rsidR="00A048EF" w:rsidRPr="001D7011">
        <w:rPr>
          <w:rFonts w:ascii="Calibri" w:eastAsia="Microsoft JhengHei" w:hAnsi="Calibri"/>
        </w:rPr>
        <w:t>;</w:t>
      </w:r>
    </w:p>
    <w:p w14:paraId="15F5B5F2" w14:textId="2EACD132" w:rsidR="00A048EF" w:rsidRPr="001D7011" w:rsidRDefault="00A048EF" w:rsidP="001D7011">
      <w:pPr>
        <w:pStyle w:val="ListBullet"/>
        <w:numPr>
          <w:ilvl w:val="0"/>
          <w:numId w:val="25"/>
        </w:numPr>
        <w:spacing w:after="120"/>
        <w:ind w:left="360"/>
        <w:rPr>
          <w:rFonts w:ascii="Calibri" w:eastAsia="Microsoft JhengHei" w:hAnsi="Calibri"/>
        </w:rPr>
      </w:pPr>
      <w:r w:rsidRPr="001D7011">
        <w:rPr>
          <w:rFonts w:ascii="Calibri" w:eastAsia="Microsoft JhengHei" w:hAnsi="Calibri"/>
        </w:rPr>
        <w:t xml:space="preserve">Corporation </w:t>
      </w:r>
      <w:r w:rsidR="006E6942" w:rsidRPr="001D7011">
        <w:rPr>
          <w:rFonts w:ascii="Calibri" w:eastAsia="Microsoft JhengHei" w:hAnsi="Calibri"/>
        </w:rPr>
        <w:t>Tax</w:t>
      </w:r>
      <w:r w:rsidRPr="001D7011">
        <w:rPr>
          <w:rFonts w:ascii="Calibri" w:eastAsia="Microsoft JhengHei" w:hAnsi="Calibri"/>
        </w:rPr>
        <w:t>;</w:t>
      </w:r>
    </w:p>
    <w:p w14:paraId="0E51CC79" w14:textId="36E2411C" w:rsidR="00A048EF" w:rsidRPr="001D7011" w:rsidRDefault="006E6942" w:rsidP="001D7011">
      <w:pPr>
        <w:pStyle w:val="ListBullet"/>
        <w:numPr>
          <w:ilvl w:val="0"/>
          <w:numId w:val="25"/>
        </w:numPr>
        <w:spacing w:after="120"/>
        <w:ind w:left="360"/>
        <w:rPr>
          <w:rFonts w:ascii="Calibri" w:eastAsia="Microsoft JhengHei" w:hAnsi="Calibri"/>
        </w:rPr>
      </w:pPr>
      <w:r w:rsidRPr="001D7011">
        <w:rPr>
          <w:rFonts w:ascii="Calibri" w:eastAsia="Microsoft JhengHei" w:hAnsi="Calibri"/>
        </w:rPr>
        <w:t>National Non-Domestic Rates (</w:t>
      </w:r>
      <w:r w:rsidR="00A048EF" w:rsidRPr="001D7011">
        <w:rPr>
          <w:rFonts w:ascii="Calibri" w:eastAsia="Microsoft JhengHei" w:hAnsi="Calibri"/>
        </w:rPr>
        <w:t xml:space="preserve">Business </w:t>
      </w:r>
      <w:r w:rsidRPr="001D7011">
        <w:rPr>
          <w:rFonts w:ascii="Calibri" w:eastAsia="Microsoft JhengHei" w:hAnsi="Calibri"/>
        </w:rPr>
        <w:t>R</w:t>
      </w:r>
      <w:r w:rsidR="00A048EF" w:rsidRPr="001D7011">
        <w:rPr>
          <w:rFonts w:ascii="Calibri" w:eastAsia="Microsoft JhengHei" w:hAnsi="Calibri"/>
        </w:rPr>
        <w:t>ates</w:t>
      </w:r>
      <w:r w:rsidRPr="001D7011">
        <w:rPr>
          <w:rFonts w:ascii="Calibri" w:eastAsia="Microsoft JhengHei" w:hAnsi="Calibri"/>
        </w:rPr>
        <w:t>)</w:t>
      </w:r>
      <w:r w:rsidR="00A048EF" w:rsidRPr="001D7011">
        <w:rPr>
          <w:rFonts w:ascii="Calibri" w:eastAsia="Microsoft JhengHei" w:hAnsi="Calibri"/>
        </w:rPr>
        <w:t>.</w:t>
      </w:r>
    </w:p>
    <w:p w14:paraId="29EF1B43" w14:textId="4D69FA7E" w:rsidR="00C221F3" w:rsidRDefault="00AE2402" w:rsidP="008322F7">
      <w:r>
        <w:t xml:space="preserve">For the personal taxes listed above, </w:t>
      </w:r>
      <w:r w:rsidR="00C221F3">
        <w:t xml:space="preserve">Income Tax and NICs revenues have been calculated by applying </w:t>
      </w:r>
      <w:r w:rsidR="00F445AA">
        <w:t>tax rates to the estimated wages and salaries paid to employees</w:t>
      </w:r>
      <w:r w:rsidR="003F125E">
        <w:t xml:space="preserve"> operating</w:t>
      </w:r>
      <w:r w:rsidR="00F445AA">
        <w:t xml:space="preserve"> in the </w:t>
      </w:r>
      <w:r w:rsidR="00597EE4">
        <w:t xml:space="preserve">Scottish Maritime </w:t>
      </w:r>
      <w:r w:rsidR="00642BC3">
        <w:t>S</w:t>
      </w:r>
      <w:r w:rsidR="00650B85">
        <w:t>ector</w:t>
      </w:r>
      <w:r>
        <w:t xml:space="preserve">; rates </w:t>
      </w:r>
      <w:r w:rsidR="00F445AA">
        <w:t xml:space="preserve">and thresholds have been sourced from HMRC for </w:t>
      </w:r>
      <w:r w:rsidR="000D0432">
        <w:t>the</w:t>
      </w:r>
      <w:r w:rsidR="00642BC3">
        <w:t xml:space="preserve"> years 2010 to 2017</w:t>
      </w:r>
      <w:r w:rsidR="00F445AA">
        <w:t>.</w:t>
      </w:r>
      <w:r>
        <w:t xml:space="preserve"> Wages and salaries for employees have been sourced from the Annual Survey for Hours and Earnings (ASHE)</w:t>
      </w:r>
      <w:r w:rsidR="000C451B" w:rsidRPr="000C451B">
        <w:rPr>
          <w:vertAlign w:val="superscript"/>
        </w:rPr>
        <w:footnoteReference w:id="13"/>
      </w:r>
      <w:r w:rsidR="000C451B" w:rsidRPr="000C451B">
        <w:rPr>
          <w:vertAlign w:val="superscript"/>
        </w:rPr>
        <w:t xml:space="preserve"> </w:t>
      </w:r>
      <w:r>
        <w:t xml:space="preserve">and adjusted for wage differentials in </w:t>
      </w:r>
      <w:r w:rsidR="00A40C3F">
        <w:t>Scotland</w:t>
      </w:r>
      <w:r>
        <w:t xml:space="preserve">. </w:t>
      </w:r>
      <w:r w:rsidR="00D52DF5">
        <w:t xml:space="preserve">For the business taxes listed above, </w:t>
      </w:r>
      <w:r w:rsidR="00F445AA">
        <w:t xml:space="preserve">Corporation Tax revenues have been estimated by applying HMRC estimates for Average Effective Tax Rates (AETRs) to the estimated Gross Profit of each </w:t>
      </w:r>
      <w:r w:rsidR="000D0432">
        <w:t>M</w:t>
      </w:r>
      <w:r w:rsidR="00F445AA">
        <w:t xml:space="preserve">aritime industry. Business Rates have been estimated using the average level of Business Rates paid as a proportion of </w:t>
      </w:r>
      <w:r w:rsidR="000C7C3B">
        <w:t xml:space="preserve">Maritime </w:t>
      </w:r>
      <w:r w:rsidR="00560B71">
        <w:t>sector</w:t>
      </w:r>
      <w:r w:rsidR="000C7C3B">
        <w:t xml:space="preserve"> </w:t>
      </w:r>
      <w:r w:rsidR="00F445AA">
        <w:t xml:space="preserve">GVA, </w:t>
      </w:r>
      <w:r w:rsidR="00597EE4">
        <w:t xml:space="preserve">taken from </w:t>
      </w:r>
      <w:r w:rsidR="007E2537">
        <w:t xml:space="preserve">the </w:t>
      </w:r>
      <w:r w:rsidR="00F445AA">
        <w:t>ONS Annual Business Survey.</w:t>
      </w:r>
    </w:p>
    <w:p w14:paraId="0D44CD6A" w14:textId="039BDA2D" w:rsidR="00DD72F4" w:rsidRDefault="000D4724" w:rsidP="00CE3DE3">
      <w:pPr>
        <w:spacing w:after="120"/>
      </w:pPr>
      <w:r>
        <w:fldChar w:fldCharType="begin"/>
      </w:r>
      <w:r>
        <w:instrText xml:space="preserve"> REF _Ref16685417 \h </w:instrText>
      </w:r>
      <w:r>
        <w:fldChar w:fldCharType="separate"/>
      </w:r>
      <w:r w:rsidR="00316965">
        <w:t xml:space="preserve">Figure </w:t>
      </w:r>
      <w:r w:rsidR="00316965">
        <w:rPr>
          <w:noProof/>
        </w:rPr>
        <w:t>7</w:t>
      </w:r>
      <w:r>
        <w:fldChar w:fldCharType="end"/>
      </w:r>
      <w:r>
        <w:t xml:space="preserve"> </w:t>
      </w:r>
      <w:r w:rsidR="00B85DEA">
        <w:t xml:space="preserve">below </w:t>
      </w:r>
      <w:r w:rsidR="00547D2A">
        <w:t xml:space="preserve">shows the direct contribution of the </w:t>
      </w:r>
      <w:r w:rsidR="00642BC3">
        <w:t>Maritime S</w:t>
      </w:r>
      <w:r w:rsidR="00343AFA">
        <w:t xml:space="preserve">ector in Scotland </w:t>
      </w:r>
      <w:r w:rsidR="00547D2A">
        <w:t>to the UK Exc</w:t>
      </w:r>
      <w:r w:rsidR="00642BC3">
        <w:t>hequer in the years 2010 to 2017</w:t>
      </w:r>
      <w:r w:rsidR="00547D2A">
        <w:t xml:space="preserve">, and </w:t>
      </w:r>
      <w:r w:rsidR="007E2537">
        <w:t xml:space="preserve">expressed as a share </w:t>
      </w:r>
      <w:r w:rsidR="00547D2A">
        <w:t xml:space="preserve">of </w:t>
      </w:r>
      <w:r w:rsidR="007E2537">
        <w:t xml:space="preserve">the </w:t>
      </w:r>
      <w:r w:rsidR="00547D2A">
        <w:t xml:space="preserve">total Exchequer contribution </w:t>
      </w:r>
      <w:r w:rsidR="007E2537">
        <w:t xml:space="preserve">from </w:t>
      </w:r>
      <w:r w:rsidR="00547D2A">
        <w:t>the UK</w:t>
      </w:r>
      <w:r w:rsidR="00F915F0">
        <w:t>-wide</w:t>
      </w:r>
      <w:r w:rsidR="00547D2A">
        <w:t xml:space="preserve"> Maritime </w:t>
      </w:r>
      <w:r w:rsidR="00642BC3">
        <w:t>S</w:t>
      </w:r>
      <w:r w:rsidR="007E2537">
        <w:t>ector</w:t>
      </w:r>
      <w:r w:rsidR="00547D2A">
        <w:t>.</w:t>
      </w:r>
      <w:r w:rsidR="00D7273B">
        <w:t xml:space="preserve"> </w:t>
      </w:r>
    </w:p>
    <w:p w14:paraId="381C3153" w14:textId="4AF23079" w:rsidR="004C61AB" w:rsidRDefault="000D4724" w:rsidP="000D4724">
      <w:pPr>
        <w:pStyle w:val="Caption"/>
      </w:pPr>
      <w:bookmarkStart w:id="83" w:name="_Ref16685417"/>
      <w:r>
        <w:t xml:space="preserve">Figure </w:t>
      </w:r>
      <w:r w:rsidR="00BF1DE1">
        <w:rPr>
          <w:noProof/>
        </w:rPr>
        <w:fldChar w:fldCharType="begin"/>
      </w:r>
      <w:r w:rsidR="00BF1DE1">
        <w:rPr>
          <w:noProof/>
        </w:rPr>
        <w:instrText xml:space="preserve"> SEQ Figure \* ARABIC </w:instrText>
      </w:r>
      <w:r w:rsidR="00BF1DE1">
        <w:rPr>
          <w:noProof/>
        </w:rPr>
        <w:fldChar w:fldCharType="separate"/>
      </w:r>
      <w:r w:rsidR="006875D2">
        <w:rPr>
          <w:noProof/>
        </w:rPr>
        <w:t>7</w:t>
      </w:r>
      <w:r w:rsidR="00BF1DE1">
        <w:rPr>
          <w:noProof/>
        </w:rPr>
        <w:fldChar w:fldCharType="end"/>
      </w:r>
      <w:bookmarkEnd w:id="83"/>
      <w:r w:rsidR="004C61AB">
        <w:t xml:space="preserve">: </w:t>
      </w:r>
      <w:r w:rsidR="004C61AB" w:rsidRPr="00AC7568">
        <w:t xml:space="preserve">The direct </w:t>
      </w:r>
      <w:r w:rsidR="00672551">
        <w:t xml:space="preserve">UK Exchequer </w:t>
      </w:r>
      <w:r w:rsidR="004C61AB" w:rsidRPr="00AC7568">
        <w:t xml:space="preserve">contribution of </w:t>
      </w:r>
      <w:r w:rsidR="00672551">
        <w:t>the Maritime industries</w:t>
      </w:r>
      <w:r w:rsidR="00255FFF">
        <w:t xml:space="preserve"> in Scotland</w:t>
      </w:r>
      <w:r w:rsidR="00642BC3">
        <w:t>, 2010 to 2017, £ million</w:t>
      </w:r>
    </w:p>
    <w:p w14:paraId="0CEC23FF" w14:textId="43247E83" w:rsidR="00B86153" w:rsidRPr="00DD72F4" w:rsidRDefault="00642BC3" w:rsidP="00DD72F4">
      <w:pPr>
        <w:jc w:val="right"/>
      </w:pPr>
      <w:r>
        <w:rPr>
          <w:noProof/>
          <w:lang w:eastAsia="en-GB"/>
        </w:rPr>
        <w:drawing>
          <wp:inline distT="0" distB="0" distL="0" distR="0" wp14:anchorId="6A16325E" wp14:editId="2874C3C4">
            <wp:extent cx="612013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86153" w:rsidRPr="006875D2">
        <w:rPr>
          <w:rStyle w:val="SubtleEmphasis"/>
          <w:color w:val="000000" w:themeColor="text1"/>
          <w:sz w:val="18"/>
        </w:rPr>
        <w:t>Source: ONS, FAME, Cebr analysis</w:t>
      </w:r>
    </w:p>
    <w:p w14:paraId="2984B570" w14:textId="3148D5A3" w:rsidR="004025DC" w:rsidRDefault="004025DC" w:rsidP="001D7011">
      <w:pPr>
        <w:spacing w:after="120"/>
      </w:pPr>
      <w:r>
        <w:lastRenderedPageBreak/>
        <w:t>The total Exchequer contribution is estimated to have been just under be £</w:t>
      </w:r>
      <w:r w:rsidR="00642BC3">
        <w:t>890 million in 2017</w:t>
      </w:r>
      <w:r>
        <w:t>; this direct contribution is estimated to have peaked in 2014 at £1.</w:t>
      </w:r>
      <w:r w:rsidR="00B649C7">
        <w:t>2</w:t>
      </w:r>
      <w:r>
        <w:t xml:space="preserve"> billion. On average, this equates to </w:t>
      </w:r>
      <w:r w:rsidR="00642BC3">
        <w:t>20</w:t>
      </w:r>
      <w:r>
        <w:t>% of revenues rais</w:t>
      </w:r>
      <w:r w:rsidR="006875D2">
        <w:t>ed from the entire UK Maritime S</w:t>
      </w:r>
      <w:r>
        <w:t>ector. This relatively large Exchequer contribution is largely driven by the substantial revenues raised from the Marine Offshore Oil and Gas industry; this is mainly due to the high concentration of this activity’s employment being based in Scotland, and the high proportion of Income Tax and NICs revenues yielded as a result.</w:t>
      </w:r>
    </w:p>
    <w:p w14:paraId="21EF7DC2" w14:textId="5F718164" w:rsidR="000C451B" w:rsidRDefault="000D4724" w:rsidP="001D7011">
      <w:pPr>
        <w:spacing w:after="120"/>
      </w:pPr>
      <w:r>
        <w:fldChar w:fldCharType="begin"/>
      </w:r>
      <w:r>
        <w:instrText xml:space="preserve"> REF _Ref16685431 \h </w:instrText>
      </w:r>
      <w:r>
        <w:fldChar w:fldCharType="separate"/>
      </w:r>
      <w:r w:rsidR="00316965">
        <w:t xml:space="preserve">Figure </w:t>
      </w:r>
      <w:r w:rsidR="00316965">
        <w:rPr>
          <w:noProof/>
        </w:rPr>
        <w:t>8</w:t>
      </w:r>
      <w:r>
        <w:fldChar w:fldCharType="end"/>
      </w:r>
      <w:r>
        <w:t xml:space="preserve"> </w:t>
      </w:r>
      <w:r w:rsidR="009147D0">
        <w:t>below</w:t>
      </w:r>
      <w:r w:rsidR="000F5C85" w:rsidRPr="00AC12E9">
        <w:t xml:space="preserve"> disaggregates the direct contribution by tax he</w:t>
      </w:r>
      <w:r w:rsidR="00642BC3">
        <w:t>ad across the years 2010 to 2017</w:t>
      </w:r>
      <w:r w:rsidR="000F5C85" w:rsidRPr="00AC12E9">
        <w:t>.</w:t>
      </w:r>
      <w:r w:rsidR="000C451B" w:rsidRPr="000C451B">
        <w:t xml:space="preserve"> </w:t>
      </w:r>
      <w:r w:rsidR="00B241A1">
        <w:t>For all years considered</w:t>
      </w:r>
      <w:r w:rsidR="000C451B">
        <w:t>,</w:t>
      </w:r>
      <w:r w:rsidR="00B241A1">
        <w:t xml:space="preserve"> the</w:t>
      </w:r>
      <w:r w:rsidR="000C451B" w:rsidRPr="00AC12E9">
        <w:t xml:space="preserve"> </w:t>
      </w:r>
      <w:r w:rsidR="000C451B">
        <w:t xml:space="preserve">majority of this direct </w:t>
      </w:r>
      <w:r w:rsidR="000C451B" w:rsidRPr="00AC12E9">
        <w:t xml:space="preserve">Exchequer contribution </w:t>
      </w:r>
      <w:r w:rsidR="00B241A1">
        <w:t xml:space="preserve">has been </w:t>
      </w:r>
      <w:r w:rsidR="000C451B" w:rsidRPr="00AC12E9">
        <w:t>derived from the Personal Taxes: Income Taxes and NICs</w:t>
      </w:r>
      <w:r w:rsidR="00C67427">
        <w:t xml:space="preserve"> contributing £570 million to the Exchequer in 2017</w:t>
      </w:r>
      <w:r w:rsidR="000C451B" w:rsidRPr="00AC12E9">
        <w:t>.</w:t>
      </w:r>
      <w:r w:rsidR="000C451B">
        <w:t xml:space="preserve"> </w:t>
      </w:r>
    </w:p>
    <w:p w14:paraId="47A88F52" w14:textId="57129C53" w:rsidR="004C61AB" w:rsidRDefault="000D4724" w:rsidP="000D4724">
      <w:pPr>
        <w:pStyle w:val="Caption"/>
      </w:pPr>
      <w:bookmarkStart w:id="84" w:name="_Ref16685431"/>
      <w:r>
        <w:t xml:space="preserve">Figure </w:t>
      </w:r>
      <w:r w:rsidR="00BF1DE1">
        <w:rPr>
          <w:noProof/>
        </w:rPr>
        <w:fldChar w:fldCharType="begin"/>
      </w:r>
      <w:r w:rsidR="00BF1DE1">
        <w:rPr>
          <w:noProof/>
        </w:rPr>
        <w:instrText xml:space="preserve"> SEQ Figure \* ARABIC </w:instrText>
      </w:r>
      <w:r w:rsidR="00BF1DE1">
        <w:rPr>
          <w:noProof/>
        </w:rPr>
        <w:fldChar w:fldCharType="separate"/>
      </w:r>
      <w:r w:rsidR="00316965">
        <w:rPr>
          <w:noProof/>
        </w:rPr>
        <w:t>8</w:t>
      </w:r>
      <w:r w:rsidR="00BF1DE1">
        <w:rPr>
          <w:noProof/>
        </w:rPr>
        <w:fldChar w:fldCharType="end"/>
      </w:r>
      <w:bookmarkEnd w:id="84"/>
      <w:r w:rsidR="004C61AB">
        <w:t xml:space="preserve">: </w:t>
      </w:r>
      <w:r w:rsidR="004C61AB" w:rsidRPr="00FF52D1">
        <w:t xml:space="preserve">The direct contribution of the </w:t>
      </w:r>
      <w:r w:rsidR="00650683">
        <w:t>Maritime S</w:t>
      </w:r>
      <w:r w:rsidR="008F25B8">
        <w:t>ector in Scotland</w:t>
      </w:r>
      <w:r w:rsidR="0032343C" w:rsidRPr="00FF52D1">
        <w:t xml:space="preserve"> </w:t>
      </w:r>
      <w:r w:rsidR="004C61AB" w:rsidRPr="00FF52D1">
        <w:t>to the UK Exc</w:t>
      </w:r>
      <w:r w:rsidR="00B241A1">
        <w:t>hequer by tax head, 2010 to 2017, £ million</w:t>
      </w:r>
    </w:p>
    <w:p w14:paraId="644CACA1" w14:textId="103E0610" w:rsidR="006C66ED" w:rsidRDefault="00B241A1" w:rsidP="00B241A1">
      <w:r>
        <w:rPr>
          <w:noProof/>
          <w:lang w:eastAsia="en-GB"/>
        </w:rPr>
        <w:drawing>
          <wp:inline distT="0" distB="0" distL="0" distR="0" wp14:anchorId="39D5A7EE" wp14:editId="3AFBE540">
            <wp:extent cx="6120130" cy="3023870"/>
            <wp:effectExtent l="0" t="0" r="0" b="508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8A7BB3" w14:textId="77777777" w:rsidR="00B86153" w:rsidRPr="00B86153" w:rsidRDefault="00B86153" w:rsidP="007F025E">
      <w:pPr>
        <w:spacing w:before="60" w:after="120"/>
        <w:jc w:val="right"/>
        <w:rPr>
          <w:i/>
        </w:rPr>
      </w:pPr>
      <w:r w:rsidRPr="002B5AEB">
        <w:rPr>
          <w:i/>
          <w:sz w:val="18"/>
        </w:rPr>
        <w:t>Source: ONS, FAME, Cebr analysis</w:t>
      </w:r>
    </w:p>
    <w:p w14:paraId="63E1A67D" w14:textId="086522C1" w:rsidR="003A0B03" w:rsidRDefault="00990150" w:rsidP="001D7011">
      <w:pPr>
        <w:spacing w:after="120"/>
      </w:pPr>
      <w:r>
        <w:t xml:space="preserve">VAT, Corporation Tax and Business Rates are estimated to have </w:t>
      </w:r>
      <w:r w:rsidR="003C75AE">
        <w:t xml:space="preserve">jointly </w:t>
      </w:r>
      <w:r>
        <w:t xml:space="preserve">contributed around </w:t>
      </w:r>
      <w:r w:rsidR="00B241A1">
        <w:t>36%</w:t>
      </w:r>
      <w:r>
        <w:t xml:space="preserve"> of the tota</w:t>
      </w:r>
      <w:r w:rsidR="00B241A1">
        <w:t>l Exchequer contribution in 2017</w:t>
      </w:r>
      <w:r>
        <w:t>, a</w:t>
      </w:r>
      <w:r w:rsidR="00B241A1">
        <w:t xml:space="preserve"> decrease</w:t>
      </w:r>
      <w:r w:rsidR="003C75AE">
        <w:t xml:space="preserve"> from</w:t>
      </w:r>
      <w:r>
        <w:t xml:space="preserve"> </w:t>
      </w:r>
      <w:r w:rsidR="003C75AE">
        <w:t>4</w:t>
      </w:r>
      <w:r w:rsidR="00B241A1">
        <w:t>2</w:t>
      </w:r>
      <w:r>
        <w:t xml:space="preserve">% in 2010. </w:t>
      </w:r>
      <w:r w:rsidR="00B33CA7">
        <w:t>Within this</w:t>
      </w:r>
      <w:r w:rsidR="008A7CC1">
        <w:t xml:space="preserve"> </w:t>
      </w:r>
      <w:r w:rsidR="00B241A1">
        <w:t xml:space="preserve">corporation tax </w:t>
      </w:r>
      <w:r w:rsidR="00B17F47">
        <w:t>represented</w:t>
      </w:r>
      <w:r w:rsidR="00B33CA7">
        <w:t xml:space="preserve"> the large</w:t>
      </w:r>
      <w:r w:rsidR="008A7CC1">
        <w:t>st</w:t>
      </w:r>
      <w:r w:rsidR="00B33CA7">
        <w:t xml:space="preserve"> </w:t>
      </w:r>
      <w:r w:rsidR="00B17F47">
        <w:t xml:space="preserve">source </w:t>
      </w:r>
      <w:r w:rsidR="00B33CA7">
        <w:t xml:space="preserve">of tax revenues, </w:t>
      </w:r>
      <w:r w:rsidR="00D079F6">
        <w:t>contributing £</w:t>
      </w:r>
      <w:r w:rsidR="00C54C8A">
        <w:t>154</w:t>
      </w:r>
      <w:r w:rsidR="003C75AE">
        <w:t xml:space="preserve"> </w:t>
      </w:r>
      <w:r w:rsidR="00C54C8A">
        <w:t>million in 2017</w:t>
      </w:r>
      <w:r w:rsidR="002F58AD">
        <w:t>.</w:t>
      </w:r>
    </w:p>
    <w:p w14:paraId="5C7E57F6" w14:textId="4C3938EB" w:rsidR="002C334C" w:rsidRDefault="002C334C" w:rsidP="002C334C">
      <w:pPr>
        <w:pStyle w:val="Heading2"/>
      </w:pPr>
      <w:bookmarkStart w:id="85" w:name="_Toc16768009"/>
      <w:r>
        <w:t>The direct contribution</w:t>
      </w:r>
      <w:r w:rsidR="005226AC">
        <w:t xml:space="preserve"> </w:t>
      </w:r>
      <w:r w:rsidR="00A812F4">
        <w:t>through</w:t>
      </w:r>
      <w:r w:rsidR="005226AC">
        <w:t xml:space="preserve"> </w:t>
      </w:r>
      <w:r w:rsidR="00A812F4">
        <w:t>exports</w:t>
      </w:r>
      <w:bookmarkEnd w:id="85"/>
    </w:p>
    <w:p w14:paraId="0577C821" w14:textId="31D47BA9" w:rsidR="003A0B03" w:rsidRDefault="005558E6" w:rsidP="001D7011">
      <w:pPr>
        <w:spacing w:after="120"/>
      </w:pPr>
      <w:r>
        <w:t xml:space="preserve">Finally, the </w:t>
      </w:r>
      <w:r w:rsidR="00C54C8A">
        <w:t>Maritime S</w:t>
      </w:r>
      <w:r w:rsidR="004E670B">
        <w:t>ector in Scotland is</w:t>
      </w:r>
      <w:r>
        <w:t xml:space="preserve"> also estimated to make a substantive contribution to UK economic activity through the exports of goods and services. </w:t>
      </w:r>
      <w:r w:rsidR="000D4724">
        <w:fldChar w:fldCharType="begin"/>
      </w:r>
      <w:r w:rsidR="000D4724">
        <w:instrText xml:space="preserve"> REF _Ref16685496 \h </w:instrText>
      </w:r>
      <w:r w:rsidR="000D4724">
        <w:fldChar w:fldCharType="separate"/>
      </w:r>
      <w:r w:rsidR="00316965">
        <w:t xml:space="preserve">Figure </w:t>
      </w:r>
      <w:r w:rsidR="00316965">
        <w:rPr>
          <w:noProof/>
        </w:rPr>
        <w:t>9</w:t>
      </w:r>
      <w:r w:rsidR="000D4724">
        <w:fldChar w:fldCharType="end"/>
      </w:r>
      <w:r w:rsidR="000D4724">
        <w:t xml:space="preserve"> </w:t>
      </w:r>
      <w:r w:rsidR="001A649D">
        <w:t xml:space="preserve">below shows the total estimated value </w:t>
      </w:r>
      <w:r w:rsidR="00C54C8A">
        <w:t>of exports between 2010 and 2017</w:t>
      </w:r>
      <w:r w:rsidR="001A649D">
        <w:t>; a total value of £1.</w:t>
      </w:r>
      <w:r w:rsidR="00C67427">
        <w:t>8</w:t>
      </w:r>
      <w:r w:rsidR="00B106B5">
        <w:t xml:space="preserve"> </w:t>
      </w:r>
      <w:r w:rsidR="001A649D">
        <w:t>billion of goods an</w:t>
      </w:r>
      <w:r w:rsidR="00414CBF">
        <w:t>d services were exported in 2017</w:t>
      </w:r>
      <w:r w:rsidR="001A649D">
        <w:t xml:space="preserve">, equating to </w:t>
      </w:r>
      <w:r w:rsidR="00C67427">
        <w:t>14.6</w:t>
      </w:r>
      <w:r w:rsidR="001A649D">
        <w:t xml:space="preserve">% of the UK </w:t>
      </w:r>
      <w:r w:rsidR="00B106B5">
        <w:t xml:space="preserve">Maritime </w:t>
      </w:r>
      <w:r w:rsidR="001A649D">
        <w:t xml:space="preserve">sector total. </w:t>
      </w:r>
      <w:r w:rsidR="00C67427">
        <w:t xml:space="preserve">The marine engineering and scientific industry (marine offshore oil and gas and other marine engineering) represented the highest share of exports, at a value of £840 million followed by the shipping industry at £680 million. </w:t>
      </w:r>
    </w:p>
    <w:p w14:paraId="4C5A55C2" w14:textId="77777777" w:rsidR="000D4724" w:rsidRDefault="000D4724" w:rsidP="001D7011">
      <w:pPr>
        <w:spacing w:after="120"/>
      </w:pPr>
    </w:p>
    <w:p w14:paraId="4098DF86" w14:textId="77777777" w:rsidR="000D4724" w:rsidRDefault="000D4724" w:rsidP="001D7011">
      <w:pPr>
        <w:spacing w:after="120"/>
      </w:pPr>
    </w:p>
    <w:p w14:paraId="43C3EEAC" w14:textId="77777777" w:rsidR="000D4724" w:rsidRDefault="000D4724" w:rsidP="001D7011">
      <w:pPr>
        <w:spacing w:after="120"/>
      </w:pPr>
    </w:p>
    <w:p w14:paraId="4EA811E7" w14:textId="77777777" w:rsidR="000D4724" w:rsidRDefault="000D4724" w:rsidP="001D7011">
      <w:pPr>
        <w:spacing w:after="120"/>
      </w:pPr>
    </w:p>
    <w:p w14:paraId="20C3A775" w14:textId="77777777" w:rsidR="000D4724" w:rsidRDefault="000D4724" w:rsidP="001D7011">
      <w:pPr>
        <w:spacing w:after="120"/>
      </w:pPr>
    </w:p>
    <w:p w14:paraId="0CFBF37F" w14:textId="77777777" w:rsidR="000D4724" w:rsidRDefault="000D4724" w:rsidP="001D7011">
      <w:pPr>
        <w:spacing w:after="120"/>
      </w:pPr>
    </w:p>
    <w:p w14:paraId="0C084D2A" w14:textId="77777777" w:rsidR="00C67427" w:rsidRDefault="00C67427" w:rsidP="000D4724">
      <w:pPr>
        <w:pStyle w:val="Caption"/>
        <w:rPr>
          <w:i w:val="0"/>
          <w:iCs w:val="0"/>
          <w:color w:val="auto"/>
          <w:sz w:val="22"/>
          <w:szCs w:val="20"/>
        </w:rPr>
      </w:pPr>
      <w:bookmarkStart w:id="86" w:name="_Ref16685496"/>
    </w:p>
    <w:p w14:paraId="664BE395" w14:textId="57734065" w:rsidR="00EF65BE" w:rsidRDefault="000D4724" w:rsidP="000D4724">
      <w:pPr>
        <w:pStyle w:val="Caption"/>
      </w:pPr>
      <w:r>
        <w:t xml:space="preserve">Figure </w:t>
      </w:r>
      <w:r w:rsidR="00BF1DE1">
        <w:rPr>
          <w:noProof/>
        </w:rPr>
        <w:fldChar w:fldCharType="begin"/>
      </w:r>
      <w:r w:rsidR="00BF1DE1">
        <w:rPr>
          <w:noProof/>
        </w:rPr>
        <w:instrText xml:space="preserve"> SEQ Figure \* ARABIC </w:instrText>
      </w:r>
      <w:r w:rsidR="00BF1DE1">
        <w:rPr>
          <w:noProof/>
        </w:rPr>
        <w:fldChar w:fldCharType="separate"/>
      </w:r>
      <w:r w:rsidR="00316965">
        <w:rPr>
          <w:noProof/>
        </w:rPr>
        <w:t>9</w:t>
      </w:r>
      <w:r w:rsidR="00BF1DE1">
        <w:rPr>
          <w:noProof/>
        </w:rPr>
        <w:fldChar w:fldCharType="end"/>
      </w:r>
      <w:bookmarkEnd w:id="86"/>
      <w:r w:rsidR="002957A6">
        <w:t xml:space="preserve">: </w:t>
      </w:r>
      <w:r w:rsidR="002957A6" w:rsidRPr="00FF52D1">
        <w:t xml:space="preserve">The direct contribution of the Maritime </w:t>
      </w:r>
      <w:r w:rsidR="00650683">
        <w:t>S</w:t>
      </w:r>
      <w:r w:rsidR="002957A6">
        <w:t xml:space="preserve">ector </w:t>
      </w:r>
      <w:r w:rsidR="00302057">
        <w:t xml:space="preserve">in Scotland </w:t>
      </w:r>
      <w:r w:rsidR="002957A6">
        <w:t>through exports of goods</w:t>
      </w:r>
      <w:r>
        <w:t xml:space="preserve"> and services</w:t>
      </w:r>
    </w:p>
    <w:p w14:paraId="3DAB58D0" w14:textId="3DCE0D6D" w:rsidR="00C67427" w:rsidRPr="00C67427" w:rsidRDefault="00C67427" w:rsidP="006875D2">
      <w:pPr>
        <w:tabs>
          <w:tab w:val="left" w:pos="7655"/>
        </w:tabs>
      </w:pPr>
      <w:r>
        <w:rPr>
          <w:noProof/>
          <w:lang w:eastAsia="en-GB"/>
        </w:rPr>
        <w:drawing>
          <wp:inline distT="0" distB="0" distL="0" distR="0" wp14:anchorId="24E5D170" wp14:editId="18B4051C">
            <wp:extent cx="6120130" cy="3023870"/>
            <wp:effectExtent l="0" t="0" r="0"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D25C3E" w14:textId="3B817A51" w:rsidR="001A649D" w:rsidRPr="00B86153" w:rsidRDefault="001A649D" w:rsidP="001D7011">
      <w:pPr>
        <w:spacing w:before="60" w:after="0"/>
        <w:jc w:val="right"/>
        <w:rPr>
          <w:i/>
        </w:rPr>
      </w:pPr>
      <w:r w:rsidRPr="002B5AEB">
        <w:rPr>
          <w:i/>
          <w:sz w:val="18"/>
        </w:rPr>
        <w:t>Source: ONS, FAME, Cebr analysis</w:t>
      </w:r>
    </w:p>
    <w:p w14:paraId="5A533F20" w14:textId="31FC7590" w:rsidR="00291A61" w:rsidRDefault="00291A61" w:rsidP="00291A61">
      <w:pPr>
        <w:pStyle w:val="Heading1"/>
      </w:pPr>
      <w:bookmarkStart w:id="87" w:name="_Toc485302015"/>
      <w:r w:rsidRPr="00291A61">
        <w:lastRenderedPageBreak/>
        <w:t xml:space="preserve"> </w:t>
      </w:r>
      <w:bookmarkStart w:id="88" w:name="_Toc16768010"/>
      <w:r w:rsidR="00ED6C32">
        <w:t xml:space="preserve">The </w:t>
      </w:r>
      <w:r w:rsidR="00CC6B0B">
        <w:t>aggregate economic</w:t>
      </w:r>
      <w:r w:rsidR="00D21B2F">
        <w:t xml:space="preserve"> </w:t>
      </w:r>
      <w:r w:rsidR="00ED6C32">
        <w:t>impact</w:t>
      </w:r>
      <w:r>
        <w:t xml:space="preserve"> of the </w:t>
      </w:r>
      <w:bookmarkEnd w:id="87"/>
      <w:r>
        <w:t xml:space="preserve">Maritime </w:t>
      </w:r>
      <w:r w:rsidR="008C08EA">
        <w:t>S</w:t>
      </w:r>
      <w:r w:rsidR="008C0685">
        <w:t>ector</w:t>
      </w:r>
      <w:r w:rsidR="00DA5ACB">
        <w:t xml:space="preserve"> </w:t>
      </w:r>
      <w:r w:rsidR="00D21B2F">
        <w:t>in Scotland</w:t>
      </w:r>
      <w:bookmarkEnd w:id="88"/>
    </w:p>
    <w:p w14:paraId="03CBE6B9" w14:textId="33508088" w:rsidR="00363AF8" w:rsidRDefault="00291A61" w:rsidP="008810FC">
      <w:r>
        <w:t xml:space="preserve">This </w:t>
      </w:r>
      <w:r w:rsidR="00F41A06">
        <w:t xml:space="preserve">final </w:t>
      </w:r>
      <w:r w:rsidR="00E4546A">
        <w:t xml:space="preserve">section </w:t>
      </w:r>
      <w:r>
        <w:t xml:space="preserve">sets out the </w:t>
      </w:r>
      <w:r w:rsidR="00CC6B0B">
        <w:t>aggregate economic</w:t>
      </w:r>
      <w:r>
        <w:t xml:space="preserve"> impacts of the Maritime </w:t>
      </w:r>
      <w:r w:rsidR="008C08EA">
        <w:t>S</w:t>
      </w:r>
      <w:r w:rsidR="00814D6E">
        <w:t xml:space="preserve">ector </w:t>
      </w:r>
      <w:r w:rsidR="00D23F23">
        <w:t>in Scotland</w:t>
      </w:r>
      <w:r>
        <w:t xml:space="preserve">, taking into account the indirect (or supply chain) and induced (employee spending) impacts that arise from the activities of firms </w:t>
      </w:r>
      <w:r w:rsidR="00FB0F9F">
        <w:t xml:space="preserve">operating </w:t>
      </w:r>
      <w:r>
        <w:t xml:space="preserve">within the </w:t>
      </w:r>
      <w:r w:rsidR="00FB0F9F">
        <w:t>sector</w:t>
      </w:r>
      <w:r>
        <w:t>.</w:t>
      </w:r>
      <w:r w:rsidR="00E4546A">
        <w:t xml:space="preserve"> </w:t>
      </w:r>
    </w:p>
    <w:p w14:paraId="28F96127" w14:textId="20B3CE83" w:rsidR="008810FC" w:rsidRDefault="008810FC" w:rsidP="008810FC">
      <w:r>
        <w:t xml:space="preserve">The macroeconomic indicators for which the </w:t>
      </w:r>
      <w:r w:rsidR="00CC6B0B">
        <w:t>aggregate economic</w:t>
      </w:r>
      <w:r>
        <w:t xml:space="preserve"> impact have been calculated are: </w:t>
      </w:r>
      <w:r w:rsidR="00AD0985">
        <w:t>turnover</w:t>
      </w:r>
      <w:r>
        <w:t xml:space="preserve"> (</w:t>
      </w:r>
      <w:r w:rsidR="000517FC">
        <w:t xml:space="preserve">through business </w:t>
      </w:r>
      <w:r>
        <w:t>turnover); GVA; employment; and the compensation of em</w:t>
      </w:r>
      <w:r w:rsidR="006254C1">
        <w:t>ployees. Multipliers have been produced</w:t>
      </w:r>
      <w:r>
        <w:t xml:space="preserve"> from Cebr’s </w:t>
      </w:r>
      <w:r w:rsidR="00E4546A">
        <w:t>regional economic impact model</w:t>
      </w:r>
      <w:r>
        <w:t>.</w:t>
      </w:r>
    </w:p>
    <w:p w14:paraId="7E32F0FC" w14:textId="5E90AB2E" w:rsidR="00A61216" w:rsidRDefault="006521C5" w:rsidP="006521C5">
      <w:pPr>
        <w:pStyle w:val="Heading2"/>
      </w:pPr>
      <w:bookmarkStart w:id="89" w:name="_Toc16768011"/>
      <w:r>
        <w:t xml:space="preserve">The </w:t>
      </w:r>
      <w:r w:rsidR="00CC6B0B">
        <w:t>aggregate economic</w:t>
      </w:r>
      <w:r>
        <w:t xml:space="preserve"> impacts through </w:t>
      </w:r>
      <w:r w:rsidR="00AD0985">
        <w:t>turnover</w:t>
      </w:r>
      <w:bookmarkEnd w:id="89"/>
    </w:p>
    <w:p w14:paraId="732181D3" w14:textId="5BC77D19" w:rsidR="004A5E00" w:rsidRDefault="000D4724" w:rsidP="00037501">
      <w:pPr>
        <w:spacing w:after="120"/>
      </w:pPr>
      <w:r>
        <w:fldChar w:fldCharType="begin"/>
      </w:r>
      <w:r>
        <w:instrText xml:space="preserve"> REF _Ref16685512 \h </w:instrText>
      </w:r>
      <w:r>
        <w:fldChar w:fldCharType="separate"/>
      </w:r>
      <w:r w:rsidR="00316965">
        <w:t xml:space="preserve">Figure </w:t>
      </w:r>
      <w:r w:rsidR="00316965">
        <w:rPr>
          <w:noProof/>
        </w:rPr>
        <w:t>10</w:t>
      </w:r>
      <w:r>
        <w:fldChar w:fldCharType="end"/>
      </w:r>
      <w:r>
        <w:t xml:space="preserve"> </w:t>
      </w:r>
      <w:r w:rsidR="00A61216">
        <w:t xml:space="preserve">below illustrates the </w:t>
      </w:r>
      <w:r w:rsidR="00AD0985">
        <w:t>turnover</w:t>
      </w:r>
      <w:r w:rsidR="00A61216">
        <w:t xml:space="preserve"> multipliers for the </w:t>
      </w:r>
      <w:r w:rsidR="000E6732">
        <w:t>Maritime S</w:t>
      </w:r>
      <w:r w:rsidR="004A5E00">
        <w:t>ector in Scotland</w:t>
      </w:r>
      <w:r w:rsidR="00EA666B">
        <w:t xml:space="preserve">. </w:t>
      </w:r>
      <w:r w:rsidR="000E6732">
        <w:t xml:space="preserve">The Scottish Maritime Sector directly contributed £9.9 billion in turnover in 2017, where £5.8 billion worth of turnover is stimulated in supply chains and £3.8 billion </w:t>
      </w:r>
      <w:r w:rsidR="00656B5A">
        <w:t xml:space="preserve">worth of turnover in the wider economy when direct and indirect employees spend their earnings. Once the direct, indirect and induced economic channels are taken into consideration the Scottish Maritime industry contributed £19.5 billion to the UK economy. </w:t>
      </w:r>
    </w:p>
    <w:p w14:paraId="03F6E7D4" w14:textId="606CE4DA" w:rsidR="006521C5" w:rsidRPr="00037501" w:rsidRDefault="00656B5A" w:rsidP="00037501">
      <w:pPr>
        <w:spacing w:after="120"/>
        <w:rPr>
          <w:b/>
        </w:rPr>
      </w:pPr>
      <w:r>
        <w:rPr>
          <w:b/>
        </w:rPr>
        <w:t>Alternatively, this can be interpreted as</w:t>
      </w:r>
      <w:r w:rsidR="008810FC" w:rsidRPr="00C65850">
        <w:rPr>
          <w:b/>
        </w:rPr>
        <w:t xml:space="preserve"> for every £1 of </w:t>
      </w:r>
      <w:r w:rsidR="00AD0985">
        <w:rPr>
          <w:b/>
        </w:rPr>
        <w:t>turnover</w:t>
      </w:r>
      <w:r w:rsidR="008810FC" w:rsidRPr="00C65850">
        <w:rPr>
          <w:b/>
        </w:rPr>
        <w:t xml:space="preserve"> initially </w:t>
      </w:r>
      <w:r w:rsidR="008810FC">
        <w:rPr>
          <w:b/>
        </w:rPr>
        <w:t>generated</w:t>
      </w:r>
      <w:r w:rsidR="008810FC" w:rsidRPr="00C65850">
        <w:rPr>
          <w:b/>
        </w:rPr>
        <w:t xml:space="preserve"> by the </w:t>
      </w:r>
      <w:r w:rsidR="00861E90">
        <w:rPr>
          <w:b/>
        </w:rPr>
        <w:t>Mar</w:t>
      </w:r>
      <w:r>
        <w:rPr>
          <w:b/>
        </w:rPr>
        <w:t>itime S</w:t>
      </w:r>
      <w:r w:rsidR="00861E90">
        <w:rPr>
          <w:b/>
        </w:rPr>
        <w:t>ector in Scotland</w:t>
      </w:r>
      <w:r w:rsidR="00535856">
        <w:rPr>
          <w:b/>
        </w:rPr>
        <w:t>,</w:t>
      </w:r>
      <w:r w:rsidR="008810FC" w:rsidRPr="00C65850">
        <w:rPr>
          <w:b/>
        </w:rPr>
        <w:t xml:space="preserve"> the </w:t>
      </w:r>
      <w:r w:rsidR="00F17337">
        <w:rPr>
          <w:b/>
        </w:rPr>
        <w:t>Scottish and UK economies</w:t>
      </w:r>
      <w:r w:rsidR="008810FC" w:rsidRPr="00C65850">
        <w:rPr>
          <w:b/>
        </w:rPr>
        <w:t xml:space="preserve"> as a whole </w:t>
      </w:r>
      <w:r w:rsidR="00F17337">
        <w:rPr>
          <w:b/>
        </w:rPr>
        <w:t xml:space="preserve">experience </w:t>
      </w:r>
      <w:r w:rsidR="008810FC" w:rsidRPr="00C65850">
        <w:rPr>
          <w:b/>
        </w:rPr>
        <w:t xml:space="preserve">an increase in </w:t>
      </w:r>
      <w:r w:rsidR="00AD0985">
        <w:rPr>
          <w:b/>
        </w:rPr>
        <w:t>turnover</w:t>
      </w:r>
      <w:r w:rsidR="008810FC" w:rsidRPr="00C65850">
        <w:rPr>
          <w:b/>
        </w:rPr>
        <w:t xml:space="preserve"> </w:t>
      </w:r>
      <w:r w:rsidR="00861E90">
        <w:rPr>
          <w:b/>
        </w:rPr>
        <w:t>of £</w:t>
      </w:r>
      <w:r w:rsidR="0072480F">
        <w:rPr>
          <w:b/>
        </w:rPr>
        <w:t>1.98</w:t>
      </w:r>
      <w:r w:rsidR="008810FC" w:rsidRPr="00C65850">
        <w:rPr>
          <w:b/>
        </w:rPr>
        <w:t>.</w:t>
      </w:r>
      <w:r w:rsidR="008810FC" w:rsidRPr="00C65850">
        <w:t xml:space="preserve"> </w:t>
      </w:r>
    </w:p>
    <w:p w14:paraId="0AD666FF" w14:textId="34124BE0" w:rsidR="00741854" w:rsidRDefault="000D4724" w:rsidP="000D4724">
      <w:pPr>
        <w:pStyle w:val="Caption"/>
      </w:pPr>
      <w:bookmarkStart w:id="90" w:name="_Ref16685512"/>
      <w:r>
        <w:t xml:space="preserve">Figure </w:t>
      </w:r>
      <w:r w:rsidR="00BF1DE1">
        <w:rPr>
          <w:noProof/>
        </w:rPr>
        <w:fldChar w:fldCharType="begin"/>
      </w:r>
      <w:r w:rsidR="00BF1DE1">
        <w:rPr>
          <w:noProof/>
        </w:rPr>
        <w:instrText xml:space="preserve"> SEQ Figure \* ARABIC </w:instrText>
      </w:r>
      <w:r w:rsidR="00BF1DE1">
        <w:rPr>
          <w:noProof/>
        </w:rPr>
        <w:fldChar w:fldCharType="separate"/>
      </w:r>
      <w:r w:rsidR="00316965">
        <w:rPr>
          <w:noProof/>
        </w:rPr>
        <w:t>10</w:t>
      </w:r>
      <w:r w:rsidR="00BF1DE1">
        <w:rPr>
          <w:noProof/>
        </w:rPr>
        <w:fldChar w:fldCharType="end"/>
      </w:r>
      <w:bookmarkEnd w:id="90"/>
      <w:r w:rsidR="00741854">
        <w:t xml:space="preserve">: </w:t>
      </w:r>
      <w:r w:rsidR="00AD0985">
        <w:t>Turnover</w:t>
      </w:r>
      <w:r w:rsidR="00741854">
        <w:t xml:space="preserve"> multiplier impacts of the M</w:t>
      </w:r>
      <w:r w:rsidR="00650683">
        <w:t>aritime S</w:t>
      </w:r>
      <w:r w:rsidR="000E6732">
        <w:t>ector in Scotland, 2017</w:t>
      </w:r>
    </w:p>
    <w:p w14:paraId="306CAB39" w14:textId="24A6823F" w:rsidR="00A61216" w:rsidRDefault="000E6732" w:rsidP="00037501">
      <w:pPr>
        <w:spacing w:after="0"/>
      </w:pPr>
      <w:r w:rsidRPr="000E6732">
        <w:rPr>
          <w:noProof/>
          <w:lang w:eastAsia="en-GB"/>
        </w:rPr>
        <mc:AlternateContent>
          <mc:Choice Requires="wpg">
            <w:drawing>
              <wp:anchor distT="0" distB="0" distL="114300" distR="114300" simplePos="0" relativeHeight="251659264" behindDoc="0" locked="0" layoutInCell="1" allowOverlap="1" wp14:anchorId="3F72D424" wp14:editId="1DD7E888">
                <wp:simplePos x="0" y="0"/>
                <wp:positionH relativeFrom="column">
                  <wp:posOffset>51435</wp:posOffset>
                </wp:positionH>
                <wp:positionV relativeFrom="paragraph">
                  <wp:posOffset>83185</wp:posOffset>
                </wp:positionV>
                <wp:extent cx="5760000" cy="2142000"/>
                <wp:effectExtent l="0" t="0" r="0" b="0"/>
                <wp:wrapNone/>
                <wp:docPr id="23" name="Group 3"/>
                <wp:cNvGraphicFramePr/>
                <a:graphic xmlns:a="http://schemas.openxmlformats.org/drawingml/2006/main">
                  <a:graphicData uri="http://schemas.microsoft.com/office/word/2010/wordprocessingGroup">
                    <wpg:wgp>
                      <wpg:cNvGrpSpPr/>
                      <wpg:grpSpPr>
                        <a:xfrm>
                          <a:off x="0" y="0"/>
                          <a:ext cx="5760000" cy="2142000"/>
                          <a:chOff x="0" y="0"/>
                          <a:chExt cx="6508545" cy="1930619"/>
                        </a:xfrm>
                      </wpg:grpSpPr>
                      <wps:wsp>
                        <wps:cNvPr id="25" name="Down Arrow 25"/>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2495" y="1584319"/>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C4E38" w14:textId="77777777" w:rsidR="00BC67A0" w:rsidRDefault="00BC67A0" w:rsidP="000E6732">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£19.5bn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9934B" w14:textId="77777777" w:rsidR="00BC67A0" w:rsidRDefault="00BC67A0" w:rsidP="000E6732">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4F7163E3" w14:textId="77777777" w:rsidR="00BC67A0" w:rsidRDefault="00BC67A0" w:rsidP="000E6732">
                              <w:pPr>
                                <w:pStyle w:val="NormalWeb"/>
                                <w:spacing w:before="0" w:beforeAutospacing="0" w:after="0" w:afterAutospacing="0"/>
                                <w:jc w:val="center"/>
                              </w:pPr>
                            </w:p>
                            <w:p w14:paraId="20B49D68" w14:textId="77777777" w:rsidR="00BC67A0" w:rsidRDefault="00BC67A0" w:rsidP="000E6732">
                              <w:pPr>
                                <w:pStyle w:val="NormalWeb"/>
                                <w:spacing w:before="0" w:beforeAutospacing="0" w:after="0" w:afterAutospacing="0"/>
                                <w:jc w:val="center"/>
                              </w:pPr>
                              <w:r>
                                <w:rPr>
                                  <w:rFonts w:asciiTheme="minorHAnsi" w:hAnsi="Calibri" w:cstheme="minorBidi"/>
                                  <w:color w:val="FFFFFF" w:themeColor="background1"/>
                                  <w:kern w:val="24"/>
                                  <w:sz w:val="48"/>
                                  <w:szCs w:val="48"/>
                                </w:rPr>
                                <w:t>£9.9bn</w:t>
                              </w:r>
                            </w:p>
                          </w:txbxContent>
                        </wps:txbx>
                        <wps:bodyPr rtlCol="0" anchor="t" anchorCtr="0"/>
                      </wps:wsp>
                      <wps:wsp>
                        <wps:cNvPr id="29" name="Rounded Rectangle 29"/>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04B072" w14:textId="77777777" w:rsidR="00BC67A0" w:rsidRDefault="00BC67A0" w:rsidP="000E6732">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£5.8bn</w:t>
                              </w:r>
                            </w:p>
                          </w:txbxContent>
                        </wps:txbx>
                        <wps:bodyPr rtlCol="0" anchor="t" anchorCtr="0"/>
                      </wps:wsp>
                      <wps:wsp>
                        <wps:cNvPr id="31" name="Rounded Rectangle 31"/>
                        <wps:cNvSpPr/>
                        <wps:spPr>
                          <a:xfrm>
                            <a:off x="4648616" y="462538"/>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C9C0E7" w14:textId="77777777" w:rsidR="00BC67A0" w:rsidRDefault="00BC67A0" w:rsidP="000E6732">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£3.8bn</w:t>
                              </w:r>
                            </w:p>
                          </w:txbxContent>
                        </wps:txbx>
                        <wps:bodyPr rtlCol="0" anchor="t" anchorCtr="0"/>
                      </wps:wsp>
                      <wps:wsp>
                        <wps:cNvPr id="32" name="Rectangle 32"/>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34F8F6" w14:textId="77777777" w:rsidR="00BC67A0" w:rsidRDefault="00BC67A0" w:rsidP="000E6732">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Turnover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72D424" id="Group 3" o:spid="_x0000_s1026" style="position:absolute;margin-left:4.05pt;margin-top:6.55pt;width:453.55pt;height:168.65pt;z-index:251659264"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7"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xQ8EA&#10;AADbAAAADwAAAGRycy9kb3ducmV2LnhtbESPQWvCQBSE70L/w/IKvemmQmpNXUUFodeql95es69J&#10;aN7bkN0mm3/fLQgeh5n5htnsIrdqoN43Tgw8LzJQJKWzjVQGrpfT/BWUDygWWydkYCIPu+3DbIOF&#10;daN80HAOlUoQ8QUaqEPoCq19WROjX7iOJHnfrmcMSfaVtj2OCc6tXmbZi2ZsJC3U2NGxpvLn/MsG&#10;ZM0c/dpR9+nzQ8PTVzzsV8Y8Pcb9G6hAMdzDt/a7NbDM4f9L+gF6+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AMUPBAAAA2wAAAA8AAAAAAAAAAAAAAAAAmAIAAGRycy9kb3du&#10;cmV2LnhtbFBLBQYAAAAABAAEAPUAAACGAwAAAAA=&#10;" adj="10800" fillcolor="#c4c4c6 [1302]" stroked="f" strokeweight="2pt"/>
                <v:shape id="Down Arrow 26" o:spid="_x0000_s1028"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vNMEA&#10;AADbAAAADwAAAGRycy9kb3ducmV2LnhtbESPQWvCQBSE7wX/w/IKvdVNhcYaXUULBa9VL729Zl+T&#10;YN7bkF2Tzb93C4Ueh5n5htnsIrdqoN43Tgy8zDNQJKWzjVQGLueP5zdQPqBYbJ2QgYk87Lazhw0W&#10;1o3yScMpVCpBxBdooA6hK7T2ZU2Mfu46kuT9uJ4xJNlX2vY4Jji3epFluWZsJC3U2NF7TeX1dGMD&#10;smKOfuWo+/Kvh4an73jYL415eoz7NahAMfyH/9pHa2CRw++X9AP0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SrzTBAAAA2wAAAA8AAAAAAAAAAAAAAAAAmAIAAGRycy9kb3du&#10;cmV2LnhtbFBLBQYAAAAABAAEAPUAAACGAwAAAAA=&#10;" adj="10800" fillcolor="#c4c4c6 [1302]" stroked="f" strokeweight="2pt"/>
                <v:rect id="Rectangle 27" o:spid="_x0000_s1029"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4WsAA&#10;AADbAAAADwAAAGRycy9kb3ducmV2LnhtbESPQYvCMBSE78L+h/AEb5oqqEs1SiksrEer3fOjebbF&#10;5KU0Ubv76zeC4HGYmW+Y7X6wRtyp961jBfNZAoK4crrlWsH59DX9BOEDskbjmBT8kof97mO0xVS7&#10;Bx/pXoRaRAj7FBU0IXSplL5qyKKfuY44ehfXWwxR9rXUPT4i3Bq5SJKVtNhyXGiwo7yh6lrcrIIl&#10;02EZij+Tl1l2uWFV5j/eKDUZD9kGRKAhvMOv9rdWsFjD80v8AX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c4WsAAAADbAAAADwAAAAAAAAAAAAAAAACYAgAAZHJzL2Rvd25y&#10;ZXYueG1sUEsFBgAAAAAEAAQA9QAAAIUDAAAAAA==&#10;" fillcolor="#6d6e71 [3206]" stroked="f" strokeweight="2pt">
                  <v:textbox>
                    <w:txbxContent>
                      <w:p w14:paraId="5DBC4E38" w14:textId="77777777" w:rsidR="00BC67A0" w:rsidRDefault="00BC67A0" w:rsidP="000E6732">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£19.5bn</w:t>
                        </w:r>
                      </w:p>
                    </w:txbxContent>
                  </v:textbox>
                </v:rect>
                <v:roundrect id="Rounded Rectangle 28" o:spid="_x0000_s1030"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nSr8A&#10;AADbAAAADwAAAGRycy9kb3ducmV2LnhtbERPy2oCMRTdC/5DuAU3UjMqyDA1ShGk3XbaD7id3Hl0&#10;kpthEufh1zcLweXhvI/nyRoxUO8bxwq2mwQEceF0w5WCn+/rawrCB2SNxjEpmMnD+bRcHDHTbuQv&#10;GvJQiRjCPkMFdQhdJqUvarLoN64jjlzpeoshwr6Suscxhlsjd0lykBYbjg01dnSpqWjzm1Vwx+u+&#10;nM1H1/wO69aZMR3/2kKp1cv0/gYi0BSe4of7UyvYxbHxS/wB8vQ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pmdKvwAAANsAAAAPAAAAAAAAAAAAAAAAAJgCAABkcnMvZG93bnJl&#10;di54bWxQSwUGAAAAAAQABAD1AAAAhAMAAAAA&#10;" fillcolor="#008c9b [3204]" stroked="f" strokeweight="2pt">
                  <v:textbox>
                    <w:txbxContent>
                      <w:p w14:paraId="6A99934B" w14:textId="77777777" w:rsidR="00BC67A0" w:rsidRDefault="00BC67A0" w:rsidP="000E6732">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4F7163E3" w14:textId="77777777" w:rsidR="00BC67A0" w:rsidRDefault="00BC67A0" w:rsidP="000E6732">
                        <w:pPr>
                          <w:pStyle w:val="NormalWeb"/>
                          <w:spacing w:before="0" w:beforeAutospacing="0" w:after="0" w:afterAutospacing="0"/>
                          <w:jc w:val="center"/>
                        </w:pPr>
                      </w:p>
                      <w:p w14:paraId="20B49D68" w14:textId="77777777" w:rsidR="00BC67A0" w:rsidRDefault="00BC67A0" w:rsidP="000E6732">
                        <w:pPr>
                          <w:pStyle w:val="NormalWeb"/>
                          <w:spacing w:before="0" w:beforeAutospacing="0" w:after="0" w:afterAutospacing="0"/>
                          <w:jc w:val="center"/>
                        </w:pPr>
                        <w:r>
                          <w:rPr>
                            <w:rFonts w:asciiTheme="minorHAnsi" w:hAnsi="Calibri" w:cstheme="minorBidi"/>
                            <w:color w:val="FFFFFF" w:themeColor="background1"/>
                            <w:kern w:val="24"/>
                            <w:sz w:val="48"/>
                            <w:szCs w:val="48"/>
                          </w:rPr>
                          <w:t>£9.9bn</w:t>
                        </w:r>
                      </w:p>
                    </w:txbxContent>
                  </v:textbox>
                </v:roundrect>
                <v:roundrect id="Rounded Rectangle 29" o:spid="_x0000_s1031"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eg8IA&#10;AADbAAAADwAAAGRycy9kb3ducmV2LnhtbESPW4vCMBSE3wX/QzjCvmnqBdFuUxFxYV9c8LLvh+bY&#10;FpuTmmS1/nuzIPg4zMw3TLbqTCNu5HxtWcF4lIAgLqyuuVRwOn4NFyB8QNbYWCYFD/Kwyvu9DFNt&#10;77yn2yGUIkLYp6igCqFNpfRFRQb9yLbE0TtbZzBE6UqpHd4j3DRykiRzabDmuFBhS5uKisvhzyhI&#10;2rX1P4/ZdHrc/u7CdaZdvdRKfQy69SeIQF14h1/tb61gsoT/L/EHy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h6DwgAAANsAAAAPAAAAAAAAAAAAAAAAAJgCAABkcnMvZG93&#10;bnJldi54bWxQSwUGAAAAAAQABAD1AAAAhwMAAAAA&#10;" fillcolor="#0070c0" stroked="f" strokeweight="2pt">
                  <v:textbox>
                    <w:txbxContent>
                      <w:p w14:paraId="5404B072" w14:textId="77777777" w:rsidR="00BC67A0" w:rsidRDefault="00BC67A0" w:rsidP="000E6732">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£5.8bn</w:t>
                        </w:r>
                      </w:p>
                    </w:txbxContent>
                  </v:textbox>
                </v:roundrect>
                <v:roundrect id="Rounded Rectangle 31" o:spid="_x0000_s1032" style="position:absolute;left:46486;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z98UA&#10;AADbAAAADwAAAGRycy9kb3ducmV2LnhtbESPQWvCQBSE7wX/w/KEXopu0lCR6CZIQSjtpY16f2af&#10;STD7Nma3Ju2v7xYEj8PMfMOs89G04kq9aywriOcRCOLS6oYrBfvddrYE4TyyxtYyKfghB3k2eVhj&#10;qu3AX3QtfCUChF2KCmrvu1RKV9Zk0M1tRxy8k+0N+iD7SuoehwA3rXyOooU02HBYqLGj15rKc/Ft&#10;FDTvC7t9Si674/LAn4X8iH9fzgelHqfjZgXC0+jv4Vv7TStIYvj/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HP3xQAAANsAAAAPAAAAAAAAAAAAAAAAAJgCAABkcnMv&#10;ZG93bnJldi54bWxQSwUGAAAAAAQABAD1AAAAigMAAAAA&#10;" fillcolor="#7030a0" stroked="f" strokeweight="2pt">
                  <v:textbox>
                    <w:txbxContent>
                      <w:p w14:paraId="22C9C0E7" w14:textId="77777777" w:rsidR="00BC67A0" w:rsidRDefault="00BC67A0" w:rsidP="000E6732">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£3.8bn</w:t>
                        </w:r>
                      </w:p>
                    </w:txbxContent>
                  </v:textbox>
                </v:roundrect>
                <v:rect id="Rectangle 32" o:spid="_x0000_s1033"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NH8IA&#10;AADbAAAADwAAAGRycy9kb3ducmV2LnhtbESPzWrDMBCE74G+g9hCb7HcBIfgRgnGUGiOcZucF2v9&#10;Q6WVsZTY7dNHhUKOw8x8w+wOszXiRqPvHSt4TVIQxLXTPbcKvj7fl1sQPiBrNI5JwQ95OOyfFjvM&#10;tZv4RLcqtCJC2OeooAthyKX0dUcWfeIG4ug1brQYohxbqUecItwauUrTjbTYc1zocKCyo/q7uloF&#10;GdMxC9WvKc9F0VyxPpcXb5R6eZ6LNxCB5vAI/7c/tIL1Cv6+x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Q0fwgAAANsAAAAPAAAAAAAAAAAAAAAAAJgCAABkcnMvZG93&#10;bnJldi54bWxQSwUGAAAAAAQABAD1AAAAhwMAAAAA&#10;" fillcolor="#6d6e71 [3206]" stroked="f" strokeweight="2pt">
                  <v:textbox>
                    <w:txbxContent>
                      <w:p w14:paraId="0534F8F6" w14:textId="77777777" w:rsidR="00BC67A0" w:rsidRDefault="00BC67A0" w:rsidP="000E6732">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Turnover</w:t>
                        </w:r>
                      </w:p>
                    </w:txbxContent>
                  </v:textbox>
                </v:rect>
              </v:group>
            </w:pict>
          </mc:Fallback>
        </mc:AlternateContent>
      </w:r>
    </w:p>
    <w:p w14:paraId="1896D307" w14:textId="77777777" w:rsidR="000E6732" w:rsidRDefault="000E6732" w:rsidP="00037501">
      <w:pPr>
        <w:spacing w:after="0"/>
      </w:pPr>
    </w:p>
    <w:p w14:paraId="6D2A79C0" w14:textId="77777777" w:rsidR="000E6732" w:rsidRDefault="000E6732" w:rsidP="00037501">
      <w:pPr>
        <w:spacing w:after="0"/>
      </w:pPr>
    </w:p>
    <w:p w14:paraId="118D9C29" w14:textId="77777777" w:rsidR="000E6732" w:rsidRDefault="000E6732" w:rsidP="00037501">
      <w:pPr>
        <w:spacing w:after="0"/>
      </w:pPr>
    </w:p>
    <w:p w14:paraId="00AC8978" w14:textId="77777777" w:rsidR="000E6732" w:rsidRDefault="000E6732" w:rsidP="00037501">
      <w:pPr>
        <w:spacing w:after="0"/>
      </w:pPr>
    </w:p>
    <w:p w14:paraId="76227963" w14:textId="77777777" w:rsidR="000E6732" w:rsidRDefault="000E6732" w:rsidP="00037501">
      <w:pPr>
        <w:spacing w:after="0"/>
      </w:pPr>
    </w:p>
    <w:p w14:paraId="2397BF08" w14:textId="77777777" w:rsidR="000E6732" w:rsidRDefault="000E6732" w:rsidP="00037501">
      <w:pPr>
        <w:spacing w:after="0"/>
      </w:pPr>
    </w:p>
    <w:p w14:paraId="0F8862DC" w14:textId="77777777" w:rsidR="000E6732" w:rsidRDefault="000E6732" w:rsidP="00037501">
      <w:pPr>
        <w:spacing w:after="0"/>
      </w:pPr>
    </w:p>
    <w:p w14:paraId="7E455A4D" w14:textId="77777777" w:rsidR="000E6732" w:rsidRDefault="000E6732" w:rsidP="00037501">
      <w:pPr>
        <w:spacing w:after="0"/>
      </w:pPr>
    </w:p>
    <w:p w14:paraId="45A627A5" w14:textId="77777777" w:rsidR="000E6732" w:rsidRDefault="000E6732" w:rsidP="00037501">
      <w:pPr>
        <w:spacing w:after="0"/>
      </w:pPr>
    </w:p>
    <w:p w14:paraId="7F007D79" w14:textId="77777777" w:rsidR="000E6732" w:rsidRDefault="000E6732" w:rsidP="00037501">
      <w:pPr>
        <w:spacing w:after="0"/>
      </w:pPr>
    </w:p>
    <w:p w14:paraId="50DA8384" w14:textId="77777777" w:rsidR="000E6732" w:rsidRDefault="000E6732" w:rsidP="00037501">
      <w:pPr>
        <w:spacing w:after="0"/>
      </w:pPr>
    </w:p>
    <w:p w14:paraId="69F442D5" w14:textId="77777777" w:rsidR="000E6732" w:rsidRPr="00A61216" w:rsidRDefault="000E6732" w:rsidP="00037501">
      <w:pPr>
        <w:spacing w:after="0"/>
      </w:pPr>
    </w:p>
    <w:p w14:paraId="2272FD50" w14:textId="77777777" w:rsidR="00A61216" w:rsidRDefault="00A61216" w:rsidP="00A61216">
      <w:pPr>
        <w:spacing w:before="60" w:after="120"/>
        <w:jc w:val="right"/>
        <w:rPr>
          <w:rStyle w:val="SubtleEmphasis"/>
          <w:iCs w:val="0"/>
          <w:sz w:val="18"/>
        </w:rPr>
      </w:pPr>
      <w:r w:rsidRPr="00520FF4">
        <w:rPr>
          <w:rStyle w:val="SubtleEmphasis"/>
          <w:iCs w:val="0"/>
          <w:sz w:val="18"/>
        </w:rPr>
        <w:t>Source: ONS, FAME, Cebr analysis</w:t>
      </w:r>
    </w:p>
    <w:p w14:paraId="58D596C7" w14:textId="77777777" w:rsidR="00F54521" w:rsidRDefault="00F54521" w:rsidP="00037501">
      <w:pPr>
        <w:spacing w:after="0"/>
      </w:pPr>
    </w:p>
    <w:p w14:paraId="4C11EB68" w14:textId="77777777" w:rsidR="00656B5A" w:rsidRDefault="00656B5A" w:rsidP="00037501">
      <w:pPr>
        <w:spacing w:after="0"/>
      </w:pPr>
    </w:p>
    <w:p w14:paraId="6680DCDB" w14:textId="77777777" w:rsidR="00656B5A" w:rsidRDefault="00656B5A" w:rsidP="00037501">
      <w:pPr>
        <w:spacing w:after="0"/>
      </w:pPr>
    </w:p>
    <w:p w14:paraId="78A5A2DC" w14:textId="77777777" w:rsidR="00656B5A" w:rsidRDefault="00656B5A" w:rsidP="00037501">
      <w:pPr>
        <w:spacing w:after="0"/>
      </w:pPr>
    </w:p>
    <w:p w14:paraId="0565C1F2" w14:textId="77777777" w:rsidR="00656B5A" w:rsidRDefault="00656B5A" w:rsidP="00037501">
      <w:pPr>
        <w:spacing w:after="0"/>
      </w:pPr>
    </w:p>
    <w:p w14:paraId="2BCE034F" w14:textId="77777777" w:rsidR="00656B5A" w:rsidRDefault="00656B5A" w:rsidP="00037501">
      <w:pPr>
        <w:spacing w:after="0"/>
      </w:pPr>
    </w:p>
    <w:p w14:paraId="1961AF7D" w14:textId="77777777" w:rsidR="00656B5A" w:rsidRDefault="00656B5A" w:rsidP="00037501">
      <w:pPr>
        <w:spacing w:after="0"/>
      </w:pPr>
    </w:p>
    <w:p w14:paraId="53961451" w14:textId="77777777" w:rsidR="00656B5A" w:rsidRDefault="00656B5A" w:rsidP="00037501">
      <w:pPr>
        <w:spacing w:after="0"/>
      </w:pPr>
    </w:p>
    <w:p w14:paraId="3F965353" w14:textId="77777777" w:rsidR="00656B5A" w:rsidRDefault="00656B5A" w:rsidP="00037501">
      <w:pPr>
        <w:spacing w:after="0"/>
      </w:pPr>
    </w:p>
    <w:p w14:paraId="05076036" w14:textId="77777777" w:rsidR="00656B5A" w:rsidRDefault="00656B5A" w:rsidP="00037501">
      <w:pPr>
        <w:spacing w:after="0"/>
      </w:pPr>
    </w:p>
    <w:p w14:paraId="37ED63A4" w14:textId="77777777" w:rsidR="00EA666B" w:rsidRDefault="00EA666B" w:rsidP="00037501">
      <w:pPr>
        <w:spacing w:after="0"/>
      </w:pPr>
    </w:p>
    <w:p w14:paraId="0702AEEB" w14:textId="77777777" w:rsidR="00656B5A" w:rsidRDefault="00656B5A" w:rsidP="00037501">
      <w:pPr>
        <w:spacing w:after="0"/>
      </w:pPr>
    </w:p>
    <w:p w14:paraId="0CFD22CC" w14:textId="77777777" w:rsidR="00656B5A" w:rsidRDefault="00656B5A" w:rsidP="00037501">
      <w:pPr>
        <w:spacing w:after="0"/>
      </w:pPr>
    </w:p>
    <w:p w14:paraId="01167E5E" w14:textId="7EE8AD64" w:rsidR="00363AF8" w:rsidRDefault="000D4724">
      <w:pPr>
        <w:spacing w:after="0"/>
      </w:pPr>
      <w:r>
        <w:lastRenderedPageBreak/>
        <w:fldChar w:fldCharType="begin"/>
      </w:r>
      <w:r>
        <w:instrText xml:space="preserve"> REF _Ref16685528 \h </w:instrText>
      </w:r>
      <w:r>
        <w:fldChar w:fldCharType="separate"/>
      </w:r>
      <w:r>
        <w:t xml:space="preserve">Table </w:t>
      </w:r>
      <w:r>
        <w:rPr>
          <w:noProof/>
        </w:rPr>
        <w:t>10</w:t>
      </w:r>
      <w:r>
        <w:fldChar w:fldCharType="end"/>
      </w:r>
      <w:r>
        <w:t xml:space="preserve"> </w:t>
      </w:r>
      <w:r w:rsidR="00FE1315">
        <w:t xml:space="preserve">below shows the estimated aggregate </w:t>
      </w:r>
      <w:r w:rsidR="00AD0985">
        <w:t>turnover</w:t>
      </w:r>
      <w:r w:rsidR="00FE1315">
        <w:t xml:space="preserve"> impacts from the individual Maritime industries when taken in isolation.</w:t>
      </w:r>
      <w:r w:rsidR="0072480F">
        <w:t xml:space="preserve"> The largest direct impact is attributed to Marine Offshore Oil and Gas at approximately £4.5</w:t>
      </w:r>
      <w:r w:rsidR="009B2AC2">
        <w:t xml:space="preserve"> billion</w:t>
      </w:r>
      <w:r w:rsidR="0072480F">
        <w:t xml:space="preserve"> followed by Other Marine Engineering at £2.4 billion and Shipping at £2.3 billion. These three industries also has the largest aggregate impacts.  </w:t>
      </w:r>
    </w:p>
    <w:p w14:paraId="32774A07" w14:textId="77777777" w:rsidR="00366326" w:rsidRPr="00366326" w:rsidRDefault="00366326">
      <w:pPr>
        <w:spacing w:after="0"/>
      </w:pPr>
    </w:p>
    <w:p w14:paraId="0A27BCDE" w14:textId="70CEE320" w:rsidR="00AC126A" w:rsidRDefault="000D4724" w:rsidP="000D4724">
      <w:pPr>
        <w:pStyle w:val="Caption"/>
      </w:pPr>
      <w:bookmarkStart w:id="91" w:name="_Ref16685528"/>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10</w:t>
      </w:r>
      <w:r w:rsidR="00BF1DE1">
        <w:rPr>
          <w:noProof/>
        </w:rPr>
        <w:fldChar w:fldCharType="end"/>
      </w:r>
      <w:bookmarkEnd w:id="91"/>
      <w:r w:rsidR="00AC126A">
        <w:t xml:space="preserve">: </w:t>
      </w:r>
      <w:r w:rsidR="00AD0985">
        <w:t>Turnover</w:t>
      </w:r>
      <w:r w:rsidR="00AC126A">
        <w:t xml:space="preserve"> </w:t>
      </w:r>
      <w:r w:rsidR="00AC126A" w:rsidRPr="00380889">
        <w:t xml:space="preserve">impact </w:t>
      </w:r>
      <w:r w:rsidR="00AC126A">
        <w:t>by each Mariti</w:t>
      </w:r>
      <w:r w:rsidR="0072480F">
        <w:t>me industry in Scotland in 2017</w:t>
      </w:r>
      <w:r w:rsidR="003322DE">
        <w:t>, £ million</w:t>
      </w:r>
    </w:p>
    <w:tbl>
      <w:tblPr>
        <w:tblW w:w="9622" w:type="dxa"/>
        <w:tblLook w:val="04A0" w:firstRow="1" w:lastRow="0" w:firstColumn="1" w:lastColumn="0" w:noHBand="0" w:noVBand="1"/>
      </w:tblPr>
      <w:tblGrid>
        <w:gridCol w:w="3849"/>
        <w:gridCol w:w="1408"/>
        <w:gridCol w:w="1455"/>
        <w:gridCol w:w="1455"/>
        <w:gridCol w:w="1455"/>
      </w:tblGrid>
      <w:tr w:rsidR="00656B5A" w:rsidRPr="00656B5A" w14:paraId="722F97AA" w14:textId="77777777" w:rsidTr="00656B5A">
        <w:trPr>
          <w:trHeight w:val="490"/>
        </w:trPr>
        <w:tc>
          <w:tcPr>
            <w:tcW w:w="3849" w:type="dxa"/>
            <w:tcBorders>
              <w:top w:val="single" w:sz="8" w:space="0" w:color="FFFFFF"/>
              <w:left w:val="nil"/>
              <w:bottom w:val="single" w:sz="12" w:space="0" w:color="FFFFFF"/>
              <w:right w:val="single" w:sz="8" w:space="0" w:color="FFFFFF"/>
            </w:tcBorders>
            <w:shd w:val="clear" w:color="000000" w:fill="008C9B"/>
            <w:vAlign w:val="center"/>
            <w:hideMark/>
          </w:tcPr>
          <w:p w14:paraId="4B058613" w14:textId="77777777" w:rsidR="00656B5A" w:rsidRPr="00656B5A" w:rsidRDefault="00656B5A" w:rsidP="00656B5A">
            <w:pPr>
              <w:spacing w:after="0"/>
              <w:rPr>
                <w:rFonts w:ascii="Calibri" w:eastAsia="Times New Roman" w:hAnsi="Calibri"/>
                <w:b/>
                <w:bCs/>
                <w:color w:val="FFFFFF"/>
                <w:sz w:val="20"/>
                <w:lang w:eastAsia="en-GB"/>
              </w:rPr>
            </w:pPr>
            <w:r w:rsidRPr="00656B5A">
              <w:rPr>
                <w:rFonts w:ascii="Calibri" w:eastAsia="Times New Roman" w:hAnsi="Calibri"/>
                <w:b/>
                <w:bCs/>
                <w:color w:val="FFFFFF"/>
                <w:sz w:val="20"/>
                <w:lang w:eastAsia="en-GB"/>
              </w:rPr>
              <w:t>Turnover in 2017</w:t>
            </w:r>
          </w:p>
        </w:tc>
        <w:tc>
          <w:tcPr>
            <w:tcW w:w="1408" w:type="dxa"/>
            <w:tcBorders>
              <w:top w:val="single" w:sz="8" w:space="0" w:color="FFFFFF"/>
              <w:left w:val="nil"/>
              <w:bottom w:val="single" w:sz="12" w:space="0" w:color="FFFFFF"/>
              <w:right w:val="single" w:sz="8" w:space="0" w:color="FFFFFF"/>
            </w:tcBorders>
            <w:shd w:val="clear" w:color="000000" w:fill="008C9B"/>
            <w:vAlign w:val="center"/>
            <w:hideMark/>
          </w:tcPr>
          <w:p w14:paraId="2DF568D6" w14:textId="77777777" w:rsidR="00656B5A" w:rsidRPr="00656B5A" w:rsidRDefault="00656B5A" w:rsidP="00656B5A">
            <w:pPr>
              <w:spacing w:after="0"/>
              <w:jc w:val="center"/>
              <w:rPr>
                <w:rFonts w:ascii="Calibri" w:eastAsia="Times New Roman" w:hAnsi="Calibri"/>
                <w:b/>
                <w:bCs/>
                <w:color w:val="FFFFFF"/>
                <w:sz w:val="20"/>
                <w:lang w:eastAsia="en-GB"/>
              </w:rPr>
            </w:pPr>
            <w:r w:rsidRPr="00656B5A">
              <w:rPr>
                <w:rFonts w:ascii="Calibri" w:eastAsia="Times New Roman" w:hAnsi="Calibri"/>
                <w:b/>
                <w:bCs/>
                <w:color w:val="FFFFFF"/>
                <w:sz w:val="20"/>
                <w:lang w:eastAsia="en-GB"/>
              </w:rPr>
              <w:t>Direct Impact</w:t>
            </w:r>
          </w:p>
        </w:tc>
        <w:tc>
          <w:tcPr>
            <w:tcW w:w="1455" w:type="dxa"/>
            <w:tcBorders>
              <w:top w:val="single" w:sz="8" w:space="0" w:color="FFFFFF"/>
              <w:left w:val="nil"/>
              <w:bottom w:val="single" w:sz="12" w:space="0" w:color="FFFFFF"/>
              <w:right w:val="single" w:sz="8" w:space="0" w:color="FFFFFF"/>
            </w:tcBorders>
            <w:shd w:val="clear" w:color="000000" w:fill="008C9B"/>
            <w:vAlign w:val="center"/>
            <w:hideMark/>
          </w:tcPr>
          <w:p w14:paraId="3AC39CBB" w14:textId="77777777" w:rsidR="00656B5A" w:rsidRPr="00656B5A" w:rsidRDefault="00656B5A" w:rsidP="00656B5A">
            <w:pPr>
              <w:spacing w:after="0"/>
              <w:jc w:val="center"/>
              <w:rPr>
                <w:rFonts w:ascii="Calibri" w:eastAsia="Times New Roman" w:hAnsi="Calibri"/>
                <w:b/>
                <w:bCs/>
                <w:color w:val="FFFFFF"/>
                <w:sz w:val="20"/>
                <w:lang w:eastAsia="en-GB"/>
              </w:rPr>
            </w:pPr>
            <w:r w:rsidRPr="00656B5A">
              <w:rPr>
                <w:rFonts w:ascii="Calibri" w:eastAsia="Times New Roman" w:hAnsi="Calibri"/>
                <w:b/>
                <w:bCs/>
                <w:color w:val="FFFFFF"/>
                <w:sz w:val="20"/>
                <w:lang w:eastAsia="en-GB"/>
              </w:rPr>
              <w:t>Indirect Impact</w:t>
            </w:r>
          </w:p>
        </w:tc>
        <w:tc>
          <w:tcPr>
            <w:tcW w:w="1455" w:type="dxa"/>
            <w:tcBorders>
              <w:top w:val="single" w:sz="8" w:space="0" w:color="FFFFFF"/>
              <w:left w:val="nil"/>
              <w:bottom w:val="single" w:sz="12" w:space="0" w:color="FFFFFF"/>
              <w:right w:val="single" w:sz="8" w:space="0" w:color="FFFFFF"/>
            </w:tcBorders>
            <w:shd w:val="clear" w:color="000000" w:fill="008C9B"/>
            <w:vAlign w:val="center"/>
            <w:hideMark/>
          </w:tcPr>
          <w:p w14:paraId="7D60743E" w14:textId="77777777" w:rsidR="00656B5A" w:rsidRPr="00656B5A" w:rsidRDefault="00656B5A" w:rsidP="00656B5A">
            <w:pPr>
              <w:spacing w:after="0"/>
              <w:jc w:val="center"/>
              <w:rPr>
                <w:rFonts w:ascii="Calibri" w:eastAsia="Times New Roman" w:hAnsi="Calibri"/>
                <w:b/>
                <w:bCs/>
                <w:color w:val="FFFFFF"/>
                <w:sz w:val="20"/>
                <w:lang w:eastAsia="en-GB"/>
              </w:rPr>
            </w:pPr>
            <w:r w:rsidRPr="00656B5A">
              <w:rPr>
                <w:rFonts w:ascii="Calibri" w:eastAsia="Times New Roman" w:hAnsi="Calibri"/>
                <w:b/>
                <w:bCs/>
                <w:color w:val="FFFFFF"/>
                <w:sz w:val="20"/>
                <w:lang w:eastAsia="en-GB"/>
              </w:rPr>
              <w:t>Induced Impact</w:t>
            </w:r>
          </w:p>
        </w:tc>
        <w:tc>
          <w:tcPr>
            <w:tcW w:w="1455" w:type="dxa"/>
            <w:tcBorders>
              <w:top w:val="single" w:sz="8" w:space="0" w:color="FFFFFF"/>
              <w:left w:val="nil"/>
              <w:bottom w:val="single" w:sz="12" w:space="0" w:color="FFFFFF"/>
              <w:right w:val="single" w:sz="8" w:space="0" w:color="FFFFFF"/>
            </w:tcBorders>
            <w:shd w:val="clear" w:color="000000" w:fill="008C9B"/>
            <w:vAlign w:val="center"/>
            <w:hideMark/>
          </w:tcPr>
          <w:p w14:paraId="78586535" w14:textId="77777777" w:rsidR="00656B5A" w:rsidRPr="00656B5A" w:rsidRDefault="00656B5A" w:rsidP="00656B5A">
            <w:pPr>
              <w:spacing w:after="0"/>
              <w:jc w:val="center"/>
              <w:rPr>
                <w:rFonts w:ascii="Calibri" w:eastAsia="Times New Roman" w:hAnsi="Calibri"/>
                <w:b/>
                <w:bCs/>
                <w:color w:val="FFFFFF"/>
                <w:sz w:val="20"/>
                <w:lang w:eastAsia="en-GB"/>
              </w:rPr>
            </w:pPr>
            <w:r w:rsidRPr="00656B5A">
              <w:rPr>
                <w:rFonts w:ascii="Calibri" w:eastAsia="Times New Roman" w:hAnsi="Calibri"/>
                <w:b/>
                <w:bCs/>
                <w:color w:val="FFFFFF"/>
                <w:sz w:val="20"/>
                <w:lang w:eastAsia="en-GB"/>
              </w:rPr>
              <w:t>Aggregate Impact</w:t>
            </w:r>
          </w:p>
        </w:tc>
      </w:tr>
      <w:tr w:rsidR="00656B5A" w:rsidRPr="00656B5A" w14:paraId="3C9CF9B5" w14:textId="77777777" w:rsidTr="00656B5A">
        <w:trPr>
          <w:trHeight w:val="308"/>
        </w:trPr>
        <w:tc>
          <w:tcPr>
            <w:tcW w:w="3849" w:type="dxa"/>
            <w:tcBorders>
              <w:top w:val="nil"/>
              <w:left w:val="single" w:sz="8" w:space="0" w:color="FFFFFF"/>
              <w:bottom w:val="single" w:sz="8" w:space="0" w:color="FFFFFF"/>
              <w:right w:val="single" w:sz="8" w:space="0" w:color="FFFFFF"/>
            </w:tcBorders>
            <w:shd w:val="clear" w:color="000000" w:fill="008C9B"/>
            <w:vAlign w:val="center"/>
            <w:hideMark/>
          </w:tcPr>
          <w:p w14:paraId="26DA46E0" w14:textId="77777777" w:rsidR="00656B5A" w:rsidRPr="00656B5A" w:rsidRDefault="00656B5A" w:rsidP="00656B5A">
            <w:pPr>
              <w:spacing w:after="0"/>
              <w:rPr>
                <w:rFonts w:ascii="Calibri" w:eastAsia="Times New Roman" w:hAnsi="Calibri"/>
                <w:b/>
                <w:bCs/>
                <w:color w:val="FFFFFF"/>
                <w:sz w:val="20"/>
                <w:lang w:eastAsia="en-GB"/>
              </w:rPr>
            </w:pPr>
            <w:r w:rsidRPr="00656B5A">
              <w:rPr>
                <w:rFonts w:ascii="Calibri" w:eastAsia="Times New Roman" w:hAnsi="Calibri"/>
                <w:b/>
                <w:bCs/>
                <w:color w:val="FFFFFF"/>
                <w:sz w:val="20"/>
                <w:lang w:eastAsia="en-GB"/>
              </w:rPr>
              <w:t>TOTAL</w:t>
            </w:r>
          </w:p>
        </w:tc>
        <w:tc>
          <w:tcPr>
            <w:tcW w:w="1408" w:type="dxa"/>
            <w:tcBorders>
              <w:top w:val="nil"/>
              <w:left w:val="nil"/>
              <w:bottom w:val="single" w:sz="8" w:space="0" w:color="FFFFFF"/>
              <w:right w:val="single" w:sz="8" w:space="0" w:color="FFFFFF"/>
            </w:tcBorders>
            <w:shd w:val="clear" w:color="000000" w:fill="E7EEEF"/>
            <w:vAlign w:val="center"/>
            <w:hideMark/>
          </w:tcPr>
          <w:p w14:paraId="1EDDCB6E" w14:textId="77777777" w:rsidR="00656B5A" w:rsidRPr="00656B5A" w:rsidRDefault="00656B5A" w:rsidP="00656B5A">
            <w:pPr>
              <w:spacing w:after="0"/>
              <w:jc w:val="center"/>
              <w:rPr>
                <w:rFonts w:ascii="Calibri" w:eastAsia="Times New Roman" w:hAnsi="Calibri"/>
                <w:b/>
                <w:color w:val="000000"/>
                <w:sz w:val="20"/>
                <w:lang w:eastAsia="en-GB"/>
              </w:rPr>
            </w:pPr>
            <w:r w:rsidRPr="00656B5A">
              <w:rPr>
                <w:rFonts w:ascii="Calibri" w:eastAsia="Times New Roman" w:hAnsi="Calibri"/>
                <w:b/>
                <w:color w:val="000000"/>
                <w:sz w:val="20"/>
                <w:lang w:eastAsia="en-GB"/>
              </w:rPr>
              <w:t>9,876</w:t>
            </w:r>
          </w:p>
        </w:tc>
        <w:tc>
          <w:tcPr>
            <w:tcW w:w="1455" w:type="dxa"/>
            <w:tcBorders>
              <w:top w:val="nil"/>
              <w:left w:val="nil"/>
              <w:bottom w:val="single" w:sz="8" w:space="0" w:color="FFFFFF"/>
              <w:right w:val="single" w:sz="8" w:space="0" w:color="FFFFFF"/>
            </w:tcBorders>
            <w:shd w:val="clear" w:color="000000" w:fill="E7EEEF"/>
            <w:vAlign w:val="center"/>
            <w:hideMark/>
          </w:tcPr>
          <w:p w14:paraId="3DD1FC73" w14:textId="77777777" w:rsidR="00656B5A" w:rsidRPr="00656B5A" w:rsidRDefault="00656B5A" w:rsidP="00656B5A">
            <w:pPr>
              <w:spacing w:after="0"/>
              <w:jc w:val="center"/>
              <w:rPr>
                <w:rFonts w:ascii="Calibri" w:eastAsia="Times New Roman" w:hAnsi="Calibri"/>
                <w:b/>
                <w:color w:val="000000"/>
                <w:sz w:val="20"/>
                <w:lang w:eastAsia="en-GB"/>
              </w:rPr>
            </w:pPr>
            <w:r w:rsidRPr="00656B5A">
              <w:rPr>
                <w:rFonts w:ascii="Calibri" w:eastAsia="Times New Roman" w:hAnsi="Calibri"/>
                <w:b/>
                <w:color w:val="000000"/>
                <w:sz w:val="20"/>
                <w:lang w:eastAsia="en-GB"/>
              </w:rPr>
              <w:t>5,843</w:t>
            </w:r>
          </w:p>
        </w:tc>
        <w:tc>
          <w:tcPr>
            <w:tcW w:w="1455" w:type="dxa"/>
            <w:tcBorders>
              <w:top w:val="nil"/>
              <w:left w:val="nil"/>
              <w:bottom w:val="single" w:sz="8" w:space="0" w:color="FFFFFF"/>
              <w:right w:val="single" w:sz="8" w:space="0" w:color="FFFFFF"/>
            </w:tcBorders>
            <w:shd w:val="clear" w:color="000000" w:fill="E7EEEF"/>
            <w:vAlign w:val="center"/>
            <w:hideMark/>
          </w:tcPr>
          <w:p w14:paraId="3BCE982D" w14:textId="77777777" w:rsidR="00656B5A" w:rsidRPr="00656B5A" w:rsidRDefault="00656B5A" w:rsidP="00656B5A">
            <w:pPr>
              <w:spacing w:after="0"/>
              <w:jc w:val="center"/>
              <w:rPr>
                <w:rFonts w:ascii="Calibri" w:eastAsia="Times New Roman" w:hAnsi="Calibri"/>
                <w:b/>
                <w:color w:val="000000"/>
                <w:sz w:val="20"/>
                <w:lang w:eastAsia="en-GB"/>
              </w:rPr>
            </w:pPr>
            <w:r w:rsidRPr="00656B5A">
              <w:rPr>
                <w:rFonts w:ascii="Calibri" w:eastAsia="Times New Roman" w:hAnsi="Calibri"/>
                <w:b/>
                <w:color w:val="000000"/>
                <w:sz w:val="20"/>
                <w:lang w:eastAsia="en-GB"/>
              </w:rPr>
              <w:t>3,804</w:t>
            </w:r>
          </w:p>
        </w:tc>
        <w:tc>
          <w:tcPr>
            <w:tcW w:w="1455" w:type="dxa"/>
            <w:tcBorders>
              <w:top w:val="nil"/>
              <w:left w:val="nil"/>
              <w:bottom w:val="single" w:sz="8" w:space="0" w:color="FFFFFF"/>
              <w:right w:val="single" w:sz="8" w:space="0" w:color="FFFFFF"/>
            </w:tcBorders>
            <w:shd w:val="clear" w:color="000000" w:fill="E7EEEF"/>
            <w:vAlign w:val="center"/>
            <w:hideMark/>
          </w:tcPr>
          <w:p w14:paraId="7FB0CC5D" w14:textId="77777777" w:rsidR="00656B5A" w:rsidRPr="00656B5A" w:rsidRDefault="00656B5A" w:rsidP="00656B5A">
            <w:pPr>
              <w:spacing w:after="0"/>
              <w:jc w:val="center"/>
              <w:rPr>
                <w:rFonts w:ascii="Calibri" w:eastAsia="Times New Roman" w:hAnsi="Calibri"/>
                <w:b/>
                <w:color w:val="000000"/>
                <w:sz w:val="20"/>
                <w:lang w:eastAsia="en-GB"/>
              </w:rPr>
            </w:pPr>
            <w:r w:rsidRPr="00656B5A">
              <w:rPr>
                <w:rFonts w:ascii="Calibri" w:eastAsia="Times New Roman" w:hAnsi="Calibri"/>
                <w:b/>
                <w:color w:val="000000"/>
                <w:sz w:val="20"/>
                <w:lang w:eastAsia="en-GB"/>
              </w:rPr>
              <w:t>19,523</w:t>
            </w:r>
          </w:p>
        </w:tc>
      </w:tr>
      <w:tr w:rsidR="00656B5A" w:rsidRPr="00656B5A" w14:paraId="068F8195" w14:textId="77777777" w:rsidTr="00656B5A">
        <w:trPr>
          <w:trHeight w:val="294"/>
        </w:trPr>
        <w:tc>
          <w:tcPr>
            <w:tcW w:w="3849" w:type="dxa"/>
            <w:tcBorders>
              <w:top w:val="nil"/>
              <w:left w:val="single" w:sz="8" w:space="0" w:color="FFFFFF"/>
              <w:bottom w:val="single" w:sz="8" w:space="0" w:color="FFFFFF"/>
              <w:right w:val="single" w:sz="8" w:space="0" w:color="FFFFFF"/>
            </w:tcBorders>
            <w:shd w:val="clear" w:color="000000" w:fill="008C9B"/>
            <w:vAlign w:val="center"/>
            <w:hideMark/>
          </w:tcPr>
          <w:p w14:paraId="6D245A36" w14:textId="77777777" w:rsidR="00656B5A" w:rsidRPr="00656B5A" w:rsidRDefault="00656B5A" w:rsidP="00656B5A">
            <w:pPr>
              <w:spacing w:after="0"/>
              <w:rPr>
                <w:rFonts w:ascii="Calibri" w:eastAsia="Times New Roman" w:hAnsi="Calibri"/>
                <w:color w:val="FFFFFF"/>
                <w:sz w:val="20"/>
                <w:lang w:eastAsia="en-GB"/>
              </w:rPr>
            </w:pPr>
            <w:r w:rsidRPr="00656B5A">
              <w:rPr>
                <w:rFonts w:ascii="Calibri" w:eastAsia="Times New Roman" w:hAnsi="Calibri"/>
                <w:color w:val="FFFFFF"/>
                <w:sz w:val="20"/>
                <w:lang w:eastAsia="en-GB"/>
              </w:rPr>
              <w:t>Shipping</w:t>
            </w:r>
          </w:p>
        </w:tc>
        <w:tc>
          <w:tcPr>
            <w:tcW w:w="1408" w:type="dxa"/>
            <w:tcBorders>
              <w:top w:val="nil"/>
              <w:left w:val="nil"/>
              <w:bottom w:val="single" w:sz="8" w:space="0" w:color="FFFFFF"/>
              <w:right w:val="single" w:sz="8" w:space="0" w:color="FFFFFF"/>
            </w:tcBorders>
            <w:shd w:val="clear" w:color="000000" w:fill="D0CECE"/>
            <w:vAlign w:val="center"/>
            <w:hideMark/>
          </w:tcPr>
          <w:p w14:paraId="26A5B212"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2,340</w:t>
            </w:r>
          </w:p>
        </w:tc>
        <w:tc>
          <w:tcPr>
            <w:tcW w:w="1455" w:type="dxa"/>
            <w:tcBorders>
              <w:top w:val="nil"/>
              <w:left w:val="nil"/>
              <w:bottom w:val="single" w:sz="8" w:space="0" w:color="FFFFFF"/>
              <w:right w:val="single" w:sz="8" w:space="0" w:color="FFFFFF"/>
            </w:tcBorders>
            <w:shd w:val="clear" w:color="000000" w:fill="D0CECE"/>
            <w:vAlign w:val="center"/>
            <w:hideMark/>
          </w:tcPr>
          <w:p w14:paraId="3DAD181C"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1,853</w:t>
            </w:r>
          </w:p>
        </w:tc>
        <w:tc>
          <w:tcPr>
            <w:tcW w:w="1455" w:type="dxa"/>
            <w:tcBorders>
              <w:top w:val="nil"/>
              <w:left w:val="nil"/>
              <w:bottom w:val="single" w:sz="8" w:space="0" w:color="FFFFFF"/>
              <w:right w:val="single" w:sz="8" w:space="0" w:color="FFFFFF"/>
            </w:tcBorders>
            <w:shd w:val="clear" w:color="000000" w:fill="D0CECE"/>
            <w:vAlign w:val="center"/>
            <w:hideMark/>
          </w:tcPr>
          <w:p w14:paraId="3482AD29"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1,005</w:t>
            </w:r>
          </w:p>
        </w:tc>
        <w:tc>
          <w:tcPr>
            <w:tcW w:w="1455" w:type="dxa"/>
            <w:tcBorders>
              <w:top w:val="nil"/>
              <w:left w:val="nil"/>
              <w:bottom w:val="single" w:sz="8" w:space="0" w:color="FFFFFF"/>
              <w:right w:val="single" w:sz="8" w:space="0" w:color="FFFFFF"/>
            </w:tcBorders>
            <w:shd w:val="clear" w:color="000000" w:fill="D0CECE"/>
            <w:vAlign w:val="center"/>
            <w:hideMark/>
          </w:tcPr>
          <w:p w14:paraId="1439C036"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5,197</w:t>
            </w:r>
          </w:p>
        </w:tc>
      </w:tr>
      <w:tr w:rsidR="00656B5A" w:rsidRPr="00656B5A" w14:paraId="472FB125" w14:textId="77777777" w:rsidTr="00656B5A">
        <w:trPr>
          <w:trHeight w:val="294"/>
        </w:trPr>
        <w:tc>
          <w:tcPr>
            <w:tcW w:w="3849" w:type="dxa"/>
            <w:tcBorders>
              <w:top w:val="nil"/>
              <w:left w:val="single" w:sz="8" w:space="0" w:color="FFFFFF"/>
              <w:bottom w:val="single" w:sz="8" w:space="0" w:color="FFFFFF"/>
              <w:right w:val="single" w:sz="8" w:space="0" w:color="FFFFFF"/>
            </w:tcBorders>
            <w:shd w:val="clear" w:color="000000" w:fill="008C9B"/>
            <w:vAlign w:val="center"/>
            <w:hideMark/>
          </w:tcPr>
          <w:p w14:paraId="4A6AD9D1" w14:textId="77777777" w:rsidR="00656B5A" w:rsidRPr="00656B5A" w:rsidRDefault="00656B5A" w:rsidP="00656B5A">
            <w:pPr>
              <w:spacing w:after="0"/>
              <w:rPr>
                <w:rFonts w:ascii="Calibri" w:eastAsia="Times New Roman" w:hAnsi="Calibri"/>
                <w:color w:val="FFFFFF"/>
                <w:sz w:val="20"/>
                <w:lang w:eastAsia="en-GB"/>
              </w:rPr>
            </w:pPr>
            <w:r w:rsidRPr="00656B5A">
              <w:rPr>
                <w:rFonts w:ascii="Calibri" w:eastAsia="Times New Roman" w:hAnsi="Calibri"/>
                <w:color w:val="FFFFFF"/>
                <w:sz w:val="20"/>
                <w:lang w:eastAsia="en-GB"/>
              </w:rPr>
              <w:t>Ports</w:t>
            </w:r>
          </w:p>
        </w:tc>
        <w:tc>
          <w:tcPr>
            <w:tcW w:w="1408" w:type="dxa"/>
            <w:tcBorders>
              <w:top w:val="nil"/>
              <w:left w:val="nil"/>
              <w:bottom w:val="single" w:sz="8" w:space="0" w:color="FFFFFF"/>
              <w:right w:val="single" w:sz="8" w:space="0" w:color="FFFFFF"/>
            </w:tcBorders>
            <w:shd w:val="clear" w:color="000000" w:fill="E7EEEF"/>
            <w:vAlign w:val="center"/>
            <w:hideMark/>
          </w:tcPr>
          <w:p w14:paraId="0032F29C"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438</w:t>
            </w:r>
          </w:p>
        </w:tc>
        <w:tc>
          <w:tcPr>
            <w:tcW w:w="1455" w:type="dxa"/>
            <w:tcBorders>
              <w:top w:val="nil"/>
              <w:left w:val="nil"/>
              <w:bottom w:val="single" w:sz="8" w:space="0" w:color="FFFFFF"/>
              <w:right w:val="single" w:sz="8" w:space="0" w:color="FFFFFF"/>
            </w:tcBorders>
            <w:shd w:val="clear" w:color="000000" w:fill="E7EEEF"/>
            <w:vAlign w:val="center"/>
            <w:hideMark/>
          </w:tcPr>
          <w:p w14:paraId="3D91E951"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401</w:t>
            </w:r>
          </w:p>
        </w:tc>
        <w:tc>
          <w:tcPr>
            <w:tcW w:w="1455" w:type="dxa"/>
            <w:tcBorders>
              <w:top w:val="nil"/>
              <w:left w:val="nil"/>
              <w:bottom w:val="single" w:sz="8" w:space="0" w:color="FFFFFF"/>
              <w:right w:val="single" w:sz="8" w:space="0" w:color="FFFFFF"/>
            </w:tcBorders>
            <w:shd w:val="clear" w:color="000000" w:fill="E7EEEF"/>
            <w:vAlign w:val="center"/>
            <w:hideMark/>
          </w:tcPr>
          <w:p w14:paraId="21B0AD6F"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221</w:t>
            </w:r>
          </w:p>
        </w:tc>
        <w:tc>
          <w:tcPr>
            <w:tcW w:w="1455" w:type="dxa"/>
            <w:tcBorders>
              <w:top w:val="nil"/>
              <w:left w:val="nil"/>
              <w:bottom w:val="single" w:sz="8" w:space="0" w:color="FFFFFF"/>
              <w:right w:val="single" w:sz="8" w:space="0" w:color="FFFFFF"/>
            </w:tcBorders>
            <w:shd w:val="clear" w:color="000000" w:fill="E7EEEF"/>
            <w:vAlign w:val="center"/>
            <w:hideMark/>
          </w:tcPr>
          <w:p w14:paraId="11FA377F"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1,060</w:t>
            </w:r>
          </w:p>
        </w:tc>
      </w:tr>
      <w:tr w:rsidR="00656B5A" w:rsidRPr="00656B5A" w14:paraId="4687620B" w14:textId="77777777" w:rsidTr="00656B5A">
        <w:trPr>
          <w:trHeight w:val="294"/>
        </w:trPr>
        <w:tc>
          <w:tcPr>
            <w:tcW w:w="3849" w:type="dxa"/>
            <w:tcBorders>
              <w:top w:val="nil"/>
              <w:left w:val="single" w:sz="8" w:space="0" w:color="FFFFFF"/>
              <w:bottom w:val="single" w:sz="8" w:space="0" w:color="FFFFFF"/>
              <w:right w:val="single" w:sz="8" w:space="0" w:color="FFFFFF"/>
            </w:tcBorders>
            <w:shd w:val="clear" w:color="000000" w:fill="008C9B"/>
            <w:vAlign w:val="center"/>
            <w:hideMark/>
          </w:tcPr>
          <w:p w14:paraId="0BABA027" w14:textId="77777777" w:rsidR="00656B5A" w:rsidRPr="00656B5A" w:rsidRDefault="00656B5A" w:rsidP="00656B5A">
            <w:pPr>
              <w:spacing w:after="0"/>
              <w:rPr>
                <w:rFonts w:ascii="Calibri" w:eastAsia="Times New Roman" w:hAnsi="Calibri"/>
                <w:color w:val="FFFFFF"/>
                <w:sz w:val="20"/>
                <w:lang w:eastAsia="en-GB"/>
              </w:rPr>
            </w:pPr>
            <w:r w:rsidRPr="00656B5A">
              <w:rPr>
                <w:rFonts w:ascii="Calibri" w:eastAsia="Times New Roman" w:hAnsi="Calibri"/>
                <w:color w:val="FFFFFF"/>
                <w:sz w:val="20"/>
                <w:lang w:eastAsia="en-GB"/>
              </w:rPr>
              <w:t>Leisure Marine</w:t>
            </w:r>
          </w:p>
        </w:tc>
        <w:tc>
          <w:tcPr>
            <w:tcW w:w="1408" w:type="dxa"/>
            <w:tcBorders>
              <w:top w:val="nil"/>
              <w:left w:val="nil"/>
              <w:bottom w:val="single" w:sz="8" w:space="0" w:color="FFFFFF"/>
              <w:right w:val="single" w:sz="8" w:space="0" w:color="FFFFFF"/>
            </w:tcBorders>
            <w:shd w:val="clear" w:color="000000" w:fill="D0CECE"/>
            <w:vAlign w:val="center"/>
            <w:hideMark/>
          </w:tcPr>
          <w:p w14:paraId="522BA520"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25</w:t>
            </w:r>
          </w:p>
        </w:tc>
        <w:tc>
          <w:tcPr>
            <w:tcW w:w="1455" w:type="dxa"/>
            <w:tcBorders>
              <w:top w:val="nil"/>
              <w:left w:val="nil"/>
              <w:bottom w:val="single" w:sz="8" w:space="0" w:color="FFFFFF"/>
              <w:right w:val="single" w:sz="8" w:space="0" w:color="FFFFFF"/>
            </w:tcBorders>
            <w:shd w:val="clear" w:color="000000" w:fill="D0CECE"/>
            <w:vAlign w:val="center"/>
            <w:hideMark/>
          </w:tcPr>
          <w:p w14:paraId="6F6A95DD"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20</w:t>
            </w:r>
          </w:p>
        </w:tc>
        <w:tc>
          <w:tcPr>
            <w:tcW w:w="1455" w:type="dxa"/>
            <w:tcBorders>
              <w:top w:val="nil"/>
              <w:left w:val="nil"/>
              <w:bottom w:val="single" w:sz="8" w:space="0" w:color="FFFFFF"/>
              <w:right w:val="single" w:sz="8" w:space="0" w:color="FFFFFF"/>
            </w:tcBorders>
            <w:shd w:val="clear" w:color="000000" w:fill="D0CECE"/>
            <w:vAlign w:val="center"/>
            <w:hideMark/>
          </w:tcPr>
          <w:p w14:paraId="670425EF"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12</w:t>
            </w:r>
          </w:p>
        </w:tc>
        <w:tc>
          <w:tcPr>
            <w:tcW w:w="1455" w:type="dxa"/>
            <w:tcBorders>
              <w:top w:val="nil"/>
              <w:left w:val="nil"/>
              <w:bottom w:val="single" w:sz="8" w:space="0" w:color="FFFFFF"/>
              <w:right w:val="single" w:sz="8" w:space="0" w:color="FFFFFF"/>
            </w:tcBorders>
            <w:shd w:val="clear" w:color="000000" w:fill="D0CECE"/>
            <w:vAlign w:val="center"/>
            <w:hideMark/>
          </w:tcPr>
          <w:p w14:paraId="25303C55"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57</w:t>
            </w:r>
          </w:p>
        </w:tc>
      </w:tr>
      <w:tr w:rsidR="00656B5A" w:rsidRPr="00656B5A" w14:paraId="251E6AD3" w14:textId="77777777" w:rsidTr="00656B5A">
        <w:trPr>
          <w:trHeight w:val="294"/>
        </w:trPr>
        <w:tc>
          <w:tcPr>
            <w:tcW w:w="3849" w:type="dxa"/>
            <w:tcBorders>
              <w:top w:val="nil"/>
              <w:left w:val="single" w:sz="8" w:space="0" w:color="FFFFFF"/>
              <w:bottom w:val="single" w:sz="8" w:space="0" w:color="FFFFFF"/>
              <w:right w:val="single" w:sz="8" w:space="0" w:color="FFFFFF"/>
            </w:tcBorders>
            <w:shd w:val="clear" w:color="000000" w:fill="008C9B"/>
            <w:vAlign w:val="center"/>
            <w:hideMark/>
          </w:tcPr>
          <w:p w14:paraId="52C91FAE" w14:textId="77777777" w:rsidR="00656B5A" w:rsidRPr="00656B5A" w:rsidRDefault="00656B5A" w:rsidP="00656B5A">
            <w:pPr>
              <w:spacing w:after="0"/>
              <w:rPr>
                <w:rFonts w:ascii="Calibri" w:eastAsia="Times New Roman" w:hAnsi="Calibri"/>
                <w:color w:val="FFFFFF"/>
                <w:sz w:val="20"/>
                <w:lang w:eastAsia="en-GB"/>
              </w:rPr>
            </w:pPr>
            <w:r w:rsidRPr="00656B5A">
              <w:rPr>
                <w:rFonts w:ascii="Calibri" w:eastAsia="Times New Roman" w:hAnsi="Calibri"/>
                <w:color w:val="FFFFFF"/>
                <w:sz w:val="20"/>
                <w:lang w:eastAsia="en-GB"/>
              </w:rPr>
              <w:t>Marine Offshore Oil &amp; Gas</w:t>
            </w:r>
          </w:p>
        </w:tc>
        <w:tc>
          <w:tcPr>
            <w:tcW w:w="1408" w:type="dxa"/>
            <w:tcBorders>
              <w:top w:val="nil"/>
              <w:left w:val="nil"/>
              <w:bottom w:val="single" w:sz="8" w:space="0" w:color="FFFFFF"/>
              <w:right w:val="single" w:sz="8" w:space="0" w:color="FFFFFF"/>
            </w:tcBorders>
            <w:shd w:val="clear" w:color="000000" w:fill="E7EEEF"/>
            <w:vAlign w:val="center"/>
            <w:hideMark/>
          </w:tcPr>
          <w:p w14:paraId="08D12E55"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4,464</w:t>
            </w:r>
          </w:p>
        </w:tc>
        <w:tc>
          <w:tcPr>
            <w:tcW w:w="1455" w:type="dxa"/>
            <w:tcBorders>
              <w:top w:val="nil"/>
              <w:left w:val="nil"/>
              <w:bottom w:val="single" w:sz="8" w:space="0" w:color="FFFFFF"/>
              <w:right w:val="single" w:sz="8" w:space="0" w:color="FFFFFF"/>
            </w:tcBorders>
            <w:shd w:val="clear" w:color="000000" w:fill="E7EEEF"/>
            <w:vAlign w:val="center"/>
            <w:hideMark/>
          </w:tcPr>
          <w:p w14:paraId="5BEB175E"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1,597</w:t>
            </w:r>
          </w:p>
        </w:tc>
        <w:tc>
          <w:tcPr>
            <w:tcW w:w="1455" w:type="dxa"/>
            <w:tcBorders>
              <w:top w:val="nil"/>
              <w:left w:val="nil"/>
              <w:bottom w:val="single" w:sz="8" w:space="0" w:color="FFFFFF"/>
              <w:right w:val="single" w:sz="8" w:space="0" w:color="FFFFFF"/>
            </w:tcBorders>
            <w:shd w:val="clear" w:color="000000" w:fill="E7EEEF"/>
            <w:vAlign w:val="center"/>
            <w:hideMark/>
          </w:tcPr>
          <w:p w14:paraId="64EC5C98"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1,391</w:t>
            </w:r>
          </w:p>
        </w:tc>
        <w:tc>
          <w:tcPr>
            <w:tcW w:w="1455" w:type="dxa"/>
            <w:tcBorders>
              <w:top w:val="nil"/>
              <w:left w:val="nil"/>
              <w:bottom w:val="single" w:sz="8" w:space="0" w:color="FFFFFF"/>
              <w:right w:val="single" w:sz="8" w:space="0" w:color="FFFFFF"/>
            </w:tcBorders>
            <w:shd w:val="clear" w:color="000000" w:fill="E7EEEF"/>
            <w:vAlign w:val="center"/>
            <w:hideMark/>
          </w:tcPr>
          <w:p w14:paraId="5AA91F30"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7,451</w:t>
            </w:r>
          </w:p>
        </w:tc>
      </w:tr>
      <w:tr w:rsidR="00656B5A" w:rsidRPr="00656B5A" w14:paraId="58275807" w14:textId="77777777" w:rsidTr="00656B5A">
        <w:trPr>
          <w:trHeight w:val="294"/>
        </w:trPr>
        <w:tc>
          <w:tcPr>
            <w:tcW w:w="3849" w:type="dxa"/>
            <w:tcBorders>
              <w:top w:val="nil"/>
              <w:left w:val="single" w:sz="8" w:space="0" w:color="FFFFFF"/>
              <w:bottom w:val="single" w:sz="8" w:space="0" w:color="FFFFFF"/>
              <w:right w:val="single" w:sz="8" w:space="0" w:color="FFFFFF"/>
            </w:tcBorders>
            <w:shd w:val="clear" w:color="000000" w:fill="008C9B"/>
            <w:vAlign w:val="center"/>
            <w:hideMark/>
          </w:tcPr>
          <w:p w14:paraId="1AF4FA32" w14:textId="77777777" w:rsidR="00656B5A" w:rsidRPr="00656B5A" w:rsidRDefault="00656B5A" w:rsidP="00656B5A">
            <w:pPr>
              <w:spacing w:after="0"/>
              <w:rPr>
                <w:rFonts w:ascii="Calibri" w:eastAsia="Times New Roman" w:hAnsi="Calibri"/>
                <w:color w:val="FFFFFF"/>
                <w:sz w:val="20"/>
                <w:lang w:eastAsia="en-GB"/>
              </w:rPr>
            </w:pPr>
            <w:r w:rsidRPr="00656B5A">
              <w:rPr>
                <w:rFonts w:ascii="Calibri" w:eastAsia="Times New Roman" w:hAnsi="Calibri"/>
                <w:color w:val="FFFFFF"/>
                <w:sz w:val="20"/>
                <w:lang w:eastAsia="en-GB"/>
              </w:rPr>
              <w:t>Other Marine Engineering</w:t>
            </w:r>
          </w:p>
        </w:tc>
        <w:tc>
          <w:tcPr>
            <w:tcW w:w="1408" w:type="dxa"/>
            <w:tcBorders>
              <w:top w:val="nil"/>
              <w:left w:val="nil"/>
              <w:bottom w:val="single" w:sz="8" w:space="0" w:color="FFFFFF"/>
              <w:right w:val="single" w:sz="8" w:space="0" w:color="FFFFFF"/>
            </w:tcBorders>
            <w:shd w:val="clear" w:color="000000" w:fill="D0CECE"/>
            <w:vAlign w:val="center"/>
            <w:hideMark/>
          </w:tcPr>
          <w:p w14:paraId="432F05F6"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2,479</w:t>
            </w:r>
          </w:p>
        </w:tc>
        <w:tc>
          <w:tcPr>
            <w:tcW w:w="1455" w:type="dxa"/>
            <w:tcBorders>
              <w:top w:val="nil"/>
              <w:left w:val="nil"/>
              <w:bottom w:val="single" w:sz="8" w:space="0" w:color="FFFFFF"/>
              <w:right w:val="single" w:sz="8" w:space="0" w:color="FFFFFF"/>
            </w:tcBorders>
            <w:shd w:val="clear" w:color="000000" w:fill="D0CECE"/>
            <w:vAlign w:val="center"/>
            <w:hideMark/>
          </w:tcPr>
          <w:p w14:paraId="7E04983D"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1,874</w:t>
            </w:r>
          </w:p>
        </w:tc>
        <w:tc>
          <w:tcPr>
            <w:tcW w:w="1455" w:type="dxa"/>
            <w:tcBorders>
              <w:top w:val="nil"/>
              <w:left w:val="nil"/>
              <w:bottom w:val="single" w:sz="8" w:space="0" w:color="FFFFFF"/>
              <w:right w:val="single" w:sz="8" w:space="0" w:color="FFFFFF"/>
            </w:tcBorders>
            <w:shd w:val="clear" w:color="000000" w:fill="D0CECE"/>
            <w:vAlign w:val="center"/>
            <w:hideMark/>
          </w:tcPr>
          <w:p w14:paraId="11514F41"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1,128</w:t>
            </w:r>
          </w:p>
        </w:tc>
        <w:tc>
          <w:tcPr>
            <w:tcW w:w="1455" w:type="dxa"/>
            <w:tcBorders>
              <w:top w:val="nil"/>
              <w:left w:val="nil"/>
              <w:bottom w:val="single" w:sz="8" w:space="0" w:color="FFFFFF"/>
              <w:right w:val="single" w:sz="8" w:space="0" w:color="FFFFFF"/>
            </w:tcBorders>
            <w:shd w:val="clear" w:color="000000" w:fill="D0CECE"/>
            <w:vAlign w:val="center"/>
            <w:hideMark/>
          </w:tcPr>
          <w:p w14:paraId="775A2416"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5,481</w:t>
            </w:r>
          </w:p>
        </w:tc>
      </w:tr>
      <w:tr w:rsidR="00656B5A" w:rsidRPr="00656B5A" w14:paraId="475D6296" w14:textId="77777777" w:rsidTr="00656B5A">
        <w:trPr>
          <w:trHeight w:val="294"/>
        </w:trPr>
        <w:tc>
          <w:tcPr>
            <w:tcW w:w="3849" w:type="dxa"/>
            <w:tcBorders>
              <w:top w:val="nil"/>
              <w:left w:val="single" w:sz="8" w:space="0" w:color="FFFFFF"/>
              <w:bottom w:val="single" w:sz="8" w:space="0" w:color="FFFFFF"/>
              <w:right w:val="single" w:sz="8" w:space="0" w:color="FFFFFF"/>
            </w:tcBorders>
            <w:shd w:val="clear" w:color="000000" w:fill="008C9B"/>
            <w:vAlign w:val="center"/>
            <w:hideMark/>
          </w:tcPr>
          <w:p w14:paraId="7868DE14" w14:textId="77777777" w:rsidR="00656B5A" w:rsidRPr="00656B5A" w:rsidRDefault="00656B5A" w:rsidP="00656B5A">
            <w:pPr>
              <w:spacing w:after="0"/>
              <w:rPr>
                <w:rFonts w:ascii="Calibri" w:eastAsia="Times New Roman" w:hAnsi="Calibri"/>
                <w:color w:val="FFFFFF"/>
                <w:sz w:val="20"/>
                <w:lang w:eastAsia="en-GB"/>
              </w:rPr>
            </w:pPr>
            <w:r w:rsidRPr="00656B5A">
              <w:rPr>
                <w:rFonts w:ascii="Calibri" w:eastAsia="Times New Roman" w:hAnsi="Calibri"/>
                <w:color w:val="FFFFFF"/>
                <w:sz w:val="20"/>
                <w:lang w:eastAsia="en-GB"/>
              </w:rPr>
              <w:t>Maritime Business Services</w:t>
            </w:r>
          </w:p>
        </w:tc>
        <w:tc>
          <w:tcPr>
            <w:tcW w:w="1408" w:type="dxa"/>
            <w:tcBorders>
              <w:top w:val="nil"/>
              <w:left w:val="nil"/>
              <w:bottom w:val="single" w:sz="8" w:space="0" w:color="FFFFFF"/>
              <w:right w:val="single" w:sz="8" w:space="0" w:color="FFFFFF"/>
            </w:tcBorders>
            <w:shd w:val="clear" w:color="000000" w:fill="E7EEEF"/>
            <w:vAlign w:val="center"/>
            <w:hideMark/>
          </w:tcPr>
          <w:p w14:paraId="6A1CA7CA"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130</w:t>
            </w:r>
          </w:p>
        </w:tc>
        <w:tc>
          <w:tcPr>
            <w:tcW w:w="1455" w:type="dxa"/>
            <w:tcBorders>
              <w:top w:val="nil"/>
              <w:left w:val="nil"/>
              <w:bottom w:val="single" w:sz="8" w:space="0" w:color="FFFFFF"/>
              <w:right w:val="single" w:sz="8" w:space="0" w:color="FFFFFF"/>
            </w:tcBorders>
            <w:shd w:val="clear" w:color="000000" w:fill="E7EEEF"/>
            <w:vAlign w:val="center"/>
            <w:hideMark/>
          </w:tcPr>
          <w:p w14:paraId="685DDA67"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99</w:t>
            </w:r>
          </w:p>
        </w:tc>
        <w:tc>
          <w:tcPr>
            <w:tcW w:w="1455" w:type="dxa"/>
            <w:tcBorders>
              <w:top w:val="nil"/>
              <w:left w:val="nil"/>
              <w:bottom w:val="single" w:sz="8" w:space="0" w:color="FFFFFF"/>
              <w:right w:val="single" w:sz="8" w:space="0" w:color="FFFFFF"/>
            </w:tcBorders>
            <w:shd w:val="clear" w:color="000000" w:fill="E7EEEF"/>
            <w:vAlign w:val="center"/>
            <w:hideMark/>
          </w:tcPr>
          <w:p w14:paraId="7390A271"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49</w:t>
            </w:r>
          </w:p>
        </w:tc>
        <w:tc>
          <w:tcPr>
            <w:tcW w:w="1455" w:type="dxa"/>
            <w:tcBorders>
              <w:top w:val="nil"/>
              <w:left w:val="nil"/>
              <w:bottom w:val="single" w:sz="8" w:space="0" w:color="FFFFFF"/>
              <w:right w:val="single" w:sz="8" w:space="0" w:color="FFFFFF"/>
            </w:tcBorders>
            <w:shd w:val="clear" w:color="000000" w:fill="E7EEEF"/>
            <w:vAlign w:val="center"/>
            <w:hideMark/>
          </w:tcPr>
          <w:p w14:paraId="0EB4C104" w14:textId="77777777" w:rsidR="00656B5A" w:rsidRPr="00656B5A" w:rsidRDefault="00656B5A" w:rsidP="00656B5A">
            <w:pPr>
              <w:spacing w:after="0"/>
              <w:jc w:val="center"/>
              <w:rPr>
                <w:rFonts w:ascii="Calibri" w:eastAsia="Times New Roman" w:hAnsi="Calibri"/>
                <w:color w:val="000000"/>
                <w:sz w:val="20"/>
                <w:lang w:eastAsia="en-GB"/>
              </w:rPr>
            </w:pPr>
            <w:r w:rsidRPr="00656B5A">
              <w:rPr>
                <w:rFonts w:ascii="Calibri" w:eastAsia="Times New Roman" w:hAnsi="Calibri"/>
                <w:color w:val="000000"/>
                <w:sz w:val="20"/>
                <w:lang w:eastAsia="en-GB"/>
              </w:rPr>
              <w:t>278</w:t>
            </w:r>
          </w:p>
        </w:tc>
      </w:tr>
    </w:tbl>
    <w:p w14:paraId="656FDEF1" w14:textId="2DD20C3E" w:rsidR="00FE1315" w:rsidRPr="00037501" w:rsidRDefault="00AC126A" w:rsidP="001664DA">
      <w:pPr>
        <w:spacing w:before="60" w:after="120"/>
        <w:jc w:val="right"/>
        <w:rPr>
          <w:rStyle w:val="SubtleEmphasis"/>
          <w:i w:val="0"/>
          <w:iCs w:val="0"/>
          <w:sz w:val="18"/>
        </w:rPr>
      </w:pPr>
      <w:r w:rsidRPr="00520FF4">
        <w:rPr>
          <w:rStyle w:val="SubtleEmphasis"/>
          <w:sz w:val="18"/>
        </w:rPr>
        <w:t>Source: ONS, FAME, Cebr analysis</w:t>
      </w:r>
    </w:p>
    <w:p w14:paraId="110D234F" w14:textId="7C5C300F" w:rsidR="00666B38" w:rsidRDefault="000D4724" w:rsidP="0020626A">
      <w:pPr>
        <w:spacing w:after="120"/>
      </w:pPr>
      <w:r>
        <w:fldChar w:fldCharType="begin"/>
      </w:r>
      <w:r>
        <w:instrText xml:space="preserve"> REF _Ref16685543 \h </w:instrText>
      </w:r>
      <w:r>
        <w:fldChar w:fldCharType="separate"/>
      </w:r>
      <w:r>
        <w:t xml:space="preserve">Table </w:t>
      </w:r>
      <w:r>
        <w:rPr>
          <w:noProof/>
        </w:rPr>
        <w:t>11</w:t>
      </w:r>
      <w:r>
        <w:fldChar w:fldCharType="end"/>
      </w:r>
      <w:r>
        <w:t xml:space="preserve"> </w:t>
      </w:r>
      <w:r w:rsidR="0020626A">
        <w:t xml:space="preserve">below shows the estimated direct and </w:t>
      </w:r>
      <w:r w:rsidR="00CC6B0B">
        <w:t>aggregate economic</w:t>
      </w:r>
      <w:r w:rsidR="0072480F">
        <w:t xml:space="preserve"> impacts of the Maritime S</w:t>
      </w:r>
      <w:r w:rsidR="0020626A">
        <w:t>ector in Scotlan</w:t>
      </w:r>
      <w:r w:rsidR="0072480F">
        <w:t>d across the years 2010 and 2017</w:t>
      </w:r>
      <w:r w:rsidR="0020626A">
        <w:t>.</w:t>
      </w:r>
      <w:r w:rsidR="00666B38">
        <w:t xml:space="preserve"> As illustrated, both th</w:t>
      </w:r>
      <w:r w:rsidR="0072480F">
        <w:t>e direct and aggregate impacts are significantly higher in 2017 compared to 2010</w:t>
      </w:r>
      <w:r w:rsidR="00666B38">
        <w:t>.</w:t>
      </w:r>
      <w:r w:rsidR="0072480F">
        <w:t xml:space="preserve"> However, the direct and aggregate impact peaked in 2014. </w:t>
      </w:r>
      <w:r w:rsidR="00666B38">
        <w:t>The composite turnover multiplier remained relative</w:t>
      </w:r>
      <w:r w:rsidR="00D0202B">
        <w:t>ly</w:t>
      </w:r>
      <w:r w:rsidR="00666B38">
        <w:t xml:space="preserve"> stable</w:t>
      </w:r>
      <w:r w:rsidR="0072480F">
        <w:t xml:space="preserve"> across all years. </w:t>
      </w:r>
    </w:p>
    <w:p w14:paraId="2DBE7B02" w14:textId="5C18E439" w:rsidR="0020626A" w:rsidRDefault="000D4724" w:rsidP="000D4724">
      <w:pPr>
        <w:pStyle w:val="Caption"/>
      </w:pPr>
      <w:bookmarkStart w:id="92" w:name="_Ref16685543"/>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11</w:t>
      </w:r>
      <w:r w:rsidR="00BF1DE1">
        <w:rPr>
          <w:noProof/>
        </w:rPr>
        <w:fldChar w:fldCharType="end"/>
      </w:r>
      <w:bookmarkEnd w:id="92"/>
      <w:r w:rsidR="0020626A">
        <w:t xml:space="preserve">: Direct and </w:t>
      </w:r>
      <w:r w:rsidR="00CC6B0B">
        <w:t>Aggregate turnover</w:t>
      </w:r>
      <w:r w:rsidR="003322DE">
        <w:t xml:space="preserve"> </w:t>
      </w:r>
      <w:r w:rsidR="0020626A" w:rsidRPr="00380889">
        <w:t xml:space="preserve">impact of the Maritime </w:t>
      </w:r>
      <w:r w:rsidR="00650683">
        <w:t>S</w:t>
      </w:r>
      <w:r w:rsidR="0072480F">
        <w:t>ector in Scotland, 2010 to 2017</w:t>
      </w:r>
      <w:r w:rsidR="003322DE">
        <w:t>, £ million</w:t>
      </w:r>
    </w:p>
    <w:tbl>
      <w:tblPr>
        <w:tblW w:w="9515" w:type="dxa"/>
        <w:tblLook w:val="04A0" w:firstRow="1" w:lastRow="0" w:firstColumn="1" w:lastColumn="0" w:noHBand="0" w:noVBand="1"/>
      </w:tblPr>
      <w:tblGrid>
        <w:gridCol w:w="871"/>
        <w:gridCol w:w="2638"/>
        <w:gridCol w:w="3167"/>
        <w:gridCol w:w="2839"/>
      </w:tblGrid>
      <w:tr w:rsidR="0072480F" w:rsidRPr="0072480F" w14:paraId="5DF5F2E1" w14:textId="77777777" w:rsidTr="0072480F">
        <w:trPr>
          <w:trHeight w:val="452"/>
        </w:trPr>
        <w:tc>
          <w:tcPr>
            <w:tcW w:w="871" w:type="dxa"/>
            <w:tcBorders>
              <w:top w:val="nil"/>
              <w:left w:val="single" w:sz="8" w:space="0" w:color="FFFFFF"/>
              <w:bottom w:val="single" w:sz="8" w:space="0" w:color="FFFFFF"/>
              <w:right w:val="single" w:sz="8" w:space="0" w:color="FFFFFF"/>
            </w:tcBorders>
            <w:shd w:val="clear" w:color="000000" w:fill="008C9B"/>
            <w:vAlign w:val="center"/>
            <w:hideMark/>
          </w:tcPr>
          <w:p w14:paraId="72C6B015" w14:textId="77777777" w:rsidR="0072480F" w:rsidRPr="0072480F" w:rsidRDefault="0072480F" w:rsidP="0072480F">
            <w:pPr>
              <w:spacing w:after="0"/>
              <w:rPr>
                <w:rFonts w:ascii="Calibri" w:eastAsia="Times New Roman" w:hAnsi="Calibri"/>
                <w:color w:val="FFFFFF"/>
                <w:sz w:val="20"/>
                <w:lang w:eastAsia="en-GB"/>
              </w:rPr>
            </w:pPr>
            <w:r w:rsidRPr="0072480F">
              <w:rPr>
                <w:rFonts w:ascii="Calibri" w:eastAsia="Times New Roman" w:hAnsi="Calibri"/>
                <w:color w:val="FFFFFF"/>
                <w:sz w:val="20"/>
                <w:lang w:eastAsia="en-GB"/>
              </w:rPr>
              <w:t>Year</w:t>
            </w:r>
          </w:p>
        </w:tc>
        <w:tc>
          <w:tcPr>
            <w:tcW w:w="2638" w:type="dxa"/>
            <w:tcBorders>
              <w:top w:val="single" w:sz="8" w:space="0" w:color="FFFFFF"/>
              <w:left w:val="nil"/>
              <w:bottom w:val="single" w:sz="12" w:space="0" w:color="FFFFFF"/>
              <w:right w:val="single" w:sz="8" w:space="0" w:color="FFFFFF"/>
            </w:tcBorders>
            <w:shd w:val="clear" w:color="000000" w:fill="008C9B"/>
            <w:vAlign w:val="center"/>
            <w:hideMark/>
          </w:tcPr>
          <w:p w14:paraId="4B5E04D2" w14:textId="77777777" w:rsidR="0072480F" w:rsidRPr="0072480F" w:rsidRDefault="0072480F" w:rsidP="0072480F">
            <w:pPr>
              <w:spacing w:after="0"/>
              <w:jc w:val="center"/>
              <w:rPr>
                <w:rFonts w:ascii="Calibri" w:eastAsia="Times New Roman" w:hAnsi="Calibri"/>
                <w:b/>
                <w:bCs/>
                <w:color w:val="FFFFFF"/>
                <w:sz w:val="20"/>
                <w:lang w:eastAsia="en-GB"/>
              </w:rPr>
            </w:pPr>
            <w:r w:rsidRPr="0072480F">
              <w:rPr>
                <w:rFonts w:ascii="Calibri" w:eastAsia="Times New Roman" w:hAnsi="Calibri"/>
                <w:b/>
                <w:bCs/>
                <w:color w:val="FFFFFF"/>
                <w:sz w:val="20"/>
                <w:lang w:eastAsia="en-GB"/>
              </w:rPr>
              <w:t>Direct Impact</w:t>
            </w:r>
          </w:p>
        </w:tc>
        <w:tc>
          <w:tcPr>
            <w:tcW w:w="3167" w:type="dxa"/>
            <w:tcBorders>
              <w:top w:val="single" w:sz="8" w:space="0" w:color="FFFFFF"/>
              <w:left w:val="nil"/>
              <w:bottom w:val="single" w:sz="12" w:space="0" w:color="FFFFFF"/>
              <w:right w:val="single" w:sz="8" w:space="0" w:color="FFFFFF"/>
            </w:tcBorders>
            <w:shd w:val="clear" w:color="000000" w:fill="008C9B"/>
            <w:vAlign w:val="center"/>
            <w:hideMark/>
          </w:tcPr>
          <w:p w14:paraId="70EBDB68" w14:textId="77777777" w:rsidR="0072480F" w:rsidRPr="0072480F" w:rsidRDefault="0072480F" w:rsidP="0072480F">
            <w:pPr>
              <w:spacing w:after="0"/>
              <w:jc w:val="center"/>
              <w:rPr>
                <w:rFonts w:ascii="Calibri" w:eastAsia="Times New Roman" w:hAnsi="Calibri"/>
                <w:b/>
                <w:bCs/>
                <w:color w:val="FFFFFF"/>
                <w:sz w:val="20"/>
                <w:lang w:eastAsia="en-GB"/>
              </w:rPr>
            </w:pPr>
            <w:r w:rsidRPr="0072480F">
              <w:rPr>
                <w:rFonts w:ascii="Calibri" w:eastAsia="Times New Roman" w:hAnsi="Calibri"/>
                <w:b/>
                <w:bCs/>
                <w:color w:val="FFFFFF"/>
                <w:sz w:val="20"/>
                <w:lang w:eastAsia="en-GB"/>
              </w:rPr>
              <w:t>Composite domestic output multiplier</w:t>
            </w:r>
          </w:p>
        </w:tc>
        <w:tc>
          <w:tcPr>
            <w:tcW w:w="2839" w:type="dxa"/>
            <w:tcBorders>
              <w:top w:val="single" w:sz="8" w:space="0" w:color="FFFFFF"/>
              <w:left w:val="nil"/>
              <w:bottom w:val="single" w:sz="12" w:space="0" w:color="FFFFFF"/>
              <w:right w:val="single" w:sz="8" w:space="0" w:color="FFFFFF"/>
            </w:tcBorders>
            <w:shd w:val="clear" w:color="000000" w:fill="008C9B"/>
            <w:vAlign w:val="center"/>
            <w:hideMark/>
          </w:tcPr>
          <w:p w14:paraId="234D0CEF" w14:textId="77777777" w:rsidR="0072480F" w:rsidRPr="0072480F" w:rsidRDefault="0072480F" w:rsidP="0072480F">
            <w:pPr>
              <w:spacing w:after="0"/>
              <w:jc w:val="center"/>
              <w:rPr>
                <w:rFonts w:ascii="Calibri" w:eastAsia="Times New Roman" w:hAnsi="Calibri"/>
                <w:b/>
                <w:bCs/>
                <w:color w:val="FFFFFF"/>
                <w:sz w:val="20"/>
                <w:lang w:eastAsia="en-GB"/>
              </w:rPr>
            </w:pPr>
            <w:r w:rsidRPr="0072480F">
              <w:rPr>
                <w:rFonts w:ascii="Calibri" w:eastAsia="Times New Roman" w:hAnsi="Calibri"/>
                <w:b/>
                <w:bCs/>
                <w:color w:val="FFFFFF"/>
                <w:sz w:val="20"/>
                <w:lang w:eastAsia="en-GB"/>
              </w:rPr>
              <w:t>Aggregate impact</w:t>
            </w:r>
          </w:p>
        </w:tc>
      </w:tr>
      <w:tr w:rsidR="0072480F" w:rsidRPr="0072480F" w14:paraId="0F1BF92A" w14:textId="77777777" w:rsidTr="0072480F">
        <w:trPr>
          <w:trHeight w:val="284"/>
        </w:trPr>
        <w:tc>
          <w:tcPr>
            <w:tcW w:w="871" w:type="dxa"/>
            <w:tcBorders>
              <w:top w:val="nil"/>
              <w:left w:val="single" w:sz="8" w:space="0" w:color="FFFFFF"/>
              <w:bottom w:val="single" w:sz="8" w:space="0" w:color="FFFFFF"/>
              <w:right w:val="single" w:sz="8" w:space="0" w:color="FFFFFF"/>
            </w:tcBorders>
            <w:shd w:val="clear" w:color="000000" w:fill="008C9B"/>
            <w:vAlign w:val="center"/>
            <w:hideMark/>
          </w:tcPr>
          <w:p w14:paraId="3F739B92" w14:textId="77777777" w:rsidR="0072480F" w:rsidRPr="0072480F" w:rsidRDefault="0072480F" w:rsidP="0072480F">
            <w:pPr>
              <w:spacing w:after="0"/>
              <w:rPr>
                <w:rFonts w:ascii="Calibri" w:eastAsia="Times New Roman" w:hAnsi="Calibri"/>
                <w:color w:val="FFFFFF"/>
                <w:sz w:val="20"/>
                <w:lang w:eastAsia="en-GB"/>
              </w:rPr>
            </w:pPr>
            <w:r w:rsidRPr="0072480F">
              <w:rPr>
                <w:rFonts w:ascii="Calibri" w:eastAsia="Times New Roman" w:hAnsi="Calibri"/>
                <w:color w:val="FFFFFF"/>
                <w:sz w:val="20"/>
                <w:lang w:eastAsia="en-GB"/>
              </w:rPr>
              <w:t>2010</w:t>
            </w:r>
          </w:p>
        </w:tc>
        <w:tc>
          <w:tcPr>
            <w:tcW w:w="2638" w:type="dxa"/>
            <w:tcBorders>
              <w:top w:val="nil"/>
              <w:left w:val="nil"/>
              <w:bottom w:val="single" w:sz="8" w:space="0" w:color="FFFFFF"/>
              <w:right w:val="single" w:sz="8" w:space="0" w:color="FFFFFF"/>
            </w:tcBorders>
            <w:shd w:val="clear" w:color="000000" w:fill="E7EEEF"/>
            <w:vAlign w:val="center"/>
            <w:hideMark/>
          </w:tcPr>
          <w:p w14:paraId="51241737"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7,988</w:t>
            </w:r>
          </w:p>
        </w:tc>
        <w:tc>
          <w:tcPr>
            <w:tcW w:w="3167" w:type="dxa"/>
            <w:tcBorders>
              <w:top w:val="nil"/>
              <w:left w:val="nil"/>
              <w:bottom w:val="single" w:sz="8" w:space="0" w:color="FFFFFF"/>
              <w:right w:val="single" w:sz="8" w:space="0" w:color="FFFFFF"/>
            </w:tcBorders>
            <w:shd w:val="clear" w:color="000000" w:fill="E7EEEF"/>
            <w:vAlign w:val="center"/>
            <w:hideMark/>
          </w:tcPr>
          <w:p w14:paraId="709B7763"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1.93</w:t>
            </w:r>
          </w:p>
        </w:tc>
        <w:tc>
          <w:tcPr>
            <w:tcW w:w="2839" w:type="dxa"/>
            <w:tcBorders>
              <w:top w:val="nil"/>
              <w:left w:val="nil"/>
              <w:bottom w:val="single" w:sz="8" w:space="0" w:color="FFFFFF"/>
              <w:right w:val="single" w:sz="8" w:space="0" w:color="FFFFFF"/>
            </w:tcBorders>
            <w:shd w:val="clear" w:color="000000" w:fill="E7EEEF"/>
            <w:vAlign w:val="center"/>
            <w:hideMark/>
          </w:tcPr>
          <w:p w14:paraId="17400C13"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15,442</w:t>
            </w:r>
          </w:p>
        </w:tc>
      </w:tr>
      <w:tr w:rsidR="0072480F" w:rsidRPr="0072480F" w14:paraId="4541DDD9" w14:textId="77777777" w:rsidTr="0072480F">
        <w:trPr>
          <w:trHeight w:val="271"/>
        </w:trPr>
        <w:tc>
          <w:tcPr>
            <w:tcW w:w="871" w:type="dxa"/>
            <w:tcBorders>
              <w:top w:val="nil"/>
              <w:left w:val="single" w:sz="8" w:space="0" w:color="FFFFFF"/>
              <w:bottom w:val="single" w:sz="8" w:space="0" w:color="FFFFFF"/>
              <w:right w:val="single" w:sz="8" w:space="0" w:color="FFFFFF"/>
            </w:tcBorders>
            <w:shd w:val="clear" w:color="000000" w:fill="008C9B"/>
            <w:vAlign w:val="center"/>
            <w:hideMark/>
          </w:tcPr>
          <w:p w14:paraId="3F3285F1" w14:textId="77777777" w:rsidR="0072480F" w:rsidRPr="0072480F" w:rsidRDefault="0072480F" w:rsidP="0072480F">
            <w:pPr>
              <w:spacing w:after="0"/>
              <w:rPr>
                <w:rFonts w:ascii="Calibri" w:eastAsia="Times New Roman" w:hAnsi="Calibri"/>
                <w:color w:val="FFFFFF"/>
                <w:sz w:val="20"/>
                <w:lang w:eastAsia="en-GB"/>
              </w:rPr>
            </w:pPr>
            <w:r w:rsidRPr="0072480F">
              <w:rPr>
                <w:rFonts w:ascii="Calibri" w:eastAsia="Times New Roman" w:hAnsi="Calibri"/>
                <w:color w:val="FFFFFF"/>
                <w:sz w:val="20"/>
                <w:lang w:eastAsia="en-GB"/>
              </w:rPr>
              <w:t>2011</w:t>
            </w:r>
          </w:p>
        </w:tc>
        <w:tc>
          <w:tcPr>
            <w:tcW w:w="2638" w:type="dxa"/>
            <w:tcBorders>
              <w:top w:val="nil"/>
              <w:left w:val="nil"/>
              <w:bottom w:val="single" w:sz="8" w:space="0" w:color="FFFFFF"/>
              <w:right w:val="single" w:sz="8" w:space="0" w:color="FFFFFF"/>
            </w:tcBorders>
            <w:shd w:val="clear" w:color="000000" w:fill="D0CECE"/>
            <w:vAlign w:val="center"/>
            <w:hideMark/>
          </w:tcPr>
          <w:p w14:paraId="1049458C"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8,303</w:t>
            </w:r>
          </w:p>
        </w:tc>
        <w:tc>
          <w:tcPr>
            <w:tcW w:w="3167" w:type="dxa"/>
            <w:tcBorders>
              <w:top w:val="nil"/>
              <w:left w:val="nil"/>
              <w:bottom w:val="single" w:sz="8" w:space="0" w:color="FFFFFF"/>
              <w:right w:val="single" w:sz="8" w:space="0" w:color="FFFFFF"/>
            </w:tcBorders>
            <w:shd w:val="clear" w:color="000000" w:fill="D0CECE"/>
            <w:vAlign w:val="center"/>
            <w:hideMark/>
          </w:tcPr>
          <w:p w14:paraId="65FDBAEA"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1.95</w:t>
            </w:r>
          </w:p>
        </w:tc>
        <w:tc>
          <w:tcPr>
            <w:tcW w:w="2839" w:type="dxa"/>
            <w:tcBorders>
              <w:top w:val="nil"/>
              <w:left w:val="nil"/>
              <w:bottom w:val="single" w:sz="8" w:space="0" w:color="FFFFFF"/>
              <w:right w:val="single" w:sz="8" w:space="0" w:color="FFFFFF"/>
            </w:tcBorders>
            <w:shd w:val="clear" w:color="000000" w:fill="D0CECE"/>
            <w:vAlign w:val="center"/>
            <w:hideMark/>
          </w:tcPr>
          <w:p w14:paraId="51F87F8B"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16,228</w:t>
            </w:r>
          </w:p>
        </w:tc>
      </w:tr>
      <w:tr w:rsidR="0072480F" w:rsidRPr="0072480F" w14:paraId="2A2F8F00" w14:textId="77777777" w:rsidTr="0072480F">
        <w:trPr>
          <w:trHeight w:val="271"/>
        </w:trPr>
        <w:tc>
          <w:tcPr>
            <w:tcW w:w="871" w:type="dxa"/>
            <w:tcBorders>
              <w:top w:val="nil"/>
              <w:left w:val="single" w:sz="8" w:space="0" w:color="FFFFFF"/>
              <w:bottom w:val="single" w:sz="8" w:space="0" w:color="FFFFFF"/>
              <w:right w:val="single" w:sz="8" w:space="0" w:color="FFFFFF"/>
            </w:tcBorders>
            <w:shd w:val="clear" w:color="000000" w:fill="008C9B"/>
            <w:vAlign w:val="center"/>
            <w:hideMark/>
          </w:tcPr>
          <w:p w14:paraId="0AE8AC52" w14:textId="77777777" w:rsidR="0072480F" w:rsidRPr="0072480F" w:rsidRDefault="0072480F" w:rsidP="0072480F">
            <w:pPr>
              <w:spacing w:after="0"/>
              <w:rPr>
                <w:rFonts w:ascii="Calibri" w:eastAsia="Times New Roman" w:hAnsi="Calibri"/>
                <w:color w:val="FFFFFF"/>
                <w:sz w:val="20"/>
                <w:lang w:eastAsia="en-GB"/>
              </w:rPr>
            </w:pPr>
            <w:r w:rsidRPr="0072480F">
              <w:rPr>
                <w:rFonts w:ascii="Calibri" w:eastAsia="Times New Roman" w:hAnsi="Calibri"/>
                <w:color w:val="FFFFFF"/>
                <w:sz w:val="20"/>
                <w:lang w:eastAsia="en-GB"/>
              </w:rPr>
              <w:t>2012</w:t>
            </w:r>
          </w:p>
        </w:tc>
        <w:tc>
          <w:tcPr>
            <w:tcW w:w="2638" w:type="dxa"/>
            <w:tcBorders>
              <w:top w:val="nil"/>
              <w:left w:val="nil"/>
              <w:bottom w:val="single" w:sz="8" w:space="0" w:color="FFFFFF"/>
              <w:right w:val="single" w:sz="8" w:space="0" w:color="FFFFFF"/>
            </w:tcBorders>
            <w:shd w:val="clear" w:color="000000" w:fill="E7EEEF"/>
            <w:vAlign w:val="center"/>
            <w:hideMark/>
          </w:tcPr>
          <w:p w14:paraId="1B277B24"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8,849</w:t>
            </w:r>
          </w:p>
        </w:tc>
        <w:tc>
          <w:tcPr>
            <w:tcW w:w="3167" w:type="dxa"/>
            <w:tcBorders>
              <w:top w:val="nil"/>
              <w:left w:val="nil"/>
              <w:bottom w:val="single" w:sz="8" w:space="0" w:color="FFFFFF"/>
              <w:right w:val="single" w:sz="8" w:space="0" w:color="FFFFFF"/>
            </w:tcBorders>
            <w:shd w:val="clear" w:color="000000" w:fill="E7EEEF"/>
            <w:vAlign w:val="center"/>
            <w:hideMark/>
          </w:tcPr>
          <w:p w14:paraId="54ABD424"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1.94</w:t>
            </w:r>
          </w:p>
        </w:tc>
        <w:tc>
          <w:tcPr>
            <w:tcW w:w="2839" w:type="dxa"/>
            <w:tcBorders>
              <w:top w:val="nil"/>
              <w:left w:val="nil"/>
              <w:bottom w:val="single" w:sz="8" w:space="0" w:color="FFFFFF"/>
              <w:right w:val="single" w:sz="8" w:space="0" w:color="FFFFFF"/>
            </w:tcBorders>
            <w:shd w:val="clear" w:color="000000" w:fill="E7EEEF"/>
            <w:vAlign w:val="center"/>
            <w:hideMark/>
          </w:tcPr>
          <w:p w14:paraId="5EF64E88"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17,195</w:t>
            </w:r>
          </w:p>
        </w:tc>
      </w:tr>
      <w:tr w:rsidR="0072480F" w:rsidRPr="0072480F" w14:paraId="042C4308" w14:textId="77777777" w:rsidTr="0072480F">
        <w:trPr>
          <w:trHeight w:val="271"/>
        </w:trPr>
        <w:tc>
          <w:tcPr>
            <w:tcW w:w="871" w:type="dxa"/>
            <w:tcBorders>
              <w:top w:val="nil"/>
              <w:left w:val="single" w:sz="8" w:space="0" w:color="FFFFFF"/>
              <w:bottom w:val="single" w:sz="8" w:space="0" w:color="FFFFFF"/>
              <w:right w:val="single" w:sz="8" w:space="0" w:color="FFFFFF"/>
            </w:tcBorders>
            <w:shd w:val="clear" w:color="000000" w:fill="008C9B"/>
            <w:vAlign w:val="center"/>
            <w:hideMark/>
          </w:tcPr>
          <w:p w14:paraId="7D8DB36F" w14:textId="77777777" w:rsidR="0072480F" w:rsidRPr="0072480F" w:rsidRDefault="0072480F" w:rsidP="0072480F">
            <w:pPr>
              <w:spacing w:after="0"/>
              <w:rPr>
                <w:rFonts w:ascii="Calibri" w:eastAsia="Times New Roman" w:hAnsi="Calibri"/>
                <w:color w:val="FFFFFF"/>
                <w:sz w:val="20"/>
                <w:lang w:eastAsia="en-GB"/>
              </w:rPr>
            </w:pPr>
            <w:r w:rsidRPr="0072480F">
              <w:rPr>
                <w:rFonts w:ascii="Calibri" w:eastAsia="Times New Roman" w:hAnsi="Calibri"/>
                <w:color w:val="FFFFFF"/>
                <w:sz w:val="20"/>
                <w:lang w:eastAsia="en-GB"/>
              </w:rPr>
              <w:t>2013</w:t>
            </w:r>
          </w:p>
        </w:tc>
        <w:tc>
          <w:tcPr>
            <w:tcW w:w="2638" w:type="dxa"/>
            <w:tcBorders>
              <w:top w:val="nil"/>
              <w:left w:val="nil"/>
              <w:bottom w:val="single" w:sz="8" w:space="0" w:color="FFFFFF"/>
              <w:right w:val="single" w:sz="8" w:space="0" w:color="FFFFFF"/>
            </w:tcBorders>
            <w:shd w:val="clear" w:color="000000" w:fill="D0CECE"/>
            <w:vAlign w:val="center"/>
            <w:hideMark/>
          </w:tcPr>
          <w:p w14:paraId="4029B19E"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10,241</w:t>
            </w:r>
          </w:p>
        </w:tc>
        <w:tc>
          <w:tcPr>
            <w:tcW w:w="3167" w:type="dxa"/>
            <w:tcBorders>
              <w:top w:val="nil"/>
              <w:left w:val="nil"/>
              <w:bottom w:val="single" w:sz="8" w:space="0" w:color="FFFFFF"/>
              <w:right w:val="single" w:sz="8" w:space="0" w:color="FFFFFF"/>
            </w:tcBorders>
            <w:shd w:val="clear" w:color="000000" w:fill="D0CECE"/>
            <w:vAlign w:val="center"/>
            <w:hideMark/>
          </w:tcPr>
          <w:p w14:paraId="1A8FE3D3"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1.97</w:t>
            </w:r>
          </w:p>
        </w:tc>
        <w:tc>
          <w:tcPr>
            <w:tcW w:w="2839" w:type="dxa"/>
            <w:tcBorders>
              <w:top w:val="nil"/>
              <w:left w:val="nil"/>
              <w:bottom w:val="single" w:sz="8" w:space="0" w:color="FFFFFF"/>
              <w:right w:val="single" w:sz="8" w:space="0" w:color="FFFFFF"/>
            </w:tcBorders>
            <w:shd w:val="clear" w:color="000000" w:fill="D0CECE"/>
            <w:vAlign w:val="center"/>
            <w:hideMark/>
          </w:tcPr>
          <w:p w14:paraId="1D23DEEF"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20,137</w:t>
            </w:r>
          </w:p>
        </w:tc>
      </w:tr>
      <w:tr w:rsidR="0072480F" w:rsidRPr="0072480F" w14:paraId="4A7DA928" w14:textId="77777777" w:rsidTr="0072480F">
        <w:trPr>
          <w:trHeight w:val="271"/>
        </w:trPr>
        <w:tc>
          <w:tcPr>
            <w:tcW w:w="871" w:type="dxa"/>
            <w:tcBorders>
              <w:top w:val="nil"/>
              <w:left w:val="single" w:sz="8" w:space="0" w:color="FFFFFF"/>
              <w:bottom w:val="single" w:sz="8" w:space="0" w:color="FFFFFF"/>
              <w:right w:val="single" w:sz="8" w:space="0" w:color="FFFFFF"/>
            </w:tcBorders>
            <w:shd w:val="clear" w:color="000000" w:fill="008C9B"/>
            <w:vAlign w:val="center"/>
            <w:hideMark/>
          </w:tcPr>
          <w:p w14:paraId="311432F8" w14:textId="77777777" w:rsidR="0072480F" w:rsidRPr="0072480F" w:rsidRDefault="0072480F" w:rsidP="0072480F">
            <w:pPr>
              <w:spacing w:after="0"/>
              <w:rPr>
                <w:rFonts w:ascii="Calibri" w:eastAsia="Times New Roman" w:hAnsi="Calibri"/>
                <w:color w:val="FFFFFF"/>
                <w:sz w:val="20"/>
                <w:lang w:eastAsia="en-GB"/>
              </w:rPr>
            </w:pPr>
            <w:r w:rsidRPr="0072480F">
              <w:rPr>
                <w:rFonts w:ascii="Calibri" w:eastAsia="Times New Roman" w:hAnsi="Calibri"/>
                <w:color w:val="FFFFFF"/>
                <w:sz w:val="20"/>
                <w:lang w:eastAsia="en-GB"/>
              </w:rPr>
              <w:t>2014</w:t>
            </w:r>
          </w:p>
        </w:tc>
        <w:tc>
          <w:tcPr>
            <w:tcW w:w="2638" w:type="dxa"/>
            <w:tcBorders>
              <w:top w:val="nil"/>
              <w:left w:val="nil"/>
              <w:bottom w:val="single" w:sz="8" w:space="0" w:color="FFFFFF"/>
              <w:right w:val="single" w:sz="8" w:space="0" w:color="FFFFFF"/>
            </w:tcBorders>
            <w:shd w:val="clear" w:color="000000" w:fill="E7EEEF"/>
            <w:vAlign w:val="center"/>
            <w:hideMark/>
          </w:tcPr>
          <w:p w14:paraId="6EF41C3F"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10,679</w:t>
            </w:r>
          </w:p>
        </w:tc>
        <w:tc>
          <w:tcPr>
            <w:tcW w:w="3167" w:type="dxa"/>
            <w:tcBorders>
              <w:top w:val="nil"/>
              <w:left w:val="nil"/>
              <w:bottom w:val="single" w:sz="8" w:space="0" w:color="FFFFFF"/>
              <w:right w:val="single" w:sz="8" w:space="0" w:color="FFFFFF"/>
            </w:tcBorders>
            <w:shd w:val="clear" w:color="000000" w:fill="E7EEEF"/>
            <w:vAlign w:val="center"/>
            <w:hideMark/>
          </w:tcPr>
          <w:p w14:paraId="25EC9A05"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1.96</w:t>
            </w:r>
          </w:p>
        </w:tc>
        <w:tc>
          <w:tcPr>
            <w:tcW w:w="2839" w:type="dxa"/>
            <w:tcBorders>
              <w:top w:val="nil"/>
              <w:left w:val="nil"/>
              <w:bottom w:val="single" w:sz="8" w:space="0" w:color="FFFFFF"/>
              <w:right w:val="single" w:sz="8" w:space="0" w:color="FFFFFF"/>
            </w:tcBorders>
            <w:shd w:val="clear" w:color="000000" w:fill="E7EEEF"/>
            <w:vAlign w:val="center"/>
            <w:hideMark/>
          </w:tcPr>
          <w:p w14:paraId="00DD727C"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20,937</w:t>
            </w:r>
          </w:p>
        </w:tc>
      </w:tr>
      <w:tr w:rsidR="0072480F" w:rsidRPr="0072480F" w14:paraId="1E95E6C8" w14:textId="77777777" w:rsidTr="0072480F">
        <w:trPr>
          <w:trHeight w:val="271"/>
        </w:trPr>
        <w:tc>
          <w:tcPr>
            <w:tcW w:w="871" w:type="dxa"/>
            <w:tcBorders>
              <w:top w:val="nil"/>
              <w:left w:val="single" w:sz="8" w:space="0" w:color="FFFFFF"/>
              <w:bottom w:val="single" w:sz="8" w:space="0" w:color="FFFFFF"/>
              <w:right w:val="single" w:sz="8" w:space="0" w:color="FFFFFF"/>
            </w:tcBorders>
            <w:shd w:val="clear" w:color="000000" w:fill="008C9B"/>
            <w:vAlign w:val="center"/>
            <w:hideMark/>
          </w:tcPr>
          <w:p w14:paraId="51CF4085" w14:textId="77777777" w:rsidR="0072480F" w:rsidRPr="0072480F" w:rsidRDefault="0072480F" w:rsidP="0072480F">
            <w:pPr>
              <w:spacing w:after="0"/>
              <w:rPr>
                <w:rFonts w:ascii="Calibri" w:eastAsia="Times New Roman" w:hAnsi="Calibri"/>
                <w:color w:val="FFFFFF"/>
                <w:sz w:val="20"/>
                <w:lang w:eastAsia="en-GB"/>
              </w:rPr>
            </w:pPr>
            <w:r w:rsidRPr="0072480F">
              <w:rPr>
                <w:rFonts w:ascii="Calibri" w:eastAsia="Times New Roman" w:hAnsi="Calibri"/>
                <w:color w:val="FFFFFF"/>
                <w:sz w:val="20"/>
                <w:lang w:eastAsia="en-GB"/>
              </w:rPr>
              <w:t>2015</w:t>
            </w:r>
          </w:p>
        </w:tc>
        <w:tc>
          <w:tcPr>
            <w:tcW w:w="2638" w:type="dxa"/>
            <w:tcBorders>
              <w:top w:val="nil"/>
              <w:left w:val="nil"/>
              <w:bottom w:val="single" w:sz="8" w:space="0" w:color="FFFFFF"/>
              <w:right w:val="single" w:sz="8" w:space="0" w:color="FFFFFF"/>
            </w:tcBorders>
            <w:shd w:val="clear" w:color="000000" w:fill="D0CECE"/>
            <w:vAlign w:val="center"/>
            <w:hideMark/>
          </w:tcPr>
          <w:p w14:paraId="16EAFD38"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10,343</w:t>
            </w:r>
          </w:p>
        </w:tc>
        <w:tc>
          <w:tcPr>
            <w:tcW w:w="3167" w:type="dxa"/>
            <w:tcBorders>
              <w:top w:val="nil"/>
              <w:left w:val="nil"/>
              <w:bottom w:val="single" w:sz="8" w:space="0" w:color="FFFFFF"/>
              <w:right w:val="single" w:sz="8" w:space="0" w:color="FFFFFF"/>
            </w:tcBorders>
            <w:shd w:val="clear" w:color="000000" w:fill="D0CECE"/>
            <w:vAlign w:val="center"/>
            <w:hideMark/>
          </w:tcPr>
          <w:p w14:paraId="50010B16"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1.95</w:t>
            </w:r>
          </w:p>
        </w:tc>
        <w:tc>
          <w:tcPr>
            <w:tcW w:w="2839" w:type="dxa"/>
            <w:tcBorders>
              <w:top w:val="nil"/>
              <w:left w:val="nil"/>
              <w:bottom w:val="single" w:sz="8" w:space="0" w:color="FFFFFF"/>
              <w:right w:val="single" w:sz="8" w:space="0" w:color="FFFFFF"/>
            </w:tcBorders>
            <w:shd w:val="clear" w:color="000000" w:fill="D0CECE"/>
            <w:vAlign w:val="center"/>
            <w:hideMark/>
          </w:tcPr>
          <w:p w14:paraId="5313183E"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20,177</w:t>
            </w:r>
          </w:p>
        </w:tc>
      </w:tr>
      <w:tr w:rsidR="0072480F" w:rsidRPr="0072480F" w14:paraId="6FA99718" w14:textId="77777777" w:rsidTr="0072480F">
        <w:trPr>
          <w:trHeight w:val="271"/>
        </w:trPr>
        <w:tc>
          <w:tcPr>
            <w:tcW w:w="871" w:type="dxa"/>
            <w:tcBorders>
              <w:top w:val="nil"/>
              <w:left w:val="single" w:sz="8" w:space="0" w:color="FFFFFF"/>
              <w:bottom w:val="single" w:sz="8" w:space="0" w:color="FFFFFF"/>
              <w:right w:val="single" w:sz="8" w:space="0" w:color="FFFFFF"/>
            </w:tcBorders>
            <w:shd w:val="clear" w:color="000000" w:fill="008C9B"/>
            <w:vAlign w:val="center"/>
            <w:hideMark/>
          </w:tcPr>
          <w:p w14:paraId="77C33B7A" w14:textId="77777777" w:rsidR="0072480F" w:rsidRPr="0072480F" w:rsidRDefault="0072480F" w:rsidP="0072480F">
            <w:pPr>
              <w:spacing w:after="0"/>
              <w:rPr>
                <w:rFonts w:ascii="Calibri" w:eastAsia="Times New Roman" w:hAnsi="Calibri"/>
                <w:color w:val="FFFFFF"/>
                <w:sz w:val="20"/>
                <w:lang w:eastAsia="en-GB"/>
              </w:rPr>
            </w:pPr>
            <w:r w:rsidRPr="0072480F">
              <w:rPr>
                <w:rFonts w:ascii="Calibri" w:eastAsia="Times New Roman" w:hAnsi="Calibri"/>
                <w:color w:val="FFFFFF"/>
                <w:sz w:val="20"/>
                <w:lang w:eastAsia="en-GB"/>
              </w:rPr>
              <w:t>2016</w:t>
            </w:r>
          </w:p>
        </w:tc>
        <w:tc>
          <w:tcPr>
            <w:tcW w:w="2638" w:type="dxa"/>
            <w:tcBorders>
              <w:top w:val="nil"/>
              <w:left w:val="nil"/>
              <w:bottom w:val="single" w:sz="8" w:space="0" w:color="FFFFFF"/>
              <w:right w:val="single" w:sz="8" w:space="0" w:color="FFFFFF"/>
            </w:tcBorders>
            <w:shd w:val="clear" w:color="000000" w:fill="E7EEEF"/>
            <w:vAlign w:val="center"/>
            <w:hideMark/>
          </w:tcPr>
          <w:p w14:paraId="17CDB9B3"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9,474</w:t>
            </w:r>
          </w:p>
        </w:tc>
        <w:tc>
          <w:tcPr>
            <w:tcW w:w="3167" w:type="dxa"/>
            <w:tcBorders>
              <w:top w:val="nil"/>
              <w:left w:val="nil"/>
              <w:bottom w:val="single" w:sz="8" w:space="0" w:color="FFFFFF"/>
              <w:right w:val="single" w:sz="8" w:space="0" w:color="FFFFFF"/>
            </w:tcBorders>
            <w:shd w:val="clear" w:color="000000" w:fill="E7EEEF"/>
            <w:vAlign w:val="center"/>
            <w:hideMark/>
          </w:tcPr>
          <w:p w14:paraId="4A59BD9A"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1.98</w:t>
            </w:r>
          </w:p>
        </w:tc>
        <w:tc>
          <w:tcPr>
            <w:tcW w:w="2839" w:type="dxa"/>
            <w:tcBorders>
              <w:top w:val="nil"/>
              <w:left w:val="nil"/>
              <w:bottom w:val="single" w:sz="8" w:space="0" w:color="FFFFFF"/>
              <w:right w:val="single" w:sz="8" w:space="0" w:color="FFFFFF"/>
            </w:tcBorders>
            <w:shd w:val="clear" w:color="000000" w:fill="E7EEEF"/>
            <w:vAlign w:val="center"/>
            <w:hideMark/>
          </w:tcPr>
          <w:p w14:paraId="6FCB91E9"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18,735</w:t>
            </w:r>
          </w:p>
        </w:tc>
      </w:tr>
      <w:tr w:rsidR="0072480F" w:rsidRPr="0072480F" w14:paraId="4D4D6F68" w14:textId="77777777" w:rsidTr="0072480F">
        <w:trPr>
          <w:trHeight w:val="271"/>
        </w:trPr>
        <w:tc>
          <w:tcPr>
            <w:tcW w:w="871" w:type="dxa"/>
            <w:tcBorders>
              <w:top w:val="nil"/>
              <w:left w:val="single" w:sz="8" w:space="0" w:color="FFFFFF"/>
              <w:bottom w:val="single" w:sz="8" w:space="0" w:color="FFFFFF"/>
              <w:right w:val="single" w:sz="8" w:space="0" w:color="FFFFFF"/>
            </w:tcBorders>
            <w:shd w:val="clear" w:color="000000" w:fill="008C9B"/>
            <w:vAlign w:val="center"/>
            <w:hideMark/>
          </w:tcPr>
          <w:p w14:paraId="581672DF" w14:textId="77777777" w:rsidR="0072480F" w:rsidRPr="0072480F" w:rsidRDefault="0072480F" w:rsidP="0072480F">
            <w:pPr>
              <w:spacing w:after="0"/>
              <w:rPr>
                <w:rFonts w:ascii="Calibri" w:eastAsia="Times New Roman" w:hAnsi="Calibri"/>
                <w:color w:val="FFFFFF"/>
                <w:sz w:val="20"/>
                <w:lang w:eastAsia="en-GB"/>
              </w:rPr>
            </w:pPr>
            <w:r w:rsidRPr="0072480F">
              <w:rPr>
                <w:rFonts w:ascii="Calibri" w:eastAsia="Times New Roman" w:hAnsi="Calibri"/>
                <w:color w:val="FFFFFF"/>
                <w:sz w:val="20"/>
                <w:lang w:eastAsia="en-GB"/>
              </w:rPr>
              <w:t>2017</w:t>
            </w:r>
          </w:p>
        </w:tc>
        <w:tc>
          <w:tcPr>
            <w:tcW w:w="2638" w:type="dxa"/>
            <w:tcBorders>
              <w:top w:val="nil"/>
              <w:left w:val="nil"/>
              <w:bottom w:val="single" w:sz="8" w:space="0" w:color="FFFFFF"/>
              <w:right w:val="single" w:sz="8" w:space="0" w:color="FFFFFF"/>
            </w:tcBorders>
            <w:shd w:val="clear" w:color="000000" w:fill="D0CECE"/>
            <w:vAlign w:val="center"/>
            <w:hideMark/>
          </w:tcPr>
          <w:p w14:paraId="7041B84A"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9,876</w:t>
            </w:r>
          </w:p>
        </w:tc>
        <w:tc>
          <w:tcPr>
            <w:tcW w:w="3167" w:type="dxa"/>
            <w:tcBorders>
              <w:top w:val="nil"/>
              <w:left w:val="nil"/>
              <w:bottom w:val="single" w:sz="8" w:space="0" w:color="FFFFFF"/>
              <w:right w:val="single" w:sz="8" w:space="0" w:color="FFFFFF"/>
            </w:tcBorders>
            <w:shd w:val="clear" w:color="000000" w:fill="D0CECE"/>
            <w:vAlign w:val="center"/>
            <w:hideMark/>
          </w:tcPr>
          <w:p w14:paraId="2447E293"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1.98</w:t>
            </w:r>
          </w:p>
        </w:tc>
        <w:tc>
          <w:tcPr>
            <w:tcW w:w="2839" w:type="dxa"/>
            <w:tcBorders>
              <w:top w:val="nil"/>
              <w:left w:val="nil"/>
              <w:bottom w:val="single" w:sz="8" w:space="0" w:color="FFFFFF"/>
              <w:right w:val="single" w:sz="8" w:space="0" w:color="FFFFFF"/>
            </w:tcBorders>
            <w:shd w:val="clear" w:color="000000" w:fill="D0CECE"/>
            <w:vAlign w:val="center"/>
            <w:hideMark/>
          </w:tcPr>
          <w:p w14:paraId="74CBE642" w14:textId="77777777" w:rsidR="0072480F" w:rsidRPr="0072480F" w:rsidRDefault="0072480F" w:rsidP="0072480F">
            <w:pPr>
              <w:spacing w:after="0"/>
              <w:jc w:val="center"/>
              <w:rPr>
                <w:rFonts w:ascii="Calibri" w:eastAsia="Times New Roman" w:hAnsi="Calibri"/>
                <w:color w:val="000000"/>
                <w:sz w:val="20"/>
                <w:lang w:eastAsia="en-GB"/>
              </w:rPr>
            </w:pPr>
            <w:r w:rsidRPr="0072480F">
              <w:rPr>
                <w:rFonts w:ascii="Calibri" w:eastAsia="Times New Roman" w:hAnsi="Calibri"/>
                <w:color w:val="000000"/>
                <w:sz w:val="20"/>
                <w:lang w:eastAsia="en-GB"/>
              </w:rPr>
              <w:t>19,523</w:t>
            </w:r>
          </w:p>
        </w:tc>
      </w:tr>
    </w:tbl>
    <w:p w14:paraId="5701B999" w14:textId="77777777" w:rsidR="0020626A" w:rsidRPr="00520FF4" w:rsidRDefault="0020626A" w:rsidP="0020626A">
      <w:pPr>
        <w:spacing w:before="60" w:after="120"/>
        <w:jc w:val="right"/>
        <w:rPr>
          <w:rStyle w:val="SubtleEmphasis"/>
          <w:i w:val="0"/>
          <w:sz w:val="18"/>
        </w:rPr>
      </w:pPr>
      <w:r w:rsidRPr="00520FF4">
        <w:rPr>
          <w:rStyle w:val="SubtleEmphasis"/>
          <w:sz w:val="18"/>
        </w:rPr>
        <w:t>Source: ONS, FAME, Cebr analysis</w:t>
      </w:r>
    </w:p>
    <w:p w14:paraId="240F1C65" w14:textId="3510F565" w:rsidR="00291A61" w:rsidRDefault="00564E87" w:rsidP="00291A61">
      <w:pPr>
        <w:pStyle w:val="Heading2"/>
      </w:pPr>
      <w:bookmarkStart w:id="93" w:name="_Toc485302016"/>
      <w:bookmarkStart w:id="94" w:name="_Toc16768012"/>
      <w:r>
        <w:t xml:space="preserve">The </w:t>
      </w:r>
      <w:r w:rsidR="00CC6B0B">
        <w:t>aggregate economic</w:t>
      </w:r>
      <w:r>
        <w:t xml:space="preserve"> </w:t>
      </w:r>
      <w:r w:rsidR="00291A61">
        <w:t>impacts</w:t>
      </w:r>
      <w:bookmarkEnd w:id="93"/>
      <w:r>
        <w:t xml:space="preserve"> through GVA</w:t>
      </w:r>
      <w:bookmarkEnd w:id="94"/>
    </w:p>
    <w:p w14:paraId="299172E0" w14:textId="462C13CE" w:rsidR="00EA666B" w:rsidRDefault="000D4724" w:rsidP="00EA666B">
      <w:pPr>
        <w:spacing w:after="120"/>
      </w:pPr>
      <w:r>
        <w:fldChar w:fldCharType="begin"/>
      </w:r>
      <w:r>
        <w:instrText xml:space="preserve"> REF _Ref16685565 \h </w:instrText>
      </w:r>
      <w:r>
        <w:fldChar w:fldCharType="separate"/>
      </w:r>
      <w:r w:rsidR="00316965">
        <w:t xml:space="preserve">Figure </w:t>
      </w:r>
      <w:r w:rsidR="00316965">
        <w:rPr>
          <w:noProof/>
        </w:rPr>
        <w:t>11</w:t>
      </w:r>
      <w:r>
        <w:fldChar w:fldCharType="end"/>
      </w:r>
      <w:r>
        <w:t xml:space="preserve"> </w:t>
      </w:r>
      <w:r w:rsidR="00291A61">
        <w:t xml:space="preserve">below illustrates the GVA multipliers for </w:t>
      </w:r>
      <w:r w:rsidR="00593839">
        <w:t xml:space="preserve">the </w:t>
      </w:r>
      <w:r w:rsidR="00291A61">
        <w:t xml:space="preserve">Maritime </w:t>
      </w:r>
      <w:r w:rsidR="00EA666B">
        <w:t>S</w:t>
      </w:r>
      <w:r w:rsidR="00936F3E">
        <w:t>ector</w:t>
      </w:r>
      <w:r w:rsidR="003D7677">
        <w:t xml:space="preserve"> in Scotland</w:t>
      </w:r>
      <w:r w:rsidR="00291A61">
        <w:t xml:space="preserve">. </w:t>
      </w:r>
      <w:r w:rsidR="00EA666B">
        <w:t xml:space="preserve">The Scottish Maritime Sector directly contributed £3.7 billion to GVA in 2017, where £2.4 billion worth of GVA is stimulated in supply chains and £1.8 billion worth of GVA in the wider economy when direct and indirect employees spend their earnings. Once the direct, indirect and induced economic channels are taken into consideration the Scottish Maritime </w:t>
      </w:r>
      <w:r w:rsidR="009B2AC2">
        <w:t>Sector</w:t>
      </w:r>
      <w:r w:rsidR="00EA666B">
        <w:t xml:space="preserve"> contributed £7.8 billion to the UK economy. </w:t>
      </w:r>
    </w:p>
    <w:p w14:paraId="4BF0C6AD" w14:textId="54D13406" w:rsidR="00EA666B" w:rsidRPr="00037501" w:rsidRDefault="00EA666B" w:rsidP="00EA666B">
      <w:pPr>
        <w:spacing w:after="120"/>
        <w:rPr>
          <w:b/>
        </w:rPr>
      </w:pPr>
      <w:r>
        <w:rPr>
          <w:b/>
        </w:rPr>
        <w:t xml:space="preserve">This means that for </w:t>
      </w:r>
      <w:r w:rsidRPr="00C65850">
        <w:rPr>
          <w:b/>
        </w:rPr>
        <w:t xml:space="preserve">every £1 of </w:t>
      </w:r>
      <w:r>
        <w:rPr>
          <w:b/>
        </w:rPr>
        <w:t>GVA</w:t>
      </w:r>
      <w:r w:rsidRPr="00C65850">
        <w:rPr>
          <w:b/>
        </w:rPr>
        <w:t xml:space="preserve"> initially </w:t>
      </w:r>
      <w:r>
        <w:rPr>
          <w:b/>
        </w:rPr>
        <w:t xml:space="preserve">contributed </w:t>
      </w:r>
      <w:r w:rsidRPr="00C65850">
        <w:rPr>
          <w:b/>
        </w:rPr>
        <w:t xml:space="preserve">by the </w:t>
      </w:r>
      <w:r>
        <w:rPr>
          <w:b/>
        </w:rPr>
        <w:t>Maritime Sector in Scotland,</w:t>
      </w:r>
      <w:r w:rsidRPr="00C65850">
        <w:rPr>
          <w:b/>
        </w:rPr>
        <w:t xml:space="preserve"> the </w:t>
      </w:r>
      <w:r>
        <w:rPr>
          <w:b/>
        </w:rPr>
        <w:t>Scottish and UK economies</w:t>
      </w:r>
      <w:r w:rsidRPr="00C65850">
        <w:rPr>
          <w:b/>
        </w:rPr>
        <w:t xml:space="preserve"> as a whole </w:t>
      </w:r>
      <w:r>
        <w:rPr>
          <w:b/>
        </w:rPr>
        <w:t xml:space="preserve">sees </w:t>
      </w:r>
      <w:r w:rsidRPr="00C65850">
        <w:rPr>
          <w:b/>
        </w:rPr>
        <w:t xml:space="preserve">an increase in </w:t>
      </w:r>
      <w:r>
        <w:rPr>
          <w:b/>
        </w:rPr>
        <w:t>GVA of £2.11</w:t>
      </w:r>
      <w:r w:rsidRPr="00C65850">
        <w:rPr>
          <w:b/>
        </w:rPr>
        <w:t>.</w:t>
      </w:r>
      <w:r w:rsidRPr="00C65850">
        <w:t xml:space="preserve"> </w:t>
      </w:r>
    </w:p>
    <w:p w14:paraId="59025144" w14:textId="77777777" w:rsidR="00EA666B" w:rsidRDefault="00EA666B" w:rsidP="00291A61">
      <w:pPr>
        <w:pStyle w:val="Caption"/>
        <w:keepNext/>
        <w:spacing w:after="120"/>
      </w:pPr>
    </w:p>
    <w:p w14:paraId="250F838E" w14:textId="77777777" w:rsidR="00EA666B" w:rsidRPr="00EA666B" w:rsidRDefault="00EA666B" w:rsidP="00EA666B"/>
    <w:p w14:paraId="48F4966A" w14:textId="77777777" w:rsidR="00EA666B" w:rsidRDefault="00EA666B" w:rsidP="00EA666B"/>
    <w:p w14:paraId="4D8B06D4" w14:textId="77777777" w:rsidR="000D4724" w:rsidRPr="00EA666B" w:rsidRDefault="000D4724" w:rsidP="00EA666B"/>
    <w:p w14:paraId="73BBE36D" w14:textId="49FEC2FB" w:rsidR="00291A61" w:rsidRDefault="000D4724" w:rsidP="000D4724">
      <w:pPr>
        <w:pStyle w:val="Caption"/>
      </w:pPr>
      <w:bookmarkStart w:id="95" w:name="_Ref16685565"/>
      <w:r>
        <w:lastRenderedPageBreak/>
        <w:t xml:space="preserve">Figure </w:t>
      </w:r>
      <w:r w:rsidR="00BF1DE1">
        <w:rPr>
          <w:noProof/>
        </w:rPr>
        <w:fldChar w:fldCharType="begin"/>
      </w:r>
      <w:r w:rsidR="00BF1DE1">
        <w:rPr>
          <w:noProof/>
        </w:rPr>
        <w:instrText xml:space="preserve"> SEQ Figure \* ARABIC </w:instrText>
      </w:r>
      <w:r w:rsidR="00BF1DE1">
        <w:rPr>
          <w:noProof/>
        </w:rPr>
        <w:fldChar w:fldCharType="separate"/>
      </w:r>
      <w:r w:rsidR="00316965">
        <w:rPr>
          <w:noProof/>
        </w:rPr>
        <w:t>11</w:t>
      </w:r>
      <w:r w:rsidR="00BF1DE1">
        <w:rPr>
          <w:noProof/>
        </w:rPr>
        <w:fldChar w:fldCharType="end"/>
      </w:r>
      <w:bookmarkEnd w:id="95"/>
      <w:r w:rsidR="00291A61">
        <w:t xml:space="preserve">: </w:t>
      </w:r>
      <w:r w:rsidR="006F01A9">
        <w:t>GVA multiplier impacts of the M</w:t>
      </w:r>
      <w:r w:rsidR="00650683">
        <w:t>aritime S</w:t>
      </w:r>
      <w:r w:rsidR="00EA666B">
        <w:t>ector in Scotland, 2017</w:t>
      </w:r>
    </w:p>
    <w:p w14:paraId="6AE5E003" w14:textId="3AA3A23A" w:rsidR="00EA666B" w:rsidRDefault="00EA666B" w:rsidP="00037501">
      <w:pPr>
        <w:spacing w:after="0"/>
      </w:pPr>
      <w:r w:rsidRPr="00EA666B">
        <w:rPr>
          <w:noProof/>
          <w:lang w:eastAsia="en-GB"/>
        </w:rPr>
        <mc:AlternateContent>
          <mc:Choice Requires="wpg">
            <w:drawing>
              <wp:anchor distT="0" distB="0" distL="114300" distR="114300" simplePos="0" relativeHeight="251661312" behindDoc="0" locked="0" layoutInCell="1" allowOverlap="1" wp14:anchorId="32194A20" wp14:editId="52D8C85A">
                <wp:simplePos x="0" y="0"/>
                <wp:positionH relativeFrom="column">
                  <wp:posOffset>38560</wp:posOffset>
                </wp:positionH>
                <wp:positionV relativeFrom="paragraph">
                  <wp:posOffset>100965</wp:posOffset>
                </wp:positionV>
                <wp:extent cx="5760000" cy="2142000"/>
                <wp:effectExtent l="0" t="0" r="0" b="0"/>
                <wp:wrapNone/>
                <wp:docPr id="33" name="Group 3"/>
                <wp:cNvGraphicFramePr/>
                <a:graphic xmlns:a="http://schemas.openxmlformats.org/drawingml/2006/main">
                  <a:graphicData uri="http://schemas.microsoft.com/office/word/2010/wordprocessingGroup">
                    <wpg:wgp>
                      <wpg:cNvGrpSpPr/>
                      <wpg:grpSpPr>
                        <a:xfrm>
                          <a:off x="0" y="0"/>
                          <a:ext cx="5760000" cy="2142000"/>
                          <a:chOff x="0" y="0"/>
                          <a:chExt cx="6508545" cy="1930620"/>
                        </a:xfrm>
                      </wpg:grpSpPr>
                      <wps:wsp>
                        <wps:cNvPr id="34" name="Down Arrow 34"/>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Down Arrow 35"/>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40BD61" w14:textId="6E1132F8" w:rsidR="00BC67A0" w:rsidRDefault="00BC67A0" w:rsidP="00EA666B">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£7.8bn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705AA0" w14:textId="77777777" w:rsidR="00BC67A0" w:rsidRDefault="00BC67A0" w:rsidP="00EA666B">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78C5A9A3" w14:textId="77777777" w:rsidR="00BC67A0" w:rsidRDefault="00BC67A0" w:rsidP="00EA666B">
                              <w:pPr>
                                <w:pStyle w:val="NormalWeb"/>
                                <w:spacing w:before="0" w:beforeAutospacing="0" w:after="0" w:afterAutospacing="0"/>
                                <w:jc w:val="center"/>
                              </w:pPr>
                            </w:p>
                            <w:p w14:paraId="0951B40C" w14:textId="77777777" w:rsidR="00BC67A0" w:rsidRDefault="00BC67A0" w:rsidP="00EA666B">
                              <w:pPr>
                                <w:pStyle w:val="NormalWeb"/>
                                <w:spacing w:before="0" w:beforeAutospacing="0" w:after="0" w:afterAutospacing="0"/>
                                <w:jc w:val="center"/>
                              </w:pPr>
                              <w:r>
                                <w:rPr>
                                  <w:rFonts w:asciiTheme="minorHAnsi" w:hAnsi="Calibri" w:cstheme="minorBidi"/>
                                  <w:color w:val="FFFFFF" w:themeColor="background1"/>
                                  <w:kern w:val="24"/>
                                  <w:sz w:val="48"/>
                                  <w:szCs w:val="48"/>
                                </w:rPr>
                                <w:t>£3.7bn</w:t>
                              </w:r>
                            </w:p>
                          </w:txbxContent>
                        </wps:txbx>
                        <wps:bodyPr rtlCol="0" anchor="t" anchorCtr="0"/>
                      </wps:wsp>
                      <wps:wsp>
                        <wps:cNvPr id="39" name="Rounded Rectangle 39"/>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5394F" w14:textId="77777777" w:rsidR="00BC67A0" w:rsidRDefault="00BC67A0" w:rsidP="00EA666B">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£2.4bn</w:t>
                              </w:r>
                            </w:p>
                          </w:txbxContent>
                        </wps:txbx>
                        <wps:bodyPr rtlCol="0" anchor="t" anchorCtr="0"/>
                      </wps:wsp>
                      <wps:wsp>
                        <wps:cNvPr id="40" name="Rounded Rectangle 40"/>
                        <wps:cNvSpPr/>
                        <wps:spPr>
                          <a:xfrm>
                            <a:off x="4648616" y="466961"/>
                            <a:ext cx="1584176" cy="96026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2712B0" w14:textId="77777777" w:rsidR="00BC67A0" w:rsidRDefault="00BC67A0" w:rsidP="00EA666B">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£1.8bn</w:t>
                              </w:r>
                            </w:p>
                          </w:txbxContent>
                        </wps:txbx>
                        <wps:bodyPr rtlCol="0" anchor="t" anchorCtr="0"/>
                      </wps:wsp>
                      <wps:wsp>
                        <wps:cNvPr id="41" name="Rectangle 41"/>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9AF22B" w14:textId="77777777" w:rsidR="00BC67A0" w:rsidRDefault="00BC67A0" w:rsidP="00EA666B">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Gross Value Added (GVA)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194A20" id="_x0000_s1034" style="position:absolute;margin-left:3.05pt;margin-top:7.95pt;width:453.55pt;height:168.65pt;z-index:251661312"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">
                <v:shape id="Down Arrow 34" o:spid="_x0000_s1035"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UCBcEA&#10;AADbAAAADwAAAGRycy9kb3ducmV2LnhtbESPQWsCMRSE7wX/Q3iCt5q1Wq1bo2hB8Fr14u1187q7&#10;uO9l2aQa/30jCB6HmfmGWawiN+pCna+dGBgNM1AkhbO1lAaOh+3rBygfUCw2TsjAjTyslr2XBebW&#10;XeWbLvtQqgQRn6OBKoQ219oXFTH6oWtJkvfrOsaQZFdq2+E1wbnRb1k21Yy1pIUKW/qqqDjv/9iA&#10;zJmjnztqT/59U/PtJ27WM2MG/bj+BBUohmf40d5ZA+MJ3L+kH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VAgXBAAAA2wAAAA8AAAAAAAAAAAAAAAAAmAIAAGRycy9kb3du&#10;cmV2LnhtbFBLBQYAAAAABAAEAPUAAACGAwAAAAA=&#10;" adj="10800" fillcolor="#c4c4c6 [1302]" stroked="f" strokeweight="2pt"/>
                <v:shape id="Down Arrow 35" o:spid="_x0000_s1036"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nnsEA&#10;AADbAAAADwAAAGRycy9kb3ducmV2LnhtbESPQWvCQBSE74X+h+UVvNVNK7Y1ugkqCL2qvfT2zD6T&#10;YN7bkF11/fduQehxmJlvmEUZuVMXGnzrxMDbOANFUjnbSm3gZ795/QLlA4rFzgkZuJGHsnh+WmBu&#10;3VW2dNmFWiWI+BwNNCH0uda+aojRj11PkryjGxhDkkOt7YDXBOdOv2fZh2ZsJS002NO6oeq0O7MB&#10;mTFHP3PU//rpquXbIa6Wn8aMXuJyDipQDP/hR/vbGphM4e9L+gG6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Zp57BAAAA2wAAAA8AAAAAAAAAAAAAAAAAmAIAAGRycy9kb3du&#10;cmV2LnhtbFBLBQYAAAAABAAEAPUAAACGAwAAAAA=&#10;" adj="10800" fillcolor="#c4c4c6 [1302]" stroked="f" strokeweight="2pt"/>
                <v:rect id="Rectangle 37" o:spid="_x0000_s1037"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uh8IA&#10;AADbAAAADwAAAGRycy9kb3ducmV2LnhtbESPzWrDMBCE74W+g9hAbo2cBjfBsRKModAe6yY5L9b6&#10;h0grYymx26evCoUeh5n5hsmPszXiTqPvHStYrxIQxLXTPbcKTp+vTzsQPiBrNI5JwRd5OB4eH3LM&#10;tJv4g+5VaEWEsM9QQRfCkEnp644s+pUbiKPXuNFiiHJspR5xinBr5HOSvEiLPceFDgcqO6qv1c0q&#10;SJne01B9m/JcFM0N63N58Uap5WIu9iACzeE//Nd+0wo2W/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6HwgAAANsAAAAPAAAAAAAAAAAAAAAAAJgCAABkcnMvZG93&#10;bnJldi54bWxQSwUGAAAAAAQABAD1AAAAhwMAAAAA&#10;" fillcolor="#6d6e71 [3206]" stroked="f" strokeweight="2pt">
                  <v:textbox>
                    <w:txbxContent>
                      <w:p w14:paraId="7E40BD61" w14:textId="6E1132F8" w:rsidR="00BC67A0" w:rsidRDefault="00BC67A0" w:rsidP="00EA666B">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£7.8bn</w:t>
                        </w:r>
                      </w:p>
                    </w:txbxContent>
                  </v:textbox>
                </v:rect>
                <v:roundrect id="Rounded Rectangle 38" o:spid="_x0000_s1038"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xl78A&#10;AADbAAAADwAAAGRycy9kb3ducmV2LnhtbERPzYrCMBC+C75DGMHLsk1VWKQ2igii13X3AWabsa1N&#10;JqWJbfXpzWHB48f3n+9Ga0RPna8dK1gkKQjiwumaSwW/P8fPNQgfkDUax6TgQR522+kkx0y7gb+p&#10;v4RSxBD2GSqoQmgzKX1RkUWfuJY4clfXWQwRdqXUHQ4x3Bq5TNMvabHm2FBhS4eKiuZytwqeeFxd&#10;H+bU1n/9R+PMsB5uTaHUfDbuNyACjeEt/neftYJVHBu/xB8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f/GXvwAAANsAAAAPAAAAAAAAAAAAAAAAAJgCAABkcnMvZG93bnJl&#10;di54bWxQSwUGAAAAAAQABAD1AAAAhAMAAAAA&#10;" fillcolor="#008c9b [3204]" stroked="f" strokeweight="2pt">
                  <v:textbox>
                    <w:txbxContent>
                      <w:p w14:paraId="78705AA0" w14:textId="77777777" w:rsidR="00BC67A0" w:rsidRDefault="00BC67A0" w:rsidP="00EA666B">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78C5A9A3" w14:textId="77777777" w:rsidR="00BC67A0" w:rsidRDefault="00BC67A0" w:rsidP="00EA666B">
                        <w:pPr>
                          <w:pStyle w:val="NormalWeb"/>
                          <w:spacing w:before="0" w:beforeAutospacing="0" w:after="0" w:afterAutospacing="0"/>
                          <w:jc w:val="center"/>
                        </w:pPr>
                      </w:p>
                      <w:p w14:paraId="0951B40C" w14:textId="77777777" w:rsidR="00BC67A0" w:rsidRDefault="00BC67A0" w:rsidP="00EA666B">
                        <w:pPr>
                          <w:pStyle w:val="NormalWeb"/>
                          <w:spacing w:before="0" w:beforeAutospacing="0" w:after="0" w:afterAutospacing="0"/>
                          <w:jc w:val="center"/>
                        </w:pPr>
                        <w:r>
                          <w:rPr>
                            <w:rFonts w:asciiTheme="minorHAnsi" w:hAnsi="Calibri" w:cstheme="minorBidi"/>
                            <w:color w:val="FFFFFF" w:themeColor="background1"/>
                            <w:kern w:val="24"/>
                            <w:sz w:val="48"/>
                            <w:szCs w:val="48"/>
                          </w:rPr>
                          <w:t>£3.7bn</w:t>
                        </w:r>
                      </w:p>
                    </w:txbxContent>
                  </v:textbox>
                </v:roundrect>
                <v:roundrect id="Rounded Rectangle 39" o:spid="_x0000_s1039"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IXsEA&#10;AADbAAAADwAAAGRycy9kb3ducmV2LnhtbESPT4vCMBTE7wt+h/AEb2uqlUWrUUQUvCisf+6P5tkW&#10;m5eaRK3f3ggLexxm5jfMbNGaWjzI+cqygkE/AUGcW11xoeB03HyPQfiArLG2TApe5GEx73zNMNP2&#10;yb/0OIRCRAj7DBWUITSZlD4vyaDv24Y4ehfrDIYoXSG1w2eEm1oOk+RHGqw4LpTY0Kqk/Hq4GwVJ&#10;s7R+/xql6XF93oXbSLtqopXqddvlFESgNvyH/9pbrSCdwOd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jiF7BAAAA2wAAAA8AAAAAAAAAAAAAAAAAmAIAAGRycy9kb3du&#10;cmV2LnhtbFBLBQYAAAAABAAEAPUAAACGAwAAAAA=&#10;" fillcolor="#0070c0" stroked="f" strokeweight="2pt">
                  <v:textbox>
                    <w:txbxContent>
                      <w:p w14:paraId="0835394F" w14:textId="77777777" w:rsidR="00BC67A0" w:rsidRDefault="00BC67A0" w:rsidP="00EA666B">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£2.4bn</w:t>
                        </w:r>
                      </w:p>
                    </w:txbxContent>
                  </v:textbox>
                </v:roundrect>
                <v:roundrect id="Rounded Rectangle 40" o:spid="_x0000_s1040" style="position:absolute;left:46486;top:4669;width:15841;height:96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EcEA&#10;AADbAAAADwAAAGRycy9kb3ducmV2LnhtbERPy4rCMBTdC/5DuAOzkTF1fCDVKCIIg260HffX5k5b&#10;bG5qk9Hq15uF4PJw3vNlaypxpcaVlhUM+hEI4szqknMFv+nmawrCeWSNlWVScCcHy0W3M8dY2xsf&#10;6Jr4XIQQdjEqKLyvYyldVpBB17c1ceD+bGPQB9jkUjd4C+Gmkt9RNJEGSw4NBda0Lig7J/9GQbmd&#10;2E1veElP0yPvE7kbPMbno1KfH+1qBsJT69/il/tHKxiF9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pRHBAAAA2wAAAA8AAAAAAAAAAAAAAAAAmAIAAGRycy9kb3du&#10;cmV2LnhtbFBLBQYAAAAABAAEAPUAAACGAwAAAAA=&#10;" fillcolor="#7030a0" stroked="f" strokeweight="2pt">
                  <v:textbox>
                    <w:txbxContent>
                      <w:p w14:paraId="5E2712B0" w14:textId="77777777" w:rsidR="00BC67A0" w:rsidRDefault="00BC67A0" w:rsidP="00EA666B">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£1.8bn</w:t>
                        </w:r>
                      </w:p>
                    </w:txbxContent>
                  </v:textbox>
                </v:roundrect>
                <v:rect id="Rectangle 41" o:spid="_x0000_s1041"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3gFcAA&#10;AADbAAAADwAAAGRycy9kb3ducmV2LnhtbESPT4vCMBTE7wt+h/CEva2pootUo5SCoEfrn/OjebbF&#10;5KU0Uet+eiMIexxm5jfMct1bI+7U+caxgvEoAUFcOt1wpeB42PzMQfiArNE4JgVP8rBeDb6WmGr3&#10;4D3di1CJCGGfooI6hDaV0pc1WfQj1xJH7+I6iyHKrpK6w0eEWyMnSfIrLTYcF2psKa+pvBY3q2DG&#10;tJuF4s/kpyy73LA85WdvlPoe9tkCRKA+/Ic/7a1WMB3D+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3gFcAAAADbAAAADwAAAAAAAAAAAAAAAACYAgAAZHJzL2Rvd25y&#10;ZXYueG1sUEsFBgAAAAAEAAQA9QAAAIUDAAAAAA==&#10;" fillcolor="#6d6e71 [3206]" stroked="f" strokeweight="2pt">
                  <v:textbox>
                    <w:txbxContent>
                      <w:p w14:paraId="7E9AF22B" w14:textId="77777777" w:rsidR="00BC67A0" w:rsidRDefault="00BC67A0" w:rsidP="00EA666B">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Gross Value Added (GVA)</w:t>
                        </w:r>
                      </w:p>
                    </w:txbxContent>
                  </v:textbox>
                </v:rect>
              </v:group>
            </w:pict>
          </mc:Fallback>
        </mc:AlternateContent>
      </w:r>
    </w:p>
    <w:p w14:paraId="0FCFBBEB" w14:textId="77777777" w:rsidR="00EA666B" w:rsidRDefault="00EA666B" w:rsidP="00037501">
      <w:pPr>
        <w:spacing w:after="0"/>
      </w:pPr>
    </w:p>
    <w:p w14:paraId="2F68DE58" w14:textId="60449330" w:rsidR="00EA666B" w:rsidRDefault="00EA666B" w:rsidP="00037501">
      <w:pPr>
        <w:spacing w:after="0"/>
      </w:pPr>
    </w:p>
    <w:p w14:paraId="6526A3BE" w14:textId="6A7A66C4" w:rsidR="00EA666B" w:rsidRDefault="00EA666B" w:rsidP="00037501">
      <w:pPr>
        <w:spacing w:after="0"/>
      </w:pPr>
    </w:p>
    <w:p w14:paraId="16649EB2" w14:textId="77777777" w:rsidR="00EA666B" w:rsidRDefault="00EA666B" w:rsidP="00037501">
      <w:pPr>
        <w:spacing w:after="0"/>
      </w:pPr>
    </w:p>
    <w:p w14:paraId="2D28D102" w14:textId="4196E11F" w:rsidR="00EA666B" w:rsidRDefault="00EA666B" w:rsidP="00037501">
      <w:pPr>
        <w:spacing w:after="0"/>
      </w:pPr>
    </w:p>
    <w:p w14:paraId="11E6F200" w14:textId="77777777" w:rsidR="00EA666B" w:rsidRDefault="00EA666B" w:rsidP="00037501">
      <w:pPr>
        <w:spacing w:after="0"/>
      </w:pPr>
    </w:p>
    <w:p w14:paraId="63DEAD49" w14:textId="57B024C9" w:rsidR="00EA666B" w:rsidRDefault="00EA666B" w:rsidP="00037501">
      <w:pPr>
        <w:spacing w:after="0"/>
      </w:pPr>
    </w:p>
    <w:p w14:paraId="70AAA7B4" w14:textId="4DB36872" w:rsidR="00EA666B" w:rsidRDefault="00EA666B" w:rsidP="00037501">
      <w:pPr>
        <w:spacing w:after="0"/>
      </w:pPr>
    </w:p>
    <w:p w14:paraId="5DF08A97" w14:textId="77777777" w:rsidR="00EA666B" w:rsidRDefault="00EA666B" w:rsidP="00037501">
      <w:pPr>
        <w:spacing w:after="0"/>
      </w:pPr>
    </w:p>
    <w:p w14:paraId="7001B9C4" w14:textId="77777777" w:rsidR="00EA666B" w:rsidRDefault="00EA666B" w:rsidP="00037501">
      <w:pPr>
        <w:spacing w:after="0"/>
      </w:pPr>
    </w:p>
    <w:p w14:paraId="18AEFF1C" w14:textId="77777777" w:rsidR="00EA666B" w:rsidRDefault="00EA666B" w:rsidP="00037501">
      <w:pPr>
        <w:spacing w:after="0"/>
      </w:pPr>
    </w:p>
    <w:p w14:paraId="3F80FE47" w14:textId="77777777" w:rsidR="00EA666B" w:rsidRDefault="00EA666B" w:rsidP="00EA666B">
      <w:pPr>
        <w:spacing w:before="60" w:after="0"/>
        <w:rPr>
          <w:rStyle w:val="SubtleEmphasis"/>
          <w:iCs w:val="0"/>
          <w:sz w:val="18"/>
        </w:rPr>
      </w:pPr>
    </w:p>
    <w:p w14:paraId="5418339D" w14:textId="618B1383" w:rsidR="00EA666B" w:rsidRDefault="00291A61" w:rsidP="00EA666B">
      <w:pPr>
        <w:spacing w:before="60" w:after="0"/>
        <w:ind w:left="5760" w:firstLine="720"/>
        <w:jc w:val="center"/>
        <w:rPr>
          <w:rStyle w:val="SubtleEmphasis"/>
          <w:sz w:val="18"/>
        </w:rPr>
      </w:pPr>
      <w:r w:rsidRPr="00520FF4">
        <w:rPr>
          <w:rStyle w:val="SubtleEmphasis"/>
          <w:iCs w:val="0"/>
          <w:sz w:val="18"/>
        </w:rPr>
        <w:t>Source: ONS, FAME, Cebr analysis</w:t>
      </w:r>
    </w:p>
    <w:p w14:paraId="2F787B3B" w14:textId="77777777" w:rsidR="00EA666B" w:rsidRPr="00EA666B" w:rsidRDefault="00EA666B" w:rsidP="00EA666B">
      <w:pPr>
        <w:spacing w:before="60" w:after="0"/>
        <w:jc w:val="right"/>
        <w:rPr>
          <w:i/>
          <w:iCs/>
          <w:color w:val="404040" w:themeColor="text1" w:themeTint="BF"/>
          <w:sz w:val="18"/>
        </w:rPr>
      </w:pPr>
    </w:p>
    <w:p w14:paraId="7602FBA5" w14:textId="1D50FAAB" w:rsidR="009F7E90" w:rsidRDefault="000D4724" w:rsidP="009F7E90">
      <w:r>
        <w:fldChar w:fldCharType="begin"/>
      </w:r>
      <w:r>
        <w:instrText xml:space="preserve"> REF _Ref16685593 \h </w:instrText>
      </w:r>
      <w:r>
        <w:fldChar w:fldCharType="separate"/>
      </w:r>
      <w:r>
        <w:t xml:space="preserve">Table </w:t>
      </w:r>
      <w:r>
        <w:rPr>
          <w:noProof/>
        </w:rPr>
        <w:t>12</w:t>
      </w:r>
      <w:r>
        <w:fldChar w:fldCharType="end"/>
      </w:r>
      <w:r>
        <w:t xml:space="preserve"> </w:t>
      </w:r>
      <w:r w:rsidR="008F6CBC">
        <w:t xml:space="preserve">below </w:t>
      </w:r>
      <w:r w:rsidR="00291A61">
        <w:t xml:space="preserve">shows the estimated aggregate GVA impacts from the </w:t>
      </w:r>
      <w:r w:rsidR="004E1787">
        <w:t>individual M</w:t>
      </w:r>
      <w:r w:rsidR="00291A61">
        <w:t>aritime industries.</w:t>
      </w:r>
      <w:r w:rsidR="00020D65" w:rsidRPr="00020D65">
        <w:t xml:space="preserve"> </w:t>
      </w:r>
      <w:r w:rsidR="00AD273B">
        <w:t xml:space="preserve">Once again, the Marine Offshore Oil and Gas industry contributed the most to the direct impacts at £1.9 billion followed by shipping at £0.8 billion. Similarly, the highest aggregate impacts can be identified within the Marine Oil and Gas and Shipping industries. </w:t>
      </w:r>
    </w:p>
    <w:p w14:paraId="1A03A5F2" w14:textId="73928B22" w:rsidR="004C61AB" w:rsidRDefault="000D4724" w:rsidP="000D4724">
      <w:pPr>
        <w:pStyle w:val="Caption"/>
      </w:pPr>
      <w:bookmarkStart w:id="96" w:name="_Ref16685593"/>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12</w:t>
      </w:r>
      <w:r w:rsidR="00BF1DE1">
        <w:rPr>
          <w:noProof/>
        </w:rPr>
        <w:fldChar w:fldCharType="end"/>
      </w:r>
      <w:bookmarkEnd w:id="96"/>
      <w:r w:rsidR="004C61AB">
        <w:t xml:space="preserve">: </w:t>
      </w:r>
      <w:r w:rsidR="00E64A43">
        <w:t xml:space="preserve">GVA </w:t>
      </w:r>
      <w:r w:rsidR="00A02EFD">
        <w:t xml:space="preserve">impacts </w:t>
      </w:r>
      <w:r w:rsidR="00E64A43">
        <w:t>by each Marit</w:t>
      </w:r>
      <w:r w:rsidR="00EA666B">
        <w:t>ime industry in Scotland in 2017</w:t>
      </w:r>
    </w:p>
    <w:tbl>
      <w:tblPr>
        <w:tblW w:w="9608" w:type="dxa"/>
        <w:tblLook w:val="04A0" w:firstRow="1" w:lastRow="0" w:firstColumn="1" w:lastColumn="0" w:noHBand="0" w:noVBand="1"/>
      </w:tblPr>
      <w:tblGrid>
        <w:gridCol w:w="3843"/>
        <w:gridCol w:w="1406"/>
        <w:gridCol w:w="1453"/>
        <w:gridCol w:w="1453"/>
        <w:gridCol w:w="1453"/>
      </w:tblGrid>
      <w:tr w:rsidR="00EA666B" w:rsidRPr="00EA666B" w14:paraId="5BCBB272" w14:textId="77777777" w:rsidTr="00EA666B">
        <w:trPr>
          <w:trHeight w:val="476"/>
        </w:trPr>
        <w:tc>
          <w:tcPr>
            <w:tcW w:w="3843" w:type="dxa"/>
            <w:tcBorders>
              <w:top w:val="single" w:sz="8" w:space="0" w:color="FFFFFF"/>
              <w:left w:val="nil"/>
              <w:bottom w:val="single" w:sz="12" w:space="0" w:color="FFFFFF"/>
              <w:right w:val="single" w:sz="8" w:space="0" w:color="FFFFFF"/>
            </w:tcBorders>
            <w:shd w:val="clear" w:color="000000" w:fill="008C9B"/>
            <w:vAlign w:val="center"/>
            <w:hideMark/>
          </w:tcPr>
          <w:p w14:paraId="635740A5" w14:textId="77777777" w:rsidR="00EA666B" w:rsidRPr="00EA666B" w:rsidRDefault="00EA666B" w:rsidP="00EA666B">
            <w:pPr>
              <w:spacing w:after="0"/>
              <w:rPr>
                <w:rFonts w:ascii="Calibri" w:eastAsia="Times New Roman" w:hAnsi="Calibri"/>
                <w:b/>
                <w:bCs/>
                <w:color w:val="FFFFFF"/>
                <w:sz w:val="20"/>
                <w:lang w:eastAsia="en-GB"/>
              </w:rPr>
            </w:pPr>
            <w:r w:rsidRPr="00EA666B">
              <w:rPr>
                <w:rFonts w:ascii="Calibri" w:eastAsia="Times New Roman" w:hAnsi="Calibri"/>
                <w:b/>
                <w:bCs/>
                <w:color w:val="FFFFFF"/>
                <w:sz w:val="20"/>
                <w:lang w:eastAsia="en-GB"/>
              </w:rPr>
              <w:t>GVA in 2017</w:t>
            </w:r>
          </w:p>
        </w:tc>
        <w:tc>
          <w:tcPr>
            <w:tcW w:w="1406" w:type="dxa"/>
            <w:tcBorders>
              <w:top w:val="single" w:sz="8" w:space="0" w:color="FFFFFF"/>
              <w:left w:val="nil"/>
              <w:bottom w:val="single" w:sz="12" w:space="0" w:color="FFFFFF"/>
              <w:right w:val="single" w:sz="8" w:space="0" w:color="FFFFFF"/>
            </w:tcBorders>
            <w:shd w:val="clear" w:color="000000" w:fill="008C9B"/>
            <w:vAlign w:val="center"/>
            <w:hideMark/>
          </w:tcPr>
          <w:p w14:paraId="2557EEAE" w14:textId="77777777" w:rsidR="00EA666B" w:rsidRPr="00EA666B" w:rsidRDefault="00EA666B" w:rsidP="00EA666B">
            <w:pPr>
              <w:spacing w:after="0"/>
              <w:jc w:val="center"/>
              <w:rPr>
                <w:rFonts w:ascii="Calibri" w:eastAsia="Times New Roman" w:hAnsi="Calibri"/>
                <w:b/>
                <w:bCs/>
                <w:color w:val="FFFFFF"/>
                <w:sz w:val="20"/>
                <w:lang w:eastAsia="en-GB"/>
              </w:rPr>
            </w:pPr>
            <w:r w:rsidRPr="00EA666B">
              <w:rPr>
                <w:rFonts w:ascii="Calibri" w:eastAsia="Times New Roman" w:hAnsi="Calibri"/>
                <w:b/>
                <w:bCs/>
                <w:color w:val="FFFFFF"/>
                <w:sz w:val="20"/>
                <w:lang w:eastAsia="en-GB"/>
              </w:rPr>
              <w:t>Direct Impact</w:t>
            </w:r>
          </w:p>
        </w:tc>
        <w:tc>
          <w:tcPr>
            <w:tcW w:w="1453" w:type="dxa"/>
            <w:tcBorders>
              <w:top w:val="single" w:sz="8" w:space="0" w:color="FFFFFF"/>
              <w:left w:val="nil"/>
              <w:bottom w:val="single" w:sz="12" w:space="0" w:color="FFFFFF"/>
              <w:right w:val="single" w:sz="8" w:space="0" w:color="FFFFFF"/>
            </w:tcBorders>
            <w:shd w:val="clear" w:color="000000" w:fill="008C9B"/>
            <w:vAlign w:val="center"/>
            <w:hideMark/>
          </w:tcPr>
          <w:p w14:paraId="396C62E7" w14:textId="77777777" w:rsidR="00EA666B" w:rsidRPr="00EA666B" w:rsidRDefault="00EA666B" w:rsidP="00EA666B">
            <w:pPr>
              <w:spacing w:after="0"/>
              <w:jc w:val="center"/>
              <w:rPr>
                <w:rFonts w:ascii="Calibri" w:eastAsia="Times New Roman" w:hAnsi="Calibri"/>
                <w:b/>
                <w:bCs/>
                <w:color w:val="FFFFFF"/>
                <w:sz w:val="20"/>
                <w:lang w:eastAsia="en-GB"/>
              </w:rPr>
            </w:pPr>
            <w:r w:rsidRPr="00EA666B">
              <w:rPr>
                <w:rFonts w:ascii="Calibri" w:eastAsia="Times New Roman" w:hAnsi="Calibri"/>
                <w:b/>
                <w:bCs/>
                <w:color w:val="FFFFFF"/>
                <w:sz w:val="20"/>
                <w:lang w:eastAsia="en-GB"/>
              </w:rPr>
              <w:t>Indirect Impact</w:t>
            </w:r>
          </w:p>
        </w:tc>
        <w:tc>
          <w:tcPr>
            <w:tcW w:w="1453" w:type="dxa"/>
            <w:tcBorders>
              <w:top w:val="single" w:sz="8" w:space="0" w:color="FFFFFF"/>
              <w:left w:val="nil"/>
              <w:bottom w:val="single" w:sz="12" w:space="0" w:color="FFFFFF"/>
              <w:right w:val="single" w:sz="8" w:space="0" w:color="FFFFFF"/>
            </w:tcBorders>
            <w:shd w:val="clear" w:color="000000" w:fill="008C9B"/>
            <w:vAlign w:val="center"/>
            <w:hideMark/>
          </w:tcPr>
          <w:p w14:paraId="0E1AFBA8" w14:textId="77777777" w:rsidR="00EA666B" w:rsidRPr="00EA666B" w:rsidRDefault="00EA666B" w:rsidP="00EA666B">
            <w:pPr>
              <w:spacing w:after="0"/>
              <w:jc w:val="center"/>
              <w:rPr>
                <w:rFonts w:ascii="Calibri" w:eastAsia="Times New Roman" w:hAnsi="Calibri"/>
                <w:b/>
                <w:bCs/>
                <w:color w:val="FFFFFF"/>
                <w:sz w:val="20"/>
                <w:lang w:eastAsia="en-GB"/>
              </w:rPr>
            </w:pPr>
            <w:r w:rsidRPr="00EA666B">
              <w:rPr>
                <w:rFonts w:ascii="Calibri" w:eastAsia="Times New Roman" w:hAnsi="Calibri"/>
                <w:b/>
                <w:bCs/>
                <w:color w:val="FFFFFF"/>
                <w:sz w:val="20"/>
                <w:lang w:eastAsia="en-GB"/>
              </w:rPr>
              <w:t>Induced Impact</w:t>
            </w:r>
          </w:p>
        </w:tc>
        <w:tc>
          <w:tcPr>
            <w:tcW w:w="1453" w:type="dxa"/>
            <w:tcBorders>
              <w:top w:val="single" w:sz="8" w:space="0" w:color="FFFFFF"/>
              <w:left w:val="nil"/>
              <w:bottom w:val="single" w:sz="12" w:space="0" w:color="FFFFFF"/>
              <w:right w:val="single" w:sz="8" w:space="0" w:color="FFFFFF"/>
            </w:tcBorders>
            <w:shd w:val="clear" w:color="000000" w:fill="008C9B"/>
            <w:vAlign w:val="center"/>
            <w:hideMark/>
          </w:tcPr>
          <w:p w14:paraId="3C35174D" w14:textId="77777777" w:rsidR="00EA666B" w:rsidRPr="00EA666B" w:rsidRDefault="00EA666B" w:rsidP="00EA666B">
            <w:pPr>
              <w:spacing w:after="0"/>
              <w:jc w:val="center"/>
              <w:rPr>
                <w:rFonts w:ascii="Calibri" w:eastAsia="Times New Roman" w:hAnsi="Calibri"/>
                <w:b/>
                <w:bCs/>
                <w:color w:val="FFFFFF"/>
                <w:sz w:val="20"/>
                <w:lang w:eastAsia="en-GB"/>
              </w:rPr>
            </w:pPr>
            <w:r w:rsidRPr="00EA666B">
              <w:rPr>
                <w:rFonts w:ascii="Calibri" w:eastAsia="Times New Roman" w:hAnsi="Calibri"/>
                <w:b/>
                <w:bCs/>
                <w:color w:val="FFFFFF"/>
                <w:sz w:val="20"/>
                <w:lang w:eastAsia="en-GB"/>
              </w:rPr>
              <w:t>Aggregate Impact</w:t>
            </w:r>
          </w:p>
        </w:tc>
      </w:tr>
      <w:tr w:rsidR="00EA666B" w:rsidRPr="00EA666B" w14:paraId="3B71D113" w14:textId="77777777" w:rsidTr="00EA666B">
        <w:trPr>
          <w:trHeight w:val="299"/>
        </w:trPr>
        <w:tc>
          <w:tcPr>
            <w:tcW w:w="3843" w:type="dxa"/>
            <w:tcBorders>
              <w:top w:val="nil"/>
              <w:left w:val="single" w:sz="8" w:space="0" w:color="FFFFFF"/>
              <w:bottom w:val="single" w:sz="8" w:space="0" w:color="FFFFFF"/>
              <w:right w:val="single" w:sz="8" w:space="0" w:color="FFFFFF"/>
            </w:tcBorders>
            <w:shd w:val="clear" w:color="000000" w:fill="008C9B"/>
            <w:vAlign w:val="center"/>
            <w:hideMark/>
          </w:tcPr>
          <w:p w14:paraId="3089B893" w14:textId="77777777" w:rsidR="00EA666B" w:rsidRPr="00EA666B" w:rsidRDefault="00EA666B" w:rsidP="00EA666B">
            <w:pPr>
              <w:spacing w:after="0"/>
              <w:rPr>
                <w:rFonts w:ascii="Calibri" w:eastAsia="Times New Roman" w:hAnsi="Calibri"/>
                <w:b/>
                <w:bCs/>
                <w:color w:val="FFFFFF"/>
                <w:sz w:val="20"/>
                <w:lang w:eastAsia="en-GB"/>
              </w:rPr>
            </w:pPr>
            <w:r w:rsidRPr="00EA666B">
              <w:rPr>
                <w:rFonts w:ascii="Calibri" w:eastAsia="Times New Roman" w:hAnsi="Calibri"/>
                <w:b/>
                <w:bCs/>
                <w:color w:val="FFFFFF"/>
                <w:sz w:val="20"/>
                <w:lang w:eastAsia="en-GB"/>
              </w:rPr>
              <w:t>TOTAL</w:t>
            </w:r>
          </w:p>
        </w:tc>
        <w:tc>
          <w:tcPr>
            <w:tcW w:w="1406" w:type="dxa"/>
            <w:tcBorders>
              <w:top w:val="nil"/>
              <w:left w:val="nil"/>
              <w:bottom w:val="single" w:sz="8" w:space="0" w:color="FFFFFF"/>
              <w:right w:val="single" w:sz="8" w:space="0" w:color="FFFFFF"/>
            </w:tcBorders>
            <w:shd w:val="clear" w:color="000000" w:fill="E7EEEF"/>
            <w:vAlign w:val="center"/>
            <w:hideMark/>
          </w:tcPr>
          <w:p w14:paraId="2E7AAE3A"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3,714</w:t>
            </w:r>
          </w:p>
        </w:tc>
        <w:tc>
          <w:tcPr>
            <w:tcW w:w="1453" w:type="dxa"/>
            <w:tcBorders>
              <w:top w:val="nil"/>
              <w:left w:val="nil"/>
              <w:bottom w:val="single" w:sz="8" w:space="0" w:color="FFFFFF"/>
              <w:right w:val="single" w:sz="8" w:space="0" w:color="FFFFFF"/>
            </w:tcBorders>
            <w:shd w:val="clear" w:color="000000" w:fill="E7EEEF"/>
            <w:vAlign w:val="center"/>
            <w:hideMark/>
          </w:tcPr>
          <w:p w14:paraId="337AC435"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2,351</w:t>
            </w:r>
          </w:p>
        </w:tc>
        <w:tc>
          <w:tcPr>
            <w:tcW w:w="1453" w:type="dxa"/>
            <w:tcBorders>
              <w:top w:val="nil"/>
              <w:left w:val="nil"/>
              <w:bottom w:val="single" w:sz="8" w:space="0" w:color="FFFFFF"/>
              <w:right w:val="single" w:sz="8" w:space="0" w:color="FFFFFF"/>
            </w:tcBorders>
            <w:shd w:val="clear" w:color="000000" w:fill="E7EEEF"/>
            <w:vAlign w:val="center"/>
            <w:hideMark/>
          </w:tcPr>
          <w:p w14:paraId="07C5F6A1"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1,784</w:t>
            </w:r>
          </w:p>
        </w:tc>
        <w:tc>
          <w:tcPr>
            <w:tcW w:w="1453" w:type="dxa"/>
            <w:tcBorders>
              <w:top w:val="nil"/>
              <w:left w:val="nil"/>
              <w:bottom w:val="single" w:sz="8" w:space="0" w:color="FFFFFF"/>
              <w:right w:val="single" w:sz="8" w:space="0" w:color="FFFFFF"/>
            </w:tcBorders>
            <w:shd w:val="clear" w:color="000000" w:fill="E7EEEF"/>
            <w:vAlign w:val="center"/>
            <w:hideMark/>
          </w:tcPr>
          <w:p w14:paraId="50933C01"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7,849</w:t>
            </w:r>
          </w:p>
        </w:tc>
      </w:tr>
      <w:tr w:rsidR="00EA666B" w:rsidRPr="00EA666B" w14:paraId="3723035D" w14:textId="77777777" w:rsidTr="00EA666B">
        <w:trPr>
          <w:trHeight w:val="285"/>
        </w:trPr>
        <w:tc>
          <w:tcPr>
            <w:tcW w:w="3843" w:type="dxa"/>
            <w:tcBorders>
              <w:top w:val="nil"/>
              <w:left w:val="single" w:sz="8" w:space="0" w:color="FFFFFF"/>
              <w:bottom w:val="single" w:sz="8" w:space="0" w:color="FFFFFF"/>
              <w:right w:val="single" w:sz="8" w:space="0" w:color="FFFFFF"/>
            </w:tcBorders>
            <w:shd w:val="clear" w:color="000000" w:fill="008C9B"/>
            <w:vAlign w:val="center"/>
            <w:hideMark/>
          </w:tcPr>
          <w:p w14:paraId="186E9029" w14:textId="77777777" w:rsidR="00EA666B" w:rsidRPr="00EA666B" w:rsidRDefault="00EA666B" w:rsidP="00EA666B">
            <w:pPr>
              <w:spacing w:after="0"/>
              <w:rPr>
                <w:rFonts w:ascii="Calibri" w:eastAsia="Times New Roman" w:hAnsi="Calibri"/>
                <w:color w:val="FFFFFF"/>
                <w:sz w:val="20"/>
                <w:lang w:eastAsia="en-GB"/>
              </w:rPr>
            </w:pPr>
            <w:r w:rsidRPr="00EA666B">
              <w:rPr>
                <w:rFonts w:ascii="Calibri" w:eastAsia="Times New Roman" w:hAnsi="Calibri"/>
                <w:color w:val="FFFFFF"/>
                <w:sz w:val="20"/>
                <w:lang w:eastAsia="en-GB"/>
              </w:rPr>
              <w:t>Shipping</w:t>
            </w:r>
          </w:p>
        </w:tc>
        <w:tc>
          <w:tcPr>
            <w:tcW w:w="1406" w:type="dxa"/>
            <w:tcBorders>
              <w:top w:val="nil"/>
              <w:left w:val="nil"/>
              <w:bottom w:val="single" w:sz="8" w:space="0" w:color="FFFFFF"/>
              <w:right w:val="single" w:sz="8" w:space="0" w:color="FFFFFF"/>
            </w:tcBorders>
            <w:shd w:val="clear" w:color="000000" w:fill="D0CECE"/>
            <w:vAlign w:val="center"/>
            <w:hideMark/>
          </w:tcPr>
          <w:p w14:paraId="649D2898"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862</w:t>
            </w:r>
          </w:p>
        </w:tc>
        <w:tc>
          <w:tcPr>
            <w:tcW w:w="1453" w:type="dxa"/>
            <w:tcBorders>
              <w:top w:val="nil"/>
              <w:left w:val="nil"/>
              <w:bottom w:val="single" w:sz="8" w:space="0" w:color="FFFFFF"/>
              <w:right w:val="single" w:sz="8" w:space="0" w:color="FFFFFF"/>
            </w:tcBorders>
            <w:shd w:val="clear" w:color="000000" w:fill="D0CECE"/>
            <w:vAlign w:val="center"/>
            <w:hideMark/>
          </w:tcPr>
          <w:p w14:paraId="7C2B35CB"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911</w:t>
            </w:r>
          </w:p>
        </w:tc>
        <w:tc>
          <w:tcPr>
            <w:tcW w:w="1453" w:type="dxa"/>
            <w:tcBorders>
              <w:top w:val="nil"/>
              <w:left w:val="nil"/>
              <w:bottom w:val="single" w:sz="8" w:space="0" w:color="FFFFFF"/>
              <w:right w:val="single" w:sz="8" w:space="0" w:color="FFFFFF"/>
            </w:tcBorders>
            <w:shd w:val="clear" w:color="000000" w:fill="D0CECE"/>
            <w:vAlign w:val="center"/>
            <w:hideMark/>
          </w:tcPr>
          <w:p w14:paraId="20BBA023"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571</w:t>
            </w:r>
          </w:p>
        </w:tc>
        <w:tc>
          <w:tcPr>
            <w:tcW w:w="1453" w:type="dxa"/>
            <w:tcBorders>
              <w:top w:val="nil"/>
              <w:left w:val="nil"/>
              <w:bottom w:val="single" w:sz="8" w:space="0" w:color="FFFFFF"/>
              <w:right w:val="single" w:sz="8" w:space="0" w:color="FFFFFF"/>
            </w:tcBorders>
            <w:shd w:val="clear" w:color="000000" w:fill="D0CECE"/>
            <w:vAlign w:val="center"/>
            <w:hideMark/>
          </w:tcPr>
          <w:p w14:paraId="58FB2E10"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2,343</w:t>
            </w:r>
          </w:p>
        </w:tc>
      </w:tr>
      <w:tr w:rsidR="00EA666B" w:rsidRPr="00EA666B" w14:paraId="256D11D2" w14:textId="77777777" w:rsidTr="00EA666B">
        <w:trPr>
          <w:trHeight w:val="285"/>
        </w:trPr>
        <w:tc>
          <w:tcPr>
            <w:tcW w:w="3843" w:type="dxa"/>
            <w:tcBorders>
              <w:top w:val="nil"/>
              <w:left w:val="single" w:sz="8" w:space="0" w:color="FFFFFF"/>
              <w:bottom w:val="single" w:sz="8" w:space="0" w:color="FFFFFF"/>
              <w:right w:val="single" w:sz="8" w:space="0" w:color="FFFFFF"/>
            </w:tcBorders>
            <w:shd w:val="clear" w:color="000000" w:fill="008C9B"/>
            <w:vAlign w:val="center"/>
            <w:hideMark/>
          </w:tcPr>
          <w:p w14:paraId="5544E1AC" w14:textId="77777777" w:rsidR="00EA666B" w:rsidRPr="00EA666B" w:rsidRDefault="00EA666B" w:rsidP="00EA666B">
            <w:pPr>
              <w:spacing w:after="0"/>
              <w:rPr>
                <w:rFonts w:ascii="Calibri" w:eastAsia="Times New Roman" w:hAnsi="Calibri"/>
                <w:color w:val="FFFFFF"/>
                <w:sz w:val="20"/>
                <w:lang w:eastAsia="en-GB"/>
              </w:rPr>
            </w:pPr>
            <w:r w:rsidRPr="00EA666B">
              <w:rPr>
                <w:rFonts w:ascii="Calibri" w:eastAsia="Times New Roman" w:hAnsi="Calibri"/>
                <w:color w:val="FFFFFF"/>
                <w:sz w:val="20"/>
                <w:lang w:eastAsia="en-GB"/>
              </w:rPr>
              <w:t>Ports</w:t>
            </w:r>
          </w:p>
        </w:tc>
        <w:tc>
          <w:tcPr>
            <w:tcW w:w="1406" w:type="dxa"/>
            <w:tcBorders>
              <w:top w:val="nil"/>
              <w:left w:val="nil"/>
              <w:bottom w:val="single" w:sz="8" w:space="0" w:color="FFFFFF"/>
              <w:right w:val="single" w:sz="8" w:space="0" w:color="FFFFFF"/>
            </w:tcBorders>
            <w:shd w:val="clear" w:color="000000" w:fill="E7EEEF"/>
            <w:vAlign w:val="center"/>
            <w:hideMark/>
          </w:tcPr>
          <w:p w14:paraId="4E9269FC"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238</w:t>
            </w:r>
          </w:p>
        </w:tc>
        <w:tc>
          <w:tcPr>
            <w:tcW w:w="1453" w:type="dxa"/>
            <w:tcBorders>
              <w:top w:val="nil"/>
              <w:left w:val="nil"/>
              <w:bottom w:val="single" w:sz="8" w:space="0" w:color="FFFFFF"/>
              <w:right w:val="single" w:sz="8" w:space="0" w:color="FFFFFF"/>
            </w:tcBorders>
            <w:shd w:val="clear" w:color="000000" w:fill="E7EEEF"/>
            <w:vAlign w:val="center"/>
            <w:hideMark/>
          </w:tcPr>
          <w:p w14:paraId="61F8D4F7"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279</w:t>
            </w:r>
          </w:p>
        </w:tc>
        <w:tc>
          <w:tcPr>
            <w:tcW w:w="1453" w:type="dxa"/>
            <w:tcBorders>
              <w:top w:val="nil"/>
              <w:left w:val="nil"/>
              <w:bottom w:val="single" w:sz="8" w:space="0" w:color="FFFFFF"/>
              <w:right w:val="single" w:sz="8" w:space="0" w:color="FFFFFF"/>
            </w:tcBorders>
            <w:shd w:val="clear" w:color="000000" w:fill="E7EEEF"/>
            <w:vAlign w:val="center"/>
            <w:hideMark/>
          </w:tcPr>
          <w:p w14:paraId="220F0191"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181</w:t>
            </w:r>
          </w:p>
        </w:tc>
        <w:tc>
          <w:tcPr>
            <w:tcW w:w="1453" w:type="dxa"/>
            <w:tcBorders>
              <w:top w:val="nil"/>
              <w:left w:val="nil"/>
              <w:bottom w:val="single" w:sz="8" w:space="0" w:color="FFFFFF"/>
              <w:right w:val="single" w:sz="8" w:space="0" w:color="FFFFFF"/>
            </w:tcBorders>
            <w:shd w:val="clear" w:color="000000" w:fill="E7EEEF"/>
            <w:vAlign w:val="center"/>
            <w:hideMark/>
          </w:tcPr>
          <w:p w14:paraId="34BBD87D"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698</w:t>
            </w:r>
          </w:p>
        </w:tc>
      </w:tr>
      <w:tr w:rsidR="00EA666B" w:rsidRPr="00EA666B" w14:paraId="246F1CFF" w14:textId="77777777" w:rsidTr="00EA666B">
        <w:trPr>
          <w:trHeight w:val="285"/>
        </w:trPr>
        <w:tc>
          <w:tcPr>
            <w:tcW w:w="3843" w:type="dxa"/>
            <w:tcBorders>
              <w:top w:val="nil"/>
              <w:left w:val="single" w:sz="8" w:space="0" w:color="FFFFFF"/>
              <w:bottom w:val="single" w:sz="8" w:space="0" w:color="FFFFFF"/>
              <w:right w:val="single" w:sz="8" w:space="0" w:color="FFFFFF"/>
            </w:tcBorders>
            <w:shd w:val="clear" w:color="000000" w:fill="008C9B"/>
            <w:vAlign w:val="center"/>
            <w:hideMark/>
          </w:tcPr>
          <w:p w14:paraId="64517A08" w14:textId="77777777" w:rsidR="00EA666B" w:rsidRPr="00EA666B" w:rsidRDefault="00EA666B" w:rsidP="00EA666B">
            <w:pPr>
              <w:spacing w:after="0"/>
              <w:rPr>
                <w:rFonts w:ascii="Calibri" w:eastAsia="Times New Roman" w:hAnsi="Calibri"/>
                <w:color w:val="FFFFFF"/>
                <w:sz w:val="20"/>
                <w:lang w:eastAsia="en-GB"/>
              </w:rPr>
            </w:pPr>
            <w:r w:rsidRPr="00EA666B">
              <w:rPr>
                <w:rFonts w:ascii="Calibri" w:eastAsia="Times New Roman" w:hAnsi="Calibri"/>
                <w:color w:val="FFFFFF"/>
                <w:sz w:val="20"/>
                <w:lang w:eastAsia="en-GB"/>
              </w:rPr>
              <w:t>Leisure Marine</w:t>
            </w:r>
          </w:p>
        </w:tc>
        <w:tc>
          <w:tcPr>
            <w:tcW w:w="1406" w:type="dxa"/>
            <w:tcBorders>
              <w:top w:val="nil"/>
              <w:left w:val="nil"/>
              <w:bottom w:val="single" w:sz="8" w:space="0" w:color="FFFFFF"/>
              <w:right w:val="single" w:sz="8" w:space="0" w:color="FFFFFF"/>
            </w:tcBorders>
            <w:shd w:val="clear" w:color="000000" w:fill="D0CECE"/>
            <w:vAlign w:val="center"/>
            <w:hideMark/>
          </w:tcPr>
          <w:p w14:paraId="24C36F75"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16</w:t>
            </w:r>
          </w:p>
        </w:tc>
        <w:tc>
          <w:tcPr>
            <w:tcW w:w="1453" w:type="dxa"/>
            <w:tcBorders>
              <w:top w:val="nil"/>
              <w:left w:val="nil"/>
              <w:bottom w:val="single" w:sz="8" w:space="0" w:color="FFFFFF"/>
              <w:right w:val="single" w:sz="8" w:space="0" w:color="FFFFFF"/>
            </w:tcBorders>
            <w:shd w:val="clear" w:color="000000" w:fill="D0CECE"/>
            <w:vAlign w:val="center"/>
            <w:hideMark/>
          </w:tcPr>
          <w:p w14:paraId="78979A37"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15</w:t>
            </w:r>
          </w:p>
        </w:tc>
        <w:tc>
          <w:tcPr>
            <w:tcW w:w="1453" w:type="dxa"/>
            <w:tcBorders>
              <w:top w:val="nil"/>
              <w:left w:val="nil"/>
              <w:bottom w:val="single" w:sz="8" w:space="0" w:color="FFFFFF"/>
              <w:right w:val="single" w:sz="8" w:space="0" w:color="FFFFFF"/>
            </w:tcBorders>
            <w:shd w:val="clear" w:color="000000" w:fill="D0CECE"/>
            <w:vAlign w:val="center"/>
            <w:hideMark/>
          </w:tcPr>
          <w:p w14:paraId="6B043174"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11</w:t>
            </w:r>
          </w:p>
        </w:tc>
        <w:tc>
          <w:tcPr>
            <w:tcW w:w="1453" w:type="dxa"/>
            <w:tcBorders>
              <w:top w:val="nil"/>
              <w:left w:val="nil"/>
              <w:bottom w:val="single" w:sz="8" w:space="0" w:color="FFFFFF"/>
              <w:right w:val="single" w:sz="8" w:space="0" w:color="FFFFFF"/>
            </w:tcBorders>
            <w:shd w:val="clear" w:color="000000" w:fill="D0CECE"/>
            <w:vAlign w:val="center"/>
            <w:hideMark/>
          </w:tcPr>
          <w:p w14:paraId="1AEA2A8D"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42</w:t>
            </w:r>
          </w:p>
        </w:tc>
      </w:tr>
      <w:tr w:rsidR="00EA666B" w:rsidRPr="00EA666B" w14:paraId="4EEBBCB3" w14:textId="77777777" w:rsidTr="00EA666B">
        <w:trPr>
          <w:trHeight w:val="285"/>
        </w:trPr>
        <w:tc>
          <w:tcPr>
            <w:tcW w:w="3843" w:type="dxa"/>
            <w:tcBorders>
              <w:top w:val="nil"/>
              <w:left w:val="single" w:sz="8" w:space="0" w:color="FFFFFF"/>
              <w:bottom w:val="single" w:sz="8" w:space="0" w:color="FFFFFF"/>
              <w:right w:val="single" w:sz="8" w:space="0" w:color="FFFFFF"/>
            </w:tcBorders>
            <w:shd w:val="clear" w:color="000000" w:fill="008C9B"/>
            <w:vAlign w:val="center"/>
            <w:hideMark/>
          </w:tcPr>
          <w:p w14:paraId="55B817D6" w14:textId="77777777" w:rsidR="00EA666B" w:rsidRPr="00EA666B" w:rsidRDefault="00EA666B" w:rsidP="00EA666B">
            <w:pPr>
              <w:spacing w:after="0"/>
              <w:rPr>
                <w:rFonts w:ascii="Calibri" w:eastAsia="Times New Roman" w:hAnsi="Calibri"/>
                <w:color w:val="FFFFFF"/>
                <w:sz w:val="20"/>
                <w:lang w:eastAsia="en-GB"/>
              </w:rPr>
            </w:pPr>
            <w:r w:rsidRPr="00EA666B">
              <w:rPr>
                <w:rFonts w:ascii="Calibri" w:eastAsia="Times New Roman" w:hAnsi="Calibri"/>
                <w:color w:val="FFFFFF"/>
                <w:sz w:val="20"/>
                <w:lang w:eastAsia="en-GB"/>
              </w:rPr>
              <w:t>Marine Offshore Oil &amp; Gas</w:t>
            </w:r>
          </w:p>
        </w:tc>
        <w:tc>
          <w:tcPr>
            <w:tcW w:w="1406" w:type="dxa"/>
            <w:tcBorders>
              <w:top w:val="nil"/>
              <w:left w:val="nil"/>
              <w:bottom w:val="single" w:sz="8" w:space="0" w:color="FFFFFF"/>
              <w:right w:val="single" w:sz="8" w:space="0" w:color="FFFFFF"/>
            </w:tcBorders>
            <w:shd w:val="clear" w:color="000000" w:fill="E7EEEF"/>
            <w:vAlign w:val="center"/>
            <w:hideMark/>
          </w:tcPr>
          <w:p w14:paraId="1277453C"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1,952</w:t>
            </w:r>
          </w:p>
        </w:tc>
        <w:tc>
          <w:tcPr>
            <w:tcW w:w="1453" w:type="dxa"/>
            <w:tcBorders>
              <w:top w:val="nil"/>
              <w:left w:val="nil"/>
              <w:bottom w:val="single" w:sz="8" w:space="0" w:color="FFFFFF"/>
              <w:right w:val="single" w:sz="8" w:space="0" w:color="FFFFFF"/>
            </w:tcBorders>
            <w:shd w:val="clear" w:color="000000" w:fill="E7EEEF"/>
            <w:vAlign w:val="center"/>
            <w:hideMark/>
          </w:tcPr>
          <w:p w14:paraId="04A7D622"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584</w:t>
            </w:r>
          </w:p>
        </w:tc>
        <w:tc>
          <w:tcPr>
            <w:tcW w:w="1453" w:type="dxa"/>
            <w:tcBorders>
              <w:top w:val="nil"/>
              <w:left w:val="nil"/>
              <w:bottom w:val="single" w:sz="8" w:space="0" w:color="FFFFFF"/>
              <w:right w:val="single" w:sz="8" w:space="0" w:color="FFFFFF"/>
            </w:tcBorders>
            <w:shd w:val="clear" w:color="000000" w:fill="E7EEEF"/>
            <w:vAlign w:val="center"/>
            <w:hideMark/>
          </w:tcPr>
          <w:p w14:paraId="35CE86D5"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580</w:t>
            </w:r>
          </w:p>
        </w:tc>
        <w:tc>
          <w:tcPr>
            <w:tcW w:w="1453" w:type="dxa"/>
            <w:tcBorders>
              <w:top w:val="nil"/>
              <w:left w:val="nil"/>
              <w:bottom w:val="single" w:sz="8" w:space="0" w:color="FFFFFF"/>
              <w:right w:val="single" w:sz="8" w:space="0" w:color="FFFFFF"/>
            </w:tcBorders>
            <w:shd w:val="clear" w:color="000000" w:fill="E7EEEF"/>
            <w:vAlign w:val="center"/>
            <w:hideMark/>
          </w:tcPr>
          <w:p w14:paraId="4F1760DC"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3,115</w:t>
            </w:r>
          </w:p>
        </w:tc>
      </w:tr>
      <w:tr w:rsidR="00EA666B" w:rsidRPr="00EA666B" w14:paraId="516A6AD7" w14:textId="77777777" w:rsidTr="00EA666B">
        <w:trPr>
          <w:trHeight w:val="285"/>
        </w:trPr>
        <w:tc>
          <w:tcPr>
            <w:tcW w:w="3843" w:type="dxa"/>
            <w:tcBorders>
              <w:top w:val="nil"/>
              <w:left w:val="single" w:sz="8" w:space="0" w:color="FFFFFF"/>
              <w:bottom w:val="single" w:sz="8" w:space="0" w:color="FFFFFF"/>
              <w:right w:val="single" w:sz="8" w:space="0" w:color="FFFFFF"/>
            </w:tcBorders>
            <w:shd w:val="clear" w:color="000000" w:fill="008C9B"/>
            <w:vAlign w:val="center"/>
            <w:hideMark/>
          </w:tcPr>
          <w:p w14:paraId="44B304A1" w14:textId="77777777" w:rsidR="00EA666B" w:rsidRPr="00EA666B" w:rsidRDefault="00EA666B" w:rsidP="00EA666B">
            <w:pPr>
              <w:spacing w:after="0"/>
              <w:rPr>
                <w:rFonts w:ascii="Calibri" w:eastAsia="Times New Roman" w:hAnsi="Calibri"/>
                <w:color w:val="FFFFFF"/>
                <w:sz w:val="20"/>
                <w:lang w:eastAsia="en-GB"/>
              </w:rPr>
            </w:pPr>
            <w:r w:rsidRPr="00EA666B">
              <w:rPr>
                <w:rFonts w:ascii="Calibri" w:eastAsia="Times New Roman" w:hAnsi="Calibri"/>
                <w:color w:val="FFFFFF"/>
                <w:sz w:val="20"/>
                <w:lang w:eastAsia="en-GB"/>
              </w:rPr>
              <w:t>Other Marine Engineering</w:t>
            </w:r>
          </w:p>
        </w:tc>
        <w:tc>
          <w:tcPr>
            <w:tcW w:w="1406" w:type="dxa"/>
            <w:tcBorders>
              <w:top w:val="nil"/>
              <w:left w:val="nil"/>
              <w:bottom w:val="single" w:sz="8" w:space="0" w:color="FFFFFF"/>
              <w:right w:val="single" w:sz="8" w:space="0" w:color="FFFFFF"/>
            </w:tcBorders>
            <w:shd w:val="clear" w:color="000000" w:fill="D0CECE"/>
            <w:vAlign w:val="center"/>
            <w:hideMark/>
          </w:tcPr>
          <w:p w14:paraId="22C57A05"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592</w:t>
            </w:r>
          </w:p>
        </w:tc>
        <w:tc>
          <w:tcPr>
            <w:tcW w:w="1453" w:type="dxa"/>
            <w:tcBorders>
              <w:top w:val="nil"/>
              <w:left w:val="nil"/>
              <w:bottom w:val="single" w:sz="8" w:space="0" w:color="FFFFFF"/>
              <w:right w:val="single" w:sz="8" w:space="0" w:color="FFFFFF"/>
            </w:tcBorders>
            <w:shd w:val="clear" w:color="000000" w:fill="D0CECE"/>
            <w:vAlign w:val="center"/>
            <w:hideMark/>
          </w:tcPr>
          <w:p w14:paraId="0CE6CA04"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509</w:t>
            </w:r>
          </w:p>
        </w:tc>
        <w:tc>
          <w:tcPr>
            <w:tcW w:w="1453" w:type="dxa"/>
            <w:tcBorders>
              <w:top w:val="nil"/>
              <w:left w:val="nil"/>
              <w:bottom w:val="single" w:sz="8" w:space="0" w:color="FFFFFF"/>
              <w:right w:val="single" w:sz="8" w:space="0" w:color="FFFFFF"/>
            </w:tcBorders>
            <w:shd w:val="clear" w:color="000000" w:fill="D0CECE"/>
            <w:vAlign w:val="center"/>
            <w:hideMark/>
          </w:tcPr>
          <w:p w14:paraId="0CE0B7C6"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411</w:t>
            </w:r>
          </w:p>
        </w:tc>
        <w:tc>
          <w:tcPr>
            <w:tcW w:w="1453" w:type="dxa"/>
            <w:tcBorders>
              <w:top w:val="nil"/>
              <w:left w:val="nil"/>
              <w:bottom w:val="single" w:sz="8" w:space="0" w:color="FFFFFF"/>
              <w:right w:val="single" w:sz="8" w:space="0" w:color="FFFFFF"/>
            </w:tcBorders>
            <w:shd w:val="clear" w:color="000000" w:fill="D0CECE"/>
            <w:vAlign w:val="center"/>
            <w:hideMark/>
          </w:tcPr>
          <w:p w14:paraId="23F6E2E0"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1,512</w:t>
            </w:r>
          </w:p>
        </w:tc>
      </w:tr>
      <w:tr w:rsidR="00EA666B" w:rsidRPr="00EA666B" w14:paraId="7BCDD472" w14:textId="77777777" w:rsidTr="00EA666B">
        <w:trPr>
          <w:trHeight w:val="285"/>
        </w:trPr>
        <w:tc>
          <w:tcPr>
            <w:tcW w:w="3843" w:type="dxa"/>
            <w:tcBorders>
              <w:top w:val="nil"/>
              <w:left w:val="single" w:sz="8" w:space="0" w:color="FFFFFF"/>
              <w:bottom w:val="single" w:sz="8" w:space="0" w:color="FFFFFF"/>
              <w:right w:val="single" w:sz="8" w:space="0" w:color="FFFFFF"/>
            </w:tcBorders>
            <w:shd w:val="clear" w:color="000000" w:fill="008C9B"/>
            <w:vAlign w:val="center"/>
            <w:hideMark/>
          </w:tcPr>
          <w:p w14:paraId="7A918E2C" w14:textId="77777777" w:rsidR="00EA666B" w:rsidRPr="00EA666B" w:rsidRDefault="00EA666B" w:rsidP="00EA666B">
            <w:pPr>
              <w:spacing w:after="0"/>
              <w:rPr>
                <w:rFonts w:ascii="Calibri" w:eastAsia="Times New Roman" w:hAnsi="Calibri"/>
                <w:color w:val="FFFFFF"/>
                <w:sz w:val="20"/>
                <w:lang w:eastAsia="en-GB"/>
              </w:rPr>
            </w:pPr>
            <w:r w:rsidRPr="00EA666B">
              <w:rPr>
                <w:rFonts w:ascii="Calibri" w:eastAsia="Times New Roman" w:hAnsi="Calibri"/>
                <w:color w:val="FFFFFF"/>
                <w:sz w:val="20"/>
                <w:lang w:eastAsia="en-GB"/>
              </w:rPr>
              <w:t>Maritime Business Services</w:t>
            </w:r>
          </w:p>
        </w:tc>
        <w:tc>
          <w:tcPr>
            <w:tcW w:w="1406" w:type="dxa"/>
            <w:tcBorders>
              <w:top w:val="nil"/>
              <w:left w:val="nil"/>
              <w:bottom w:val="single" w:sz="8" w:space="0" w:color="FFFFFF"/>
              <w:right w:val="single" w:sz="8" w:space="0" w:color="FFFFFF"/>
            </w:tcBorders>
            <w:shd w:val="clear" w:color="000000" w:fill="E7EEEF"/>
            <w:vAlign w:val="center"/>
            <w:hideMark/>
          </w:tcPr>
          <w:p w14:paraId="3D08268B"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54</w:t>
            </w:r>
          </w:p>
        </w:tc>
        <w:tc>
          <w:tcPr>
            <w:tcW w:w="1453" w:type="dxa"/>
            <w:tcBorders>
              <w:top w:val="nil"/>
              <w:left w:val="nil"/>
              <w:bottom w:val="single" w:sz="8" w:space="0" w:color="FFFFFF"/>
              <w:right w:val="single" w:sz="8" w:space="0" w:color="FFFFFF"/>
            </w:tcBorders>
            <w:shd w:val="clear" w:color="000000" w:fill="E7EEEF"/>
            <w:vAlign w:val="center"/>
            <w:hideMark/>
          </w:tcPr>
          <w:p w14:paraId="7CBB865F"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55</w:t>
            </w:r>
          </w:p>
        </w:tc>
        <w:tc>
          <w:tcPr>
            <w:tcW w:w="1453" w:type="dxa"/>
            <w:tcBorders>
              <w:top w:val="nil"/>
              <w:left w:val="nil"/>
              <w:bottom w:val="single" w:sz="8" w:space="0" w:color="FFFFFF"/>
              <w:right w:val="single" w:sz="8" w:space="0" w:color="FFFFFF"/>
            </w:tcBorders>
            <w:shd w:val="clear" w:color="000000" w:fill="E7EEEF"/>
            <w:vAlign w:val="center"/>
            <w:hideMark/>
          </w:tcPr>
          <w:p w14:paraId="411EEF96"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30</w:t>
            </w:r>
          </w:p>
        </w:tc>
        <w:tc>
          <w:tcPr>
            <w:tcW w:w="1453" w:type="dxa"/>
            <w:tcBorders>
              <w:top w:val="nil"/>
              <w:left w:val="nil"/>
              <w:bottom w:val="single" w:sz="8" w:space="0" w:color="FFFFFF"/>
              <w:right w:val="single" w:sz="8" w:space="0" w:color="FFFFFF"/>
            </w:tcBorders>
            <w:shd w:val="clear" w:color="000000" w:fill="E7EEEF"/>
            <w:vAlign w:val="center"/>
            <w:hideMark/>
          </w:tcPr>
          <w:p w14:paraId="5ADA17BF" w14:textId="77777777" w:rsidR="00EA666B" w:rsidRPr="00EA666B" w:rsidRDefault="00EA666B" w:rsidP="00EA666B">
            <w:pPr>
              <w:spacing w:after="0"/>
              <w:jc w:val="center"/>
              <w:rPr>
                <w:rFonts w:ascii="Calibri" w:eastAsia="Times New Roman" w:hAnsi="Calibri"/>
                <w:color w:val="000000"/>
                <w:sz w:val="20"/>
                <w:lang w:eastAsia="en-GB"/>
              </w:rPr>
            </w:pPr>
            <w:r w:rsidRPr="00EA666B">
              <w:rPr>
                <w:rFonts w:ascii="Calibri" w:eastAsia="Times New Roman" w:hAnsi="Calibri"/>
                <w:color w:val="000000"/>
                <w:sz w:val="20"/>
                <w:lang w:eastAsia="en-GB"/>
              </w:rPr>
              <w:t>140</w:t>
            </w:r>
          </w:p>
        </w:tc>
      </w:tr>
    </w:tbl>
    <w:p w14:paraId="0FAB98BC" w14:textId="77777777" w:rsidR="00291A61" w:rsidRPr="00520FF4" w:rsidRDefault="00291A61" w:rsidP="00291A61">
      <w:pPr>
        <w:spacing w:before="60" w:after="120"/>
        <w:jc w:val="right"/>
        <w:rPr>
          <w:rStyle w:val="SubtleEmphasis"/>
          <w:sz w:val="18"/>
        </w:rPr>
      </w:pPr>
      <w:r w:rsidRPr="00520FF4">
        <w:rPr>
          <w:rStyle w:val="SubtleEmphasis"/>
          <w:sz w:val="18"/>
        </w:rPr>
        <w:t>Source: ONS, FAME, Cebr analysis</w:t>
      </w:r>
    </w:p>
    <w:p w14:paraId="4D574A16" w14:textId="01B4A74A" w:rsidR="00AD273B" w:rsidRDefault="000D4724" w:rsidP="00037501">
      <w:pPr>
        <w:spacing w:after="120"/>
      </w:pPr>
      <w:r>
        <w:fldChar w:fldCharType="begin"/>
      </w:r>
      <w:r>
        <w:instrText xml:space="preserve"> REF _Ref16685608 \h </w:instrText>
      </w:r>
      <w:r>
        <w:fldChar w:fldCharType="separate"/>
      </w:r>
      <w:r>
        <w:t xml:space="preserve">Table </w:t>
      </w:r>
      <w:r>
        <w:rPr>
          <w:noProof/>
        </w:rPr>
        <w:t>13</w:t>
      </w:r>
      <w:r>
        <w:fldChar w:fldCharType="end"/>
      </w:r>
      <w:r>
        <w:t xml:space="preserve"> </w:t>
      </w:r>
      <w:r w:rsidR="00344928">
        <w:t xml:space="preserve">below shows the estimated direct and </w:t>
      </w:r>
      <w:r w:rsidR="00CC6B0B">
        <w:t>aggregate economic</w:t>
      </w:r>
      <w:r w:rsidR="00540F4A">
        <w:t xml:space="preserve"> impacts of the Maritime S</w:t>
      </w:r>
      <w:r w:rsidR="00344928">
        <w:t xml:space="preserve">ector </w:t>
      </w:r>
      <w:r w:rsidR="006E0B91">
        <w:t>in Scotland</w:t>
      </w:r>
      <w:r w:rsidR="00344928">
        <w:t xml:space="preserve"> across the y</w:t>
      </w:r>
      <w:r w:rsidR="00AD273B">
        <w:t>ears 2010 and 2017</w:t>
      </w:r>
      <w:r w:rsidR="00344928">
        <w:t xml:space="preserve">. </w:t>
      </w:r>
      <w:r w:rsidR="00540F4A">
        <w:t>T</w:t>
      </w:r>
      <w:r w:rsidR="00344928">
        <w:t xml:space="preserve">he composite GVA multiplier (reflecting the overall ratio of direct to </w:t>
      </w:r>
      <w:r w:rsidR="00CC6B0B">
        <w:t>aggregate impact</w:t>
      </w:r>
      <w:r w:rsidR="00344928">
        <w:t xml:space="preserve">s) </w:t>
      </w:r>
      <w:r w:rsidR="008E5B55">
        <w:t xml:space="preserve">was </w:t>
      </w:r>
      <w:r w:rsidR="00540F4A">
        <w:t xml:space="preserve">2.11 in 2017. </w:t>
      </w:r>
    </w:p>
    <w:p w14:paraId="41652FA1" w14:textId="3BB67442" w:rsidR="00AD273B" w:rsidRPr="00AD273B" w:rsidRDefault="000D4724" w:rsidP="000D4724">
      <w:pPr>
        <w:pStyle w:val="Caption"/>
      </w:pPr>
      <w:bookmarkStart w:id="97" w:name="_Ref16685608"/>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13</w:t>
      </w:r>
      <w:r w:rsidR="00BF1DE1">
        <w:rPr>
          <w:noProof/>
        </w:rPr>
        <w:fldChar w:fldCharType="end"/>
      </w:r>
      <w:bookmarkEnd w:id="97"/>
      <w:r w:rsidR="00856904">
        <w:t xml:space="preserve">: </w:t>
      </w:r>
      <w:r w:rsidR="006E0B91">
        <w:t xml:space="preserve">Direct and </w:t>
      </w:r>
      <w:r w:rsidR="00CC6B0B">
        <w:t>Aggregate GVA</w:t>
      </w:r>
      <w:r w:rsidR="006E0B91">
        <w:t xml:space="preserve"> </w:t>
      </w:r>
      <w:r w:rsidR="006E0B91" w:rsidRPr="00380889">
        <w:t xml:space="preserve">impact of the Maritime </w:t>
      </w:r>
      <w:r w:rsidR="00650683">
        <w:t>S</w:t>
      </w:r>
      <w:r w:rsidR="00951366">
        <w:t>ector in Scotland, 2010 to 2017</w:t>
      </w:r>
      <w:r w:rsidR="00500200">
        <w:t>, £ million</w:t>
      </w:r>
    </w:p>
    <w:tbl>
      <w:tblPr>
        <w:tblW w:w="9095" w:type="dxa"/>
        <w:tblLook w:val="04A0" w:firstRow="1" w:lastRow="0" w:firstColumn="1" w:lastColumn="0" w:noHBand="0" w:noVBand="1"/>
      </w:tblPr>
      <w:tblGrid>
        <w:gridCol w:w="833"/>
        <w:gridCol w:w="2521"/>
        <w:gridCol w:w="3027"/>
        <w:gridCol w:w="2714"/>
      </w:tblGrid>
      <w:tr w:rsidR="00AD273B" w:rsidRPr="00AD273B" w14:paraId="2574A5D5" w14:textId="77777777" w:rsidTr="00AD273B">
        <w:trPr>
          <w:trHeight w:val="466"/>
        </w:trPr>
        <w:tc>
          <w:tcPr>
            <w:tcW w:w="833" w:type="dxa"/>
            <w:tcBorders>
              <w:top w:val="nil"/>
              <w:left w:val="single" w:sz="8" w:space="0" w:color="FFFFFF"/>
              <w:bottom w:val="single" w:sz="8" w:space="0" w:color="FFFFFF"/>
              <w:right w:val="single" w:sz="8" w:space="0" w:color="FFFFFF"/>
            </w:tcBorders>
            <w:shd w:val="clear" w:color="000000" w:fill="008C9B"/>
            <w:vAlign w:val="center"/>
            <w:hideMark/>
          </w:tcPr>
          <w:p w14:paraId="122F631C" w14:textId="77777777" w:rsidR="00AD273B" w:rsidRPr="00AD273B" w:rsidRDefault="00AD273B" w:rsidP="00AD273B">
            <w:pPr>
              <w:spacing w:after="0"/>
              <w:rPr>
                <w:rFonts w:ascii="Calibri" w:eastAsia="Times New Roman" w:hAnsi="Calibri"/>
                <w:color w:val="FFFFFF"/>
                <w:sz w:val="20"/>
                <w:lang w:eastAsia="en-GB"/>
              </w:rPr>
            </w:pPr>
            <w:r w:rsidRPr="00AD273B">
              <w:rPr>
                <w:rFonts w:ascii="Calibri" w:eastAsia="Times New Roman" w:hAnsi="Calibri"/>
                <w:color w:val="FFFFFF"/>
                <w:sz w:val="20"/>
                <w:lang w:eastAsia="en-GB"/>
              </w:rPr>
              <w:t>Year</w:t>
            </w:r>
          </w:p>
        </w:tc>
        <w:tc>
          <w:tcPr>
            <w:tcW w:w="2521" w:type="dxa"/>
            <w:tcBorders>
              <w:top w:val="single" w:sz="8" w:space="0" w:color="FFFFFF"/>
              <w:left w:val="nil"/>
              <w:bottom w:val="single" w:sz="12" w:space="0" w:color="FFFFFF"/>
              <w:right w:val="single" w:sz="8" w:space="0" w:color="FFFFFF"/>
            </w:tcBorders>
            <w:shd w:val="clear" w:color="000000" w:fill="008C9B"/>
            <w:vAlign w:val="center"/>
            <w:hideMark/>
          </w:tcPr>
          <w:p w14:paraId="3EF9EC88" w14:textId="77777777" w:rsidR="00AD273B" w:rsidRPr="00AD273B" w:rsidRDefault="00AD273B" w:rsidP="00AD273B">
            <w:pPr>
              <w:spacing w:after="0"/>
              <w:jc w:val="center"/>
              <w:rPr>
                <w:rFonts w:ascii="Calibri" w:eastAsia="Times New Roman" w:hAnsi="Calibri"/>
                <w:b/>
                <w:bCs/>
                <w:color w:val="FFFFFF"/>
                <w:sz w:val="20"/>
                <w:lang w:eastAsia="en-GB"/>
              </w:rPr>
            </w:pPr>
            <w:r w:rsidRPr="00AD273B">
              <w:rPr>
                <w:rFonts w:ascii="Calibri" w:eastAsia="Times New Roman" w:hAnsi="Calibri"/>
                <w:b/>
                <w:bCs/>
                <w:color w:val="FFFFFF"/>
                <w:sz w:val="20"/>
                <w:lang w:eastAsia="en-GB"/>
              </w:rPr>
              <w:t>Direct Impact</w:t>
            </w:r>
          </w:p>
        </w:tc>
        <w:tc>
          <w:tcPr>
            <w:tcW w:w="3027" w:type="dxa"/>
            <w:tcBorders>
              <w:top w:val="single" w:sz="8" w:space="0" w:color="FFFFFF"/>
              <w:left w:val="nil"/>
              <w:bottom w:val="single" w:sz="12" w:space="0" w:color="FFFFFF"/>
              <w:right w:val="single" w:sz="8" w:space="0" w:color="FFFFFF"/>
            </w:tcBorders>
            <w:shd w:val="clear" w:color="000000" w:fill="008C9B"/>
            <w:vAlign w:val="center"/>
            <w:hideMark/>
          </w:tcPr>
          <w:p w14:paraId="14F40290" w14:textId="77777777" w:rsidR="00AD273B" w:rsidRPr="00AD273B" w:rsidRDefault="00AD273B" w:rsidP="00AD273B">
            <w:pPr>
              <w:spacing w:after="0"/>
              <w:jc w:val="center"/>
              <w:rPr>
                <w:rFonts w:ascii="Calibri" w:eastAsia="Times New Roman" w:hAnsi="Calibri"/>
                <w:b/>
                <w:bCs/>
                <w:color w:val="FFFFFF"/>
                <w:sz w:val="20"/>
                <w:lang w:eastAsia="en-GB"/>
              </w:rPr>
            </w:pPr>
            <w:r w:rsidRPr="00AD273B">
              <w:rPr>
                <w:rFonts w:ascii="Calibri" w:eastAsia="Times New Roman" w:hAnsi="Calibri"/>
                <w:b/>
                <w:bCs/>
                <w:color w:val="FFFFFF"/>
                <w:sz w:val="20"/>
                <w:lang w:eastAsia="en-GB"/>
              </w:rPr>
              <w:t>Composite GVA multiplier</w:t>
            </w:r>
          </w:p>
        </w:tc>
        <w:tc>
          <w:tcPr>
            <w:tcW w:w="2714" w:type="dxa"/>
            <w:tcBorders>
              <w:top w:val="single" w:sz="8" w:space="0" w:color="FFFFFF"/>
              <w:left w:val="nil"/>
              <w:bottom w:val="single" w:sz="12" w:space="0" w:color="FFFFFF"/>
              <w:right w:val="single" w:sz="8" w:space="0" w:color="FFFFFF"/>
            </w:tcBorders>
            <w:shd w:val="clear" w:color="000000" w:fill="008C9B"/>
            <w:vAlign w:val="center"/>
            <w:hideMark/>
          </w:tcPr>
          <w:p w14:paraId="70130A07" w14:textId="77777777" w:rsidR="00AD273B" w:rsidRPr="00AD273B" w:rsidRDefault="00AD273B" w:rsidP="00AD273B">
            <w:pPr>
              <w:spacing w:after="0"/>
              <w:jc w:val="center"/>
              <w:rPr>
                <w:rFonts w:ascii="Calibri" w:eastAsia="Times New Roman" w:hAnsi="Calibri"/>
                <w:b/>
                <w:bCs/>
                <w:color w:val="FFFFFF"/>
                <w:sz w:val="20"/>
                <w:lang w:eastAsia="en-GB"/>
              </w:rPr>
            </w:pPr>
            <w:r w:rsidRPr="00AD273B">
              <w:rPr>
                <w:rFonts w:ascii="Calibri" w:eastAsia="Times New Roman" w:hAnsi="Calibri"/>
                <w:b/>
                <w:bCs/>
                <w:color w:val="FFFFFF"/>
                <w:sz w:val="20"/>
                <w:lang w:eastAsia="en-GB"/>
              </w:rPr>
              <w:t>Aggregate impact</w:t>
            </w:r>
          </w:p>
        </w:tc>
      </w:tr>
      <w:tr w:rsidR="00AD273B" w:rsidRPr="00AD273B" w14:paraId="57FEE5F6" w14:textId="77777777" w:rsidTr="00AD273B">
        <w:trPr>
          <w:trHeight w:val="293"/>
        </w:trPr>
        <w:tc>
          <w:tcPr>
            <w:tcW w:w="833" w:type="dxa"/>
            <w:tcBorders>
              <w:top w:val="nil"/>
              <w:left w:val="single" w:sz="8" w:space="0" w:color="FFFFFF"/>
              <w:bottom w:val="single" w:sz="8" w:space="0" w:color="FFFFFF"/>
              <w:right w:val="single" w:sz="8" w:space="0" w:color="FFFFFF"/>
            </w:tcBorders>
            <w:shd w:val="clear" w:color="000000" w:fill="008C9B"/>
            <w:vAlign w:val="center"/>
            <w:hideMark/>
          </w:tcPr>
          <w:p w14:paraId="070A9674" w14:textId="77777777" w:rsidR="00AD273B" w:rsidRPr="00AD273B" w:rsidRDefault="00AD273B" w:rsidP="00AD273B">
            <w:pPr>
              <w:spacing w:after="0"/>
              <w:rPr>
                <w:rFonts w:ascii="Calibri" w:eastAsia="Times New Roman" w:hAnsi="Calibri"/>
                <w:color w:val="FFFFFF"/>
                <w:sz w:val="20"/>
                <w:lang w:eastAsia="en-GB"/>
              </w:rPr>
            </w:pPr>
            <w:r w:rsidRPr="00AD273B">
              <w:rPr>
                <w:rFonts w:ascii="Calibri" w:eastAsia="Times New Roman" w:hAnsi="Calibri"/>
                <w:color w:val="FFFFFF"/>
                <w:sz w:val="20"/>
                <w:lang w:eastAsia="en-GB"/>
              </w:rPr>
              <w:t>2010</w:t>
            </w:r>
          </w:p>
        </w:tc>
        <w:tc>
          <w:tcPr>
            <w:tcW w:w="2521" w:type="dxa"/>
            <w:tcBorders>
              <w:top w:val="nil"/>
              <w:left w:val="nil"/>
              <w:bottom w:val="single" w:sz="8" w:space="0" w:color="FFFFFF"/>
              <w:right w:val="single" w:sz="8" w:space="0" w:color="FFFFFF"/>
            </w:tcBorders>
            <w:shd w:val="clear" w:color="000000" w:fill="E7EEEF"/>
            <w:vAlign w:val="center"/>
            <w:hideMark/>
          </w:tcPr>
          <w:p w14:paraId="3C3A8ADA"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3,385</w:t>
            </w:r>
          </w:p>
        </w:tc>
        <w:tc>
          <w:tcPr>
            <w:tcW w:w="3027" w:type="dxa"/>
            <w:tcBorders>
              <w:top w:val="nil"/>
              <w:left w:val="nil"/>
              <w:bottom w:val="single" w:sz="8" w:space="0" w:color="FFFFFF"/>
              <w:right w:val="single" w:sz="8" w:space="0" w:color="FFFFFF"/>
            </w:tcBorders>
            <w:shd w:val="clear" w:color="000000" w:fill="E7EEEF"/>
            <w:vAlign w:val="center"/>
            <w:hideMark/>
          </w:tcPr>
          <w:p w14:paraId="2CED9534"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2.00</w:t>
            </w:r>
          </w:p>
        </w:tc>
        <w:tc>
          <w:tcPr>
            <w:tcW w:w="2714" w:type="dxa"/>
            <w:tcBorders>
              <w:top w:val="nil"/>
              <w:left w:val="nil"/>
              <w:bottom w:val="single" w:sz="8" w:space="0" w:color="FFFFFF"/>
              <w:right w:val="single" w:sz="8" w:space="0" w:color="FFFFFF"/>
            </w:tcBorders>
            <w:shd w:val="clear" w:color="000000" w:fill="E7EEEF"/>
            <w:vAlign w:val="center"/>
            <w:hideMark/>
          </w:tcPr>
          <w:p w14:paraId="3181B4B9"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6,779</w:t>
            </w:r>
          </w:p>
        </w:tc>
      </w:tr>
      <w:tr w:rsidR="00AD273B" w:rsidRPr="00AD273B" w14:paraId="0CE7F010" w14:textId="77777777" w:rsidTr="00AD273B">
        <w:trPr>
          <w:trHeight w:val="280"/>
        </w:trPr>
        <w:tc>
          <w:tcPr>
            <w:tcW w:w="833" w:type="dxa"/>
            <w:tcBorders>
              <w:top w:val="nil"/>
              <w:left w:val="single" w:sz="8" w:space="0" w:color="FFFFFF"/>
              <w:bottom w:val="single" w:sz="8" w:space="0" w:color="FFFFFF"/>
              <w:right w:val="single" w:sz="8" w:space="0" w:color="FFFFFF"/>
            </w:tcBorders>
            <w:shd w:val="clear" w:color="000000" w:fill="008C9B"/>
            <w:vAlign w:val="center"/>
            <w:hideMark/>
          </w:tcPr>
          <w:p w14:paraId="68C8F684" w14:textId="77777777" w:rsidR="00AD273B" w:rsidRPr="00AD273B" w:rsidRDefault="00AD273B" w:rsidP="00AD273B">
            <w:pPr>
              <w:spacing w:after="0"/>
              <w:rPr>
                <w:rFonts w:ascii="Calibri" w:eastAsia="Times New Roman" w:hAnsi="Calibri"/>
                <w:color w:val="FFFFFF"/>
                <w:sz w:val="20"/>
                <w:lang w:eastAsia="en-GB"/>
              </w:rPr>
            </w:pPr>
            <w:r w:rsidRPr="00AD273B">
              <w:rPr>
                <w:rFonts w:ascii="Calibri" w:eastAsia="Times New Roman" w:hAnsi="Calibri"/>
                <w:color w:val="FFFFFF"/>
                <w:sz w:val="20"/>
                <w:lang w:eastAsia="en-GB"/>
              </w:rPr>
              <w:t>2011</w:t>
            </w:r>
          </w:p>
        </w:tc>
        <w:tc>
          <w:tcPr>
            <w:tcW w:w="2521" w:type="dxa"/>
            <w:tcBorders>
              <w:top w:val="nil"/>
              <w:left w:val="nil"/>
              <w:bottom w:val="single" w:sz="8" w:space="0" w:color="FFFFFF"/>
              <w:right w:val="single" w:sz="8" w:space="0" w:color="FFFFFF"/>
            </w:tcBorders>
            <w:shd w:val="clear" w:color="000000" w:fill="D0CECE"/>
            <w:vAlign w:val="center"/>
            <w:hideMark/>
          </w:tcPr>
          <w:p w14:paraId="00A6123B"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3,000</w:t>
            </w:r>
          </w:p>
        </w:tc>
        <w:tc>
          <w:tcPr>
            <w:tcW w:w="3027" w:type="dxa"/>
            <w:tcBorders>
              <w:top w:val="nil"/>
              <w:left w:val="nil"/>
              <w:bottom w:val="single" w:sz="8" w:space="0" w:color="FFFFFF"/>
              <w:right w:val="single" w:sz="8" w:space="0" w:color="FFFFFF"/>
            </w:tcBorders>
            <w:shd w:val="clear" w:color="000000" w:fill="D0CECE"/>
            <w:vAlign w:val="center"/>
            <w:hideMark/>
          </w:tcPr>
          <w:p w14:paraId="7E16009A"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2.06</w:t>
            </w:r>
          </w:p>
        </w:tc>
        <w:tc>
          <w:tcPr>
            <w:tcW w:w="2714" w:type="dxa"/>
            <w:tcBorders>
              <w:top w:val="nil"/>
              <w:left w:val="nil"/>
              <w:bottom w:val="single" w:sz="8" w:space="0" w:color="FFFFFF"/>
              <w:right w:val="single" w:sz="8" w:space="0" w:color="FFFFFF"/>
            </w:tcBorders>
            <w:shd w:val="clear" w:color="000000" w:fill="D0CECE"/>
            <w:vAlign w:val="center"/>
            <w:hideMark/>
          </w:tcPr>
          <w:p w14:paraId="2D22035E"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6,168</w:t>
            </w:r>
          </w:p>
        </w:tc>
      </w:tr>
      <w:tr w:rsidR="00AD273B" w:rsidRPr="00AD273B" w14:paraId="28063FDC" w14:textId="77777777" w:rsidTr="00AD273B">
        <w:trPr>
          <w:trHeight w:val="280"/>
        </w:trPr>
        <w:tc>
          <w:tcPr>
            <w:tcW w:w="833" w:type="dxa"/>
            <w:tcBorders>
              <w:top w:val="nil"/>
              <w:left w:val="single" w:sz="8" w:space="0" w:color="FFFFFF"/>
              <w:bottom w:val="single" w:sz="8" w:space="0" w:color="FFFFFF"/>
              <w:right w:val="single" w:sz="8" w:space="0" w:color="FFFFFF"/>
            </w:tcBorders>
            <w:shd w:val="clear" w:color="000000" w:fill="008C9B"/>
            <w:vAlign w:val="center"/>
            <w:hideMark/>
          </w:tcPr>
          <w:p w14:paraId="38F15128" w14:textId="77777777" w:rsidR="00AD273B" w:rsidRPr="00AD273B" w:rsidRDefault="00AD273B" w:rsidP="00AD273B">
            <w:pPr>
              <w:spacing w:after="0"/>
              <w:rPr>
                <w:rFonts w:ascii="Calibri" w:eastAsia="Times New Roman" w:hAnsi="Calibri"/>
                <w:color w:val="FFFFFF"/>
                <w:sz w:val="20"/>
                <w:lang w:eastAsia="en-GB"/>
              </w:rPr>
            </w:pPr>
            <w:r w:rsidRPr="00AD273B">
              <w:rPr>
                <w:rFonts w:ascii="Calibri" w:eastAsia="Times New Roman" w:hAnsi="Calibri"/>
                <w:color w:val="FFFFFF"/>
                <w:sz w:val="20"/>
                <w:lang w:eastAsia="en-GB"/>
              </w:rPr>
              <w:t>2012</w:t>
            </w:r>
          </w:p>
        </w:tc>
        <w:tc>
          <w:tcPr>
            <w:tcW w:w="2521" w:type="dxa"/>
            <w:tcBorders>
              <w:top w:val="nil"/>
              <w:left w:val="nil"/>
              <w:bottom w:val="single" w:sz="8" w:space="0" w:color="FFFFFF"/>
              <w:right w:val="single" w:sz="8" w:space="0" w:color="FFFFFF"/>
            </w:tcBorders>
            <w:shd w:val="clear" w:color="000000" w:fill="E7EEEF"/>
            <w:vAlign w:val="center"/>
            <w:hideMark/>
          </w:tcPr>
          <w:p w14:paraId="1CC33FFA"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3,669</w:t>
            </w:r>
          </w:p>
        </w:tc>
        <w:tc>
          <w:tcPr>
            <w:tcW w:w="3027" w:type="dxa"/>
            <w:tcBorders>
              <w:top w:val="nil"/>
              <w:left w:val="nil"/>
              <w:bottom w:val="single" w:sz="8" w:space="0" w:color="FFFFFF"/>
              <w:right w:val="single" w:sz="8" w:space="0" w:color="FFFFFF"/>
            </w:tcBorders>
            <w:shd w:val="clear" w:color="000000" w:fill="E7EEEF"/>
            <w:vAlign w:val="center"/>
            <w:hideMark/>
          </w:tcPr>
          <w:p w14:paraId="097A2880"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2.07</w:t>
            </w:r>
          </w:p>
        </w:tc>
        <w:tc>
          <w:tcPr>
            <w:tcW w:w="2714" w:type="dxa"/>
            <w:tcBorders>
              <w:top w:val="nil"/>
              <w:left w:val="nil"/>
              <w:bottom w:val="single" w:sz="8" w:space="0" w:color="FFFFFF"/>
              <w:right w:val="single" w:sz="8" w:space="0" w:color="FFFFFF"/>
            </w:tcBorders>
            <w:shd w:val="clear" w:color="000000" w:fill="E7EEEF"/>
            <w:vAlign w:val="center"/>
            <w:hideMark/>
          </w:tcPr>
          <w:p w14:paraId="2E705F56"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7,587</w:t>
            </w:r>
          </w:p>
        </w:tc>
      </w:tr>
      <w:tr w:rsidR="00AD273B" w:rsidRPr="00AD273B" w14:paraId="0C47EBBB" w14:textId="77777777" w:rsidTr="00AD273B">
        <w:trPr>
          <w:trHeight w:val="280"/>
        </w:trPr>
        <w:tc>
          <w:tcPr>
            <w:tcW w:w="833" w:type="dxa"/>
            <w:tcBorders>
              <w:top w:val="nil"/>
              <w:left w:val="single" w:sz="8" w:space="0" w:color="FFFFFF"/>
              <w:bottom w:val="single" w:sz="8" w:space="0" w:color="FFFFFF"/>
              <w:right w:val="single" w:sz="8" w:space="0" w:color="FFFFFF"/>
            </w:tcBorders>
            <w:shd w:val="clear" w:color="000000" w:fill="008C9B"/>
            <w:vAlign w:val="center"/>
            <w:hideMark/>
          </w:tcPr>
          <w:p w14:paraId="12CC97B1" w14:textId="77777777" w:rsidR="00AD273B" w:rsidRPr="00AD273B" w:rsidRDefault="00AD273B" w:rsidP="00AD273B">
            <w:pPr>
              <w:spacing w:after="0"/>
              <w:rPr>
                <w:rFonts w:ascii="Calibri" w:eastAsia="Times New Roman" w:hAnsi="Calibri"/>
                <w:color w:val="FFFFFF"/>
                <w:sz w:val="20"/>
                <w:lang w:eastAsia="en-GB"/>
              </w:rPr>
            </w:pPr>
            <w:r w:rsidRPr="00AD273B">
              <w:rPr>
                <w:rFonts w:ascii="Calibri" w:eastAsia="Times New Roman" w:hAnsi="Calibri"/>
                <w:color w:val="FFFFFF"/>
                <w:sz w:val="20"/>
                <w:lang w:eastAsia="en-GB"/>
              </w:rPr>
              <w:t>2013</w:t>
            </w:r>
          </w:p>
        </w:tc>
        <w:tc>
          <w:tcPr>
            <w:tcW w:w="2521" w:type="dxa"/>
            <w:tcBorders>
              <w:top w:val="nil"/>
              <w:left w:val="nil"/>
              <w:bottom w:val="single" w:sz="8" w:space="0" w:color="FFFFFF"/>
              <w:right w:val="single" w:sz="8" w:space="0" w:color="FFFFFF"/>
            </w:tcBorders>
            <w:shd w:val="clear" w:color="000000" w:fill="D0CECE"/>
            <w:vAlign w:val="center"/>
            <w:hideMark/>
          </w:tcPr>
          <w:p w14:paraId="4DE420B1"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3,475</w:t>
            </w:r>
          </w:p>
        </w:tc>
        <w:tc>
          <w:tcPr>
            <w:tcW w:w="3027" w:type="dxa"/>
            <w:tcBorders>
              <w:top w:val="nil"/>
              <w:left w:val="nil"/>
              <w:bottom w:val="single" w:sz="8" w:space="0" w:color="FFFFFF"/>
              <w:right w:val="single" w:sz="8" w:space="0" w:color="FFFFFF"/>
            </w:tcBorders>
            <w:shd w:val="clear" w:color="000000" w:fill="D0CECE"/>
            <w:vAlign w:val="center"/>
            <w:hideMark/>
          </w:tcPr>
          <w:p w14:paraId="43C6F367"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2.03</w:t>
            </w:r>
          </w:p>
        </w:tc>
        <w:tc>
          <w:tcPr>
            <w:tcW w:w="2714" w:type="dxa"/>
            <w:tcBorders>
              <w:top w:val="nil"/>
              <w:left w:val="nil"/>
              <w:bottom w:val="single" w:sz="8" w:space="0" w:color="FFFFFF"/>
              <w:right w:val="single" w:sz="8" w:space="0" w:color="FFFFFF"/>
            </w:tcBorders>
            <w:shd w:val="clear" w:color="000000" w:fill="D0CECE"/>
            <w:vAlign w:val="center"/>
            <w:hideMark/>
          </w:tcPr>
          <w:p w14:paraId="42748CBC"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7,050</w:t>
            </w:r>
          </w:p>
        </w:tc>
      </w:tr>
      <w:tr w:rsidR="00AD273B" w:rsidRPr="00AD273B" w14:paraId="4FE5776E" w14:textId="77777777" w:rsidTr="00AD273B">
        <w:trPr>
          <w:trHeight w:val="280"/>
        </w:trPr>
        <w:tc>
          <w:tcPr>
            <w:tcW w:w="833" w:type="dxa"/>
            <w:tcBorders>
              <w:top w:val="nil"/>
              <w:left w:val="single" w:sz="8" w:space="0" w:color="FFFFFF"/>
              <w:bottom w:val="single" w:sz="8" w:space="0" w:color="FFFFFF"/>
              <w:right w:val="single" w:sz="8" w:space="0" w:color="FFFFFF"/>
            </w:tcBorders>
            <w:shd w:val="clear" w:color="000000" w:fill="008C9B"/>
            <w:vAlign w:val="center"/>
            <w:hideMark/>
          </w:tcPr>
          <w:p w14:paraId="3E2B19D5" w14:textId="77777777" w:rsidR="00AD273B" w:rsidRPr="00AD273B" w:rsidRDefault="00AD273B" w:rsidP="00AD273B">
            <w:pPr>
              <w:spacing w:after="0"/>
              <w:rPr>
                <w:rFonts w:ascii="Calibri" w:eastAsia="Times New Roman" w:hAnsi="Calibri"/>
                <w:color w:val="FFFFFF"/>
                <w:sz w:val="20"/>
                <w:lang w:eastAsia="en-GB"/>
              </w:rPr>
            </w:pPr>
            <w:r w:rsidRPr="00AD273B">
              <w:rPr>
                <w:rFonts w:ascii="Calibri" w:eastAsia="Times New Roman" w:hAnsi="Calibri"/>
                <w:color w:val="FFFFFF"/>
                <w:sz w:val="20"/>
                <w:lang w:eastAsia="en-GB"/>
              </w:rPr>
              <w:t>2014</w:t>
            </w:r>
          </w:p>
        </w:tc>
        <w:tc>
          <w:tcPr>
            <w:tcW w:w="2521" w:type="dxa"/>
            <w:tcBorders>
              <w:top w:val="nil"/>
              <w:left w:val="nil"/>
              <w:bottom w:val="single" w:sz="8" w:space="0" w:color="FFFFFF"/>
              <w:right w:val="single" w:sz="8" w:space="0" w:color="FFFFFF"/>
            </w:tcBorders>
            <w:shd w:val="clear" w:color="000000" w:fill="E7EEEF"/>
            <w:vAlign w:val="center"/>
            <w:hideMark/>
          </w:tcPr>
          <w:p w14:paraId="168AE35D"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3,580</w:t>
            </w:r>
          </w:p>
        </w:tc>
        <w:tc>
          <w:tcPr>
            <w:tcW w:w="3027" w:type="dxa"/>
            <w:tcBorders>
              <w:top w:val="nil"/>
              <w:left w:val="nil"/>
              <w:bottom w:val="single" w:sz="8" w:space="0" w:color="FFFFFF"/>
              <w:right w:val="single" w:sz="8" w:space="0" w:color="FFFFFF"/>
            </w:tcBorders>
            <w:shd w:val="clear" w:color="000000" w:fill="E7EEEF"/>
            <w:vAlign w:val="center"/>
            <w:hideMark/>
          </w:tcPr>
          <w:p w14:paraId="6941183C"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2.07</w:t>
            </w:r>
          </w:p>
        </w:tc>
        <w:tc>
          <w:tcPr>
            <w:tcW w:w="2714" w:type="dxa"/>
            <w:tcBorders>
              <w:top w:val="nil"/>
              <w:left w:val="nil"/>
              <w:bottom w:val="single" w:sz="8" w:space="0" w:color="FFFFFF"/>
              <w:right w:val="single" w:sz="8" w:space="0" w:color="FFFFFF"/>
            </w:tcBorders>
            <w:shd w:val="clear" w:color="000000" w:fill="E7EEEF"/>
            <w:vAlign w:val="center"/>
            <w:hideMark/>
          </w:tcPr>
          <w:p w14:paraId="014BB182"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7,395</w:t>
            </w:r>
          </w:p>
        </w:tc>
      </w:tr>
      <w:tr w:rsidR="00AD273B" w:rsidRPr="00AD273B" w14:paraId="7DD6B3FF" w14:textId="77777777" w:rsidTr="00AD273B">
        <w:trPr>
          <w:trHeight w:val="280"/>
        </w:trPr>
        <w:tc>
          <w:tcPr>
            <w:tcW w:w="833" w:type="dxa"/>
            <w:tcBorders>
              <w:top w:val="nil"/>
              <w:left w:val="single" w:sz="8" w:space="0" w:color="FFFFFF"/>
              <w:bottom w:val="single" w:sz="8" w:space="0" w:color="FFFFFF"/>
              <w:right w:val="single" w:sz="8" w:space="0" w:color="FFFFFF"/>
            </w:tcBorders>
            <w:shd w:val="clear" w:color="000000" w:fill="008C9B"/>
            <w:vAlign w:val="center"/>
            <w:hideMark/>
          </w:tcPr>
          <w:p w14:paraId="3123A170" w14:textId="77777777" w:rsidR="00AD273B" w:rsidRPr="00AD273B" w:rsidRDefault="00AD273B" w:rsidP="00AD273B">
            <w:pPr>
              <w:spacing w:after="0"/>
              <w:rPr>
                <w:rFonts w:ascii="Calibri" w:eastAsia="Times New Roman" w:hAnsi="Calibri"/>
                <w:color w:val="FFFFFF"/>
                <w:sz w:val="20"/>
                <w:lang w:eastAsia="en-GB"/>
              </w:rPr>
            </w:pPr>
            <w:r w:rsidRPr="00AD273B">
              <w:rPr>
                <w:rFonts w:ascii="Calibri" w:eastAsia="Times New Roman" w:hAnsi="Calibri"/>
                <w:color w:val="FFFFFF"/>
                <w:sz w:val="20"/>
                <w:lang w:eastAsia="en-GB"/>
              </w:rPr>
              <w:t>2015</w:t>
            </w:r>
          </w:p>
        </w:tc>
        <w:tc>
          <w:tcPr>
            <w:tcW w:w="2521" w:type="dxa"/>
            <w:tcBorders>
              <w:top w:val="nil"/>
              <w:left w:val="nil"/>
              <w:bottom w:val="single" w:sz="8" w:space="0" w:color="FFFFFF"/>
              <w:right w:val="single" w:sz="8" w:space="0" w:color="FFFFFF"/>
            </w:tcBorders>
            <w:shd w:val="clear" w:color="000000" w:fill="D0CECE"/>
            <w:vAlign w:val="center"/>
            <w:hideMark/>
          </w:tcPr>
          <w:p w14:paraId="3EF508E6"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3,778</w:t>
            </w:r>
          </w:p>
        </w:tc>
        <w:tc>
          <w:tcPr>
            <w:tcW w:w="3027" w:type="dxa"/>
            <w:tcBorders>
              <w:top w:val="nil"/>
              <w:left w:val="nil"/>
              <w:bottom w:val="single" w:sz="8" w:space="0" w:color="FFFFFF"/>
              <w:right w:val="single" w:sz="8" w:space="0" w:color="FFFFFF"/>
            </w:tcBorders>
            <w:shd w:val="clear" w:color="000000" w:fill="D0CECE"/>
            <w:vAlign w:val="center"/>
            <w:hideMark/>
          </w:tcPr>
          <w:p w14:paraId="596336C5"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2.03</w:t>
            </w:r>
          </w:p>
        </w:tc>
        <w:tc>
          <w:tcPr>
            <w:tcW w:w="2714" w:type="dxa"/>
            <w:tcBorders>
              <w:top w:val="nil"/>
              <w:left w:val="nil"/>
              <w:bottom w:val="single" w:sz="8" w:space="0" w:color="FFFFFF"/>
              <w:right w:val="single" w:sz="8" w:space="0" w:color="FFFFFF"/>
            </w:tcBorders>
            <w:shd w:val="clear" w:color="000000" w:fill="D0CECE"/>
            <w:vAlign w:val="center"/>
            <w:hideMark/>
          </w:tcPr>
          <w:p w14:paraId="4E390DE4"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7,674</w:t>
            </w:r>
          </w:p>
        </w:tc>
      </w:tr>
      <w:tr w:rsidR="00AD273B" w:rsidRPr="00AD273B" w14:paraId="6D71B995" w14:textId="77777777" w:rsidTr="00AD273B">
        <w:trPr>
          <w:trHeight w:val="280"/>
        </w:trPr>
        <w:tc>
          <w:tcPr>
            <w:tcW w:w="833" w:type="dxa"/>
            <w:tcBorders>
              <w:top w:val="nil"/>
              <w:left w:val="single" w:sz="8" w:space="0" w:color="FFFFFF"/>
              <w:bottom w:val="single" w:sz="8" w:space="0" w:color="FFFFFF"/>
              <w:right w:val="single" w:sz="8" w:space="0" w:color="FFFFFF"/>
            </w:tcBorders>
            <w:shd w:val="clear" w:color="000000" w:fill="008C9B"/>
            <w:vAlign w:val="center"/>
            <w:hideMark/>
          </w:tcPr>
          <w:p w14:paraId="30C44B7A" w14:textId="77777777" w:rsidR="00AD273B" w:rsidRPr="00AD273B" w:rsidRDefault="00AD273B" w:rsidP="00AD273B">
            <w:pPr>
              <w:spacing w:after="0"/>
              <w:rPr>
                <w:rFonts w:ascii="Calibri" w:eastAsia="Times New Roman" w:hAnsi="Calibri"/>
                <w:color w:val="FFFFFF"/>
                <w:sz w:val="20"/>
                <w:lang w:eastAsia="en-GB"/>
              </w:rPr>
            </w:pPr>
            <w:r w:rsidRPr="00AD273B">
              <w:rPr>
                <w:rFonts w:ascii="Calibri" w:eastAsia="Times New Roman" w:hAnsi="Calibri"/>
                <w:color w:val="FFFFFF"/>
                <w:sz w:val="20"/>
                <w:lang w:eastAsia="en-GB"/>
              </w:rPr>
              <w:t>2016</w:t>
            </w:r>
          </w:p>
        </w:tc>
        <w:tc>
          <w:tcPr>
            <w:tcW w:w="2521" w:type="dxa"/>
            <w:tcBorders>
              <w:top w:val="nil"/>
              <w:left w:val="nil"/>
              <w:bottom w:val="single" w:sz="8" w:space="0" w:color="FFFFFF"/>
              <w:right w:val="single" w:sz="8" w:space="0" w:color="FFFFFF"/>
            </w:tcBorders>
            <w:shd w:val="clear" w:color="000000" w:fill="E7EEEF"/>
            <w:vAlign w:val="center"/>
            <w:hideMark/>
          </w:tcPr>
          <w:p w14:paraId="75905B50"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2,858</w:t>
            </w:r>
          </w:p>
        </w:tc>
        <w:tc>
          <w:tcPr>
            <w:tcW w:w="3027" w:type="dxa"/>
            <w:tcBorders>
              <w:top w:val="nil"/>
              <w:left w:val="nil"/>
              <w:bottom w:val="single" w:sz="8" w:space="0" w:color="FFFFFF"/>
              <w:right w:val="single" w:sz="8" w:space="0" w:color="FFFFFF"/>
            </w:tcBorders>
            <w:shd w:val="clear" w:color="000000" w:fill="E7EEEF"/>
            <w:vAlign w:val="center"/>
            <w:hideMark/>
          </w:tcPr>
          <w:p w14:paraId="3E0BFDA7"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2.17</w:t>
            </w:r>
          </w:p>
        </w:tc>
        <w:tc>
          <w:tcPr>
            <w:tcW w:w="2714" w:type="dxa"/>
            <w:tcBorders>
              <w:top w:val="nil"/>
              <w:left w:val="nil"/>
              <w:bottom w:val="single" w:sz="8" w:space="0" w:color="FFFFFF"/>
              <w:right w:val="single" w:sz="8" w:space="0" w:color="FFFFFF"/>
            </w:tcBorders>
            <w:shd w:val="clear" w:color="000000" w:fill="E7EEEF"/>
            <w:vAlign w:val="center"/>
            <w:hideMark/>
          </w:tcPr>
          <w:p w14:paraId="6D0ED797"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6,216</w:t>
            </w:r>
          </w:p>
        </w:tc>
      </w:tr>
      <w:tr w:rsidR="00AD273B" w:rsidRPr="00AD273B" w14:paraId="125371FF" w14:textId="77777777" w:rsidTr="00AD273B">
        <w:trPr>
          <w:trHeight w:val="280"/>
        </w:trPr>
        <w:tc>
          <w:tcPr>
            <w:tcW w:w="833" w:type="dxa"/>
            <w:tcBorders>
              <w:top w:val="nil"/>
              <w:left w:val="single" w:sz="8" w:space="0" w:color="FFFFFF"/>
              <w:bottom w:val="single" w:sz="8" w:space="0" w:color="FFFFFF"/>
              <w:right w:val="single" w:sz="8" w:space="0" w:color="FFFFFF"/>
            </w:tcBorders>
            <w:shd w:val="clear" w:color="000000" w:fill="008C9B"/>
            <w:vAlign w:val="center"/>
            <w:hideMark/>
          </w:tcPr>
          <w:p w14:paraId="3EE9818A" w14:textId="77777777" w:rsidR="00AD273B" w:rsidRPr="00AD273B" w:rsidRDefault="00AD273B" w:rsidP="00AD273B">
            <w:pPr>
              <w:spacing w:after="0"/>
              <w:rPr>
                <w:rFonts w:ascii="Calibri" w:eastAsia="Times New Roman" w:hAnsi="Calibri"/>
                <w:color w:val="FFFFFF"/>
                <w:sz w:val="20"/>
                <w:lang w:eastAsia="en-GB"/>
              </w:rPr>
            </w:pPr>
            <w:r w:rsidRPr="00AD273B">
              <w:rPr>
                <w:rFonts w:ascii="Calibri" w:eastAsia="Times New Roman" w:hAnsi="Calibri"/>
                <w:color w:val="FFFFFF"/>
                <w:sz w:val="20"/>
                <w:lang w:eastAsia="en-GB"/>
              </w:rPr>
              <w:t>2017</w:t>
            </w:r>
          </w:p>
        </w:tc>
        <w:tc>
          <w:tcPr>
            <w:tcW w:w="2521" w:type="dxa"/>
            <w:tcBorders>
              <w:top w:val="nil"/>
              <w:left w:val="nil"/>
              <w:bottom w:val="single" w:sz="8" w:space="0" w:color="FFFFFF"/>
              <w:right w:val="single" w:sz="8" w:space="0" w:color="FFFFFF"/>
            </w:tcBorders>
            <w:shd w:val="clear" w:color="000000" w:fill="D0CECE"/>
            <w:vAlign w:val="center"/>
            <w:hideMark/>
          </w:tcPr>
          <w:p w14:paraId="1F1B6114"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3,714</w:t>
            </w:r>
          </w:p>
        </w:tc>
        <w:tc>
          <w:tcPr>
            <w:tcW w:w="3027" w:type="dxa"/>
            <w:tcBorders>
              <w:top w:val="nil"/>
              <w:left w:val="nil"/>
              <w:bottom w:val="single" w:sz="8" w:space="0" w:color="FFFFFF"/>
              <w:right w:val="single" w:sz="8" w:space="0" w:color="FFFFFF"/>
            </w:tcBorders>
            <w:shd w:val="clear" w:color="000000" w:fill="D0CECE"/>
            <w:vAlign w:val="center"/>
            <w:hideMark/>
          </w:tcPr>
          <w:p w14:paraId="7867FCDA"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2.11</w:t>
            </w:r>
          </w:p>
        </w:tc>
        <w:tc>
          <w:tcPr>
            <w:tcW w:w="2714" w:type="dxa"/>
            <w:tcBorders>
              <w:top w:val="nil"/>
              <w:left w:val="nil"/>
              <w:bottom w:val="single" w:sz="8" w:space="0" w:color="FFFFFF"/>
              <w:right w:val="single" w:sz="8" w:space="0" w:color="FFFFFF"/>
            </w:tcBorders>
            <w:shd w:val="clear" w:color="000000" w:fill="D0CECE"/>
            <w:vAlign w:val="center"/>
            <w:hideMark/>
          </w:tcPr>
          <w:p w14:paraId="485C2710" w14:textId="77777777" w:rsidR="00AD273B" w:rsidRPr="00AD273B" w:rsidRDefault="00AD273B" w:rsidP="00AD273B">
            <w:pPr>
              <w:spacing w:after="0"/>
              <w:jc w:val="center"/>
              <w:rPr>
                <w:rFonts w:ascii="Calibri" w:eastAsia="Times New Roman" w:hAnsi="Calibri"/>
                <w:color w:val="000000"/>
                <w:sz w:val="20"/>
                <w:lang w:eastAsia="en-GB"/>
              </w:rPr>
            </w:pPr>
            <w:r w:rsidRPr="00AD273B">
              <w:rPr>
                <w:rFonts w:ascii="Calibri" w:eastAsia="Times New Roman" w:hAnsi="Calibri"/>
                <w:color w:val="000000"/>
                <w:sz w:val="20"/>
                <w:lang w:eastAsia="en-GB"/>
              </w:rPr>
              <w:t>7,849</w:t>
            </w:r>
          </w:p>
        </w:tc>
      </w:tr>
    </w:tbl>
    <w:p w14:paraId="03D4AFA7" w14:textId="7DFA54C5" w:rsidR="00856904" w:rsidRPr="00520FF4" w:rsidRDefault="00951366" w:rsidP="00951366">
      <w:pPr>
        <w:spacing w:before="60" w:after="120"/>
        <w:jc w:val="center"/>
        <w:rPr>
          <w:rStyle w:val="SubtleEmphasis"/>
          <w:i w:val="0"/>
          <w:sz w:val="18"/>
        </w:rPr>
      </w:pPr>
      <w:r>
        <w:rPr>
          <w:rStyle w:val="SubtleEmphasis"/>
          <w:sz w:val="18"/>
        </w:rPr>
        <w:t xml:space="preserve"> </w:t>
      </w:r>
      <w:r>
        <w:rPr>
          <w:rStyle w:val="SubtleEmphasis"/>
          <w:sz w:val="18"/>
        </w:rPr>
        <w:tab/>
      </w:r>
      <w:r>
        <w:rPr>
          <w:rStyle w:val="SubtleEmphasis"/>
          <w:sz w:val="18"/>
        </w:rPr>
        <w:tab/>
      </w:r>
      <w:r>
        <w:rPr>
          <w:rStyle w:val="SubtleEmphasis"/>
          <w:sz w:val="18"/>
        </w:rPr>
        <w:tab/>
      </w:r>
      <w:r>
        <w:rPr>
          <w:rStyle w:val="SubtleEmphasis"/>
          <w:sz w:val="18"/>
        </w:rPr>
        <w:tab/>
      </w:r>
      <w:r>
        <w:rPr>
          <w:rStyle w:val="SubtleEmphasis"/>
          <w:sz w:val="18"/>
        </w:rPr>
        <w:tab/>
      </w:r>
      <w:r>
        <w:rPr>
          <w:rStyle w:val="SubtleEmphasis"/>
          <w:sz w:val="18"/>
        </w:rPr>
        <w:tab/>
      </w:r>
      <w:r>
        <w:rPr>
          <w:rStyle w:val="SubtleEmphasis"/>
          <w:sz w:val="18"/>
        </w:rPr>
        <w:tab/>
      </w:r>
      <w:r>
        <w:rPr>
          <w:rStyle w:val="SubtleEmphasis"/>
          <w:sz w:val="18"/>
        </w:rPr>
        <w:tab/>
        <w:t xml:space="preserve">    </w:t>
      </w:r>
      <w:r w:rsidR="00856904" w:rsidRPr="00520FF4">
        <w:rPr>
          <w:rStyle w:val="SubtleEmphasis"/>
          <w:sz w:val="18"/>
        </w:rPr>
        <w:t>Source: ONS, FAME, Cebr analysis</w:t>
      </w:r>
    </w:p>
    <w:p w14:paraId="185C08BC" w14:textId="133EF7A7" w:rsidR="00DA5557" w:rsidRDefault="00DA5557" w:rsidP="00DA5557">
      <w:pPr>
        <w:pStyle w:val="Heading2"/>
      </w:pPr>
      <w:bookmarkStart w:id="98" w:name="_Toc16768013"/>
      <w:r>
        <w:lastRenderedPageBreak/>
        <w:t xml:space="preserve">The </w:t>
      </w:r>
      <w:r w:rsidR="00CC6B0B">
        <w:t>aggregate economic</w:t>
      </w:r>
      <w:r>
        <w:t xml:space="preserve"> impacts through employment</w:t>
      </w:r>
      <w:bookmarkEnd w:id="98"/>
    </w:p>
    <w:p w14:paraId="1EAB8F56" w14:textId="56CC1811" w:rsidR="00347A39" w:rsidRDefault="009A794C" w:rsidP="00E4546A">
      <w:r>
        <w:t xml:space="preserve">In this section, we consider the </w:t>
      </w:r>
      <w:r w:rsidR="00CC6B0B">
        <w:t>aggregate economic</w:t>
      </w:r>
      <w:r w:rsidR="00951366">
        <w:t xml:space="preserve"> impact that the Maritime S</w:t>
      </w:r>
      <w:r>
        <w:t xml:space="preserve">ector </w:t>
      </w:r>
      <w:r w:rsidR="00DD3C56">
        <w:t>in Scotland</w:t>
      </w:r>
      <w:r>
        <w:t xml:space="preserve"> make</w:t>
      </w:r>
      <w:r w:rsidR="00DD3C56">
        <w:t>s</w:t>
      </w:r>
      <w:r>
        <w:t xml:space="preserve"> through employment. </w:t>
      </w:r>
      <w:r w:rsidR="000D4724">
        <w:fldChar w:fldCharType="begin"/>
      </w:r>
      <w:r w:rsidR="000D4724">
        <w:instrText xml:space="preserve"> REF _Ref16685634 \h </w:instrText>
      </w:r>
      <w:r w:rsidR="000D4724">
        <w:fldChar w:fldCharType="separate"/>
      </w:r>
      <w:r w:rsidR="00316965">
        <w:t xml:space="preserve">Figure </w:t>
      </w:r>
      <w:r w:rsidR="00316965">
        <w:rPr>
          <w:noProof/>
        </w:rPr>
        <w:t>12</w:t>
      </w:r>
      <w:r w:rsidR="000D4724">
        <w:fldChar w:fldCharType="end"/>
      </w:r>
      <w:r w:rsidR="000D4724">
        <w:t xml:space="preserve"> </w:t>
      </w:r>
      <w:r>
        <w:t xml:space="preserve">illustrates the </w:t>
      </w:r>
      <w:r w:rsidR="00F22CF7">
        <w:t xml:space="preserve">direct, indirect and induced </w:t>
      </w:r>
      <w:r w:rsidR="00DA0EEC">
        <w:t xml:space="preserve">employment </w:t>
      </w:r>
      <w:r w:rsidR="00F22CF7">
        <w:t>impacts</w:t>
      </w:r>
      <w:r>
        <w:t xml:space="preserve"> </w:t>
      </w:r>
      <w:r w:rsidR="00F22CF7">
        <w:t>associated with</w:t>
      </w:r>
      <w:r w:rsidR="00CB2AE8">
        <w:t xml:space="preserve"> the Maritime S</w:t>
      </w:r>
      <w:r>
        <w:t>ector</w:t>
      </w:r>
      <w:r w:rsidR="00C14C62">
        <w:t xml:space="preserve"> in </w:t>
      </w:r>
      <w:r w:rsidR="00951366">
        <w:t xml:space="preserve">Scotland. </w:t>
      </w:r>
      <w:r>
        <w:t xml:space="preserve"> </w:t>
      </w:r>
      <w:r w:rsidR="00951366">
        <w:t xml:space="preserve">The number of jobs directly supported by the Scottish Maritime Sector in 2017 was 41,000 jobs, while </w:t>
      </w:r>
      <w:r w:rsidR="00CB2AE8">
        <w:t>114</w:t>
      </w:r>
      <w:r w:rsidR="00951366">
        <w:t>,000 jobs were supported once the ind</w:t>
      </w:r>
      <w:r w:rsidR="00CB2AE8">
        <w:t>irect and induced impacts of the industry are taken into account. The aggregate employment impact supported by the Scottish Maritime i</w:t>
      </w:r>
      <w:r w:rsidR="00C336B3">
        <w:t>ndustry was 155,000 jobs in 2017</w:t>
      </w:r>
      <w:r w:rsidR="00CB2AE8">
        <w:t xml:space="preserve">. </w:t>
      </w:r>
    </w:p>
    <w:p w14:paraId="40933B31" w14:textId="6351F170" w:rsidR="00DA0EEC" w:rsidRDefault="00B33FD4" w:rsidP="00E4546A">
      <w:r w:rsidRPr="00037501">
        <w:rPr>
          <w:b/>
        </w:rPr>
        <w:t xml:space="preserve">Combining each Maritime industry, </w:t>
      </w:r>
      <w:r w:rsidRPr="00347A39">
        <w:rPr>
          <w:b/>
        </w:rPr>
        <w:t xml:space="preserve">for every 1 job initially </w:t>
      </w:r>
      <w:r w:rsidR="00136C9B" w:rsidRPr="00347A39">
        <w:rPr>
          <w:b/>
        </w:rPr>
        <w:t>supported</w:t>
      </w:r>
      <w:r w:rsidR="00136C9B" w:rsidRPr="00BE15C8">
        <w:rPr>
          <w:b/>
        </w:rPr>
        <w:t xml:space="preserve"> </w:t>
      </w:r>
      <w:r w:rsidR="00CB2AE8">
        <w:rPr>
          <w:b/>
        </w:rPr>
        <w:t>by these entities in 2017,</w:t>
      </w:r>
      <w:r w:rsidRPr="00C5725E">
        <w:rPr>
          <w:b/>
        </w:rPr>
        <w:t xml:space="preserve"> a total of </w:t>
      </w:r>
      <w:r w:rsidR="00D3735E" w:rsidRPr="00A02EFD">
        <w:rPr>
          <w:b/>
        </w:rPr>
        <w:t>3.</w:t>
      </w:r>
      <w:r w:rsidR="00CB2AE8">
        <w:rPr>
          <w:b/>
        </w:rPr>
        <w:t>79</w:t>
      </w:r>
      <w:r w:rsidR="001D65D3" w:rsidRPr="00A02EFD">
        <w:rPr>
          <w:b/>
        </w:rPr>
        <w:t xml:space="preserve"> </w:t>
      </w:r>
      <w:r w:rsidRPr="00A02EFD">
        <w:rPr>
          <w:b/>
        </w:rPr>
        <w:t>jobs were therefore supported</w:t>
      </w:r>
      <w:r>
        <w:rPr>
          <w:b/>
        </w:rPr>
        <w:t xml:space="preserve"> in the wider </w:t>
      </w:r>
      <w:r w:rsidR="00C14C62">
        <w:rPr>
          <w:b/>
        </w:rPr>
        <w:t>Scottish and UK economies</w:t>
      </w:r>
      <w:r w:rsidR="00D3735E">
        <w:rPr>
          <w:b/>
        </w:rPr>
        <w:t>.</w:t>
      </w:r>
    </w:p>
    <w:p w14:paraId="3A4C9176" w14:textId="043050C3" w:rsidR="00291A61" w:rsidRDefault="000D4724" w:rsidP="000D4724">
      <w:pPr>
        <w:pStyle w:val="Caption"/>
      </w:pPr>
      <w:bookmarkStart w:id="99" w:name="_Ref16685634"/>
      <w:r>
        <w:t xml:space="preserve">Figure </w:t>
      </w:r>
      <w:r w:rsidR="00BF1DE1">
        <w:rPr>
          <w:noProof/>
        </w:rPr>
        <w:fldChar w:fldCharType="begin"/>
      </w:r>
      <w:r w:rsidR="00BF1DE1">
        <w:rPr>
          <w:noProof/>
        </w:rPr>
        <w:instrText xml:space="preserve"> SEQ Figure \* ARABIC </w:instrText>
      </w:r>
      <w:r w:rsidR="00BF1DE1">
        <w:rPr>
          <w:noProof/>
        </w:rPr>
        <w:fldChar w:fldCharType="separate"/>
      </w:r>
      <w:r w:rsidR="00316965">
        <w:rPr>
          <w:noProof/>
        </w:rPr>
        <w:t>12</w:t>
      </w:r>
      <w:r w:rsidR="00BF1DE1">
        <w:rPr>
          <w:noProof/>
        </w:rPr>
        <w:fldChar w:fldCharType="end"/>
      </w:r>
      <w:bookmarkEnd w:id="99"/>
      <w:r w:rsidR="00291A61">
        <w:t xml:space="preserve">: </w:t>
      </w:r>
      <w:r w:rsidR="00481865">
        <w:t xml:space="preserve">Employment </w:t>
      </w:r>
      <w:r w:rsidR="0058173A">
        <w:t>multiplier impacts of the M</w:t>
      </w:r>
      <w:r w:rsidR="00650683">
        <w:t>aritime S</w:t>
      </w:r>
      <w:r w:rsidR="00CB2AE8">
        <w:t>ector in Scotland, 2017</w:t>
      </w:r>
    </w:p>
    <w:p w14:paraId="6604CFAB" w14:textId="6CFE9F54" w:rsidR="00DA0EEC" w:rsidRPr="00DA0EEC" w:rsidRDefault="00951366" w:rsidP="00037501">
      <w:pPr>
        <w:spacing w:after="0"/>
      </w:pPr>
      <w:r w:rsidRPr="00951366">
        <w:rPr>
          <w:noProof/>
          <w:lang w:eastAsia="en-GB"/>
        </w:rPr>
        <mc:AlternateContent>
          <mc:Choice Requires="wpg">
            <w:drawing>
              <wp:anchor distT="0" distB="0" distL="114300" distR="114300" simplePos="0" relativeHeight="251663360" behindDoc="0" locked="0" layoutInCell="1" allowOverlap="1" wp14:anchorId="7F333BBE" wp14:editId="6B87ED52">
                <wp:simplePos x="0" y="0"/>
                <wp:positionH relativeFrom="column">
                  <wp:posOffset>0</wp:posOffset>
                </wp:positionH>
                <wp:positionV relativeFrom="paragraph">
                  <wp:posOffset>-635</wp:posOffset>
                </wp:positionV>
                <wp:extent cx="5760000" cy="2142000"/>
                <wp:effectExtent l="0" t="0" r="0" b="0"/>
                <wp:wrapNone/>
                <wp:docPr id="42" name="Group 3"/>
                <wp:cNvGraphicFramePr/>
                <a:graphic xmlns:a="http://schemas.openxmlformats.org/drawingml/2006/main">
                  <a:graphicData uri="http://schemas.microsoft.com/office/word/2010/wordprocessingGroup">
                    <wpg:wgp>
                      <wpg:cNvGrpSpPr/>
                      <wpg:grpSpPr>
                        <a:xfrm>
                          <a:off x="0" y="0"/>
                          <a:ext cx="5760000" cy="2142000"/>
                          <a:chOff x="0" y="0"/>
                          <a:chExt cx="6508545" cy="1930620"/>
                        </a:xfrm>
                      </wpg:grpSpPr>
                      <wps:wsp>
                        <wps:cNvPr id="43" name="Down Arrow 43"/>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Down Arrow 44"/>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0344C9" w14:textId="77777777" w:rsidR="00BC67A0" w:rsidRDefault="00BC67A0" w:rsidP="00951366">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155,000 jobs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632EB" w14:textId="77777777" w:rsidR="00BC67A0" w:rsidRDefault="00BC67A0" w:rsidP="00951366">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38FA155D" w14:textId="77777777" w:rsidR="00BC67A0" w:rsidRDefault="00BC67A0" w:rsidP="00951366">
                              <w:pPr>
                                <w:pStyle w:val="NormalWeb"/>
                                <w:spacing w:before="0" w:beforeAutospacing="0" w:after="0" w:afterAutospacing="0"/>
                                <w:jc w:val="center"/>
                              </w:pPr>
                            </w:p>
                            <w:p w14:paraId="374C16DF" w14:textId="77777777" w:rsidR="00BC67A0" w:rsidRDefault="00BC67A0" w:rsidP="00951366">
                              <w:pPr>
                                <w:pStyle w:val="NormalWeb"/>
                                <w:spacing w:before="0" w:beforeAutospacing="0" w:after="0" w:afterAutospacing="0"/>
                                <w:jc w:val="center"/>
                              </w:pPr>
                              <w:r>
                                <w:rPr>
                                  <w:rFonts w:asciiTheme="minorHAnsi" w:hAnsi="Calibri" w:cstheme="minorBidi"/>
                                  <w:color w:val="FFFFFF" w:themeColor="background1"/>
                                  <w:kern w:val="24"/>
                                  <w:sz w:val="32"/>
                                  <w:szCs w:val="32"/>
                                </w:rPr>
                                <w:t>41,000 jobs</w:t>
                              </w:r>
                            </w:p>
                          </w:txbxContent>
                        </wps:txbx>
                        <wps:bodyPr rtlCol="0" anchor="t" anchorCtr="0"/>
                      </wps:wsp>
                      <wps:wsp>
                        <wps:cNvPr id="47" name="Rounded Rectangle 47"/>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494B4D" w14:textId="77777777" w:rsidR="00BC67A0" w:rsidRDefault="00BC67A0" w:rsidP="00951366">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66,000 jobs</w:t>
                              </w:r>
                            </w:p>
                          </w:txbxContent>
                        </wps:txbx>
                        <wps:bodyPr rtlCol="0" anchor="t" anchorCtr="0"/>
                      </wps:wsp>
                      <wps:wsp>
                        <wps:cNvPr id="48" name="Rounded Rectangle 48"/>
                        <wps:cNvSpPr/>
                        <wps:spPr>
                          <a:xfrm>
                            <a:off x="4648213" y="462211"/>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B59D1" w14:textId="77777777" w:rsidR="00BC67A0" w:rsidRDefault="00BC67A0" w:rsidP="00951366">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48,000 jobs</w:t>
                              </w:r>
                            </w:p>
                          </w:txbxContent>
                        </wps:txbx>
                        <wps:bodyPr rtlCol="0" anchor="t" anchorCtr="0"/>
                      </wps:wsp>
                      <wps:wsp>
                        <wps:cNvPr id="49" name="Rectangle 49"/>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EA5AF" w14:textId="77777777" w:rsidR="00BC67A0" w:rsidRDefault="00BC67A0" w:rsidP="00951366">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333BBE" id="_x0000_s1042" style="position:absolute;margin-left:0;margin-top:-.05pt;width:453.55pt;height:168.65pt;z-index:251663360"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">
                <v:shape id="Down Arrow 43" o:spid="_x0000_s1043"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rpDMEA&#10;AADbAAAADwAAAGRycy9kb3ducmV2LnhtbESPQWsCMRSE7wX/Q3iCt5q1Wq1bo2hB8Fr14u1187q7&#10;uO9l2aQa/30jCB6HmfmGWawiN+pCna+dGBgNM1AkhbO1lAaOh+3rBygfUCw2TsjAjTyslr2XBebW&#10;XeWbLvtQqgQRn6OBKoQ219oXFTH6oWtJkvfrOsaQZFdq2+E1wbnRb1k21Yy1pIUKW/qqqDjv/9iA&#10;zJmjnztqT/59U/PtJ27WM2MG/bj+BBUohmf40d5ZA5Mx3L+kH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66QzBAAAA2wAAAA8AAAAAAAAAAAAAAAAAmAIAAGRycy9kb3du&#10;cmV2LnhtbFBLBQYAAAAABAAEAPUAAACGAwAAAAA=&#10;" adj="10800" fillcolor="#c4c4c6 [1302]" stroked="f" strokeweight="2pt"/>
                <v:shape id="Down Arrow 44" o:spid="_x0000_s1044"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xeMEA&#10;AADbAAAADwAAAGRycy9kb3ducmV2LnhtbESPS2vDMBCE74X8B7GB3mo5IU83SkgKhV7zuOS2tba2&#10;qXdlLDVR/n0VCOQ4zMw3zGoTuVUX6n3jxMAoy0GRlM42Uhk4HT/fFqB8QLHYOiEDN/KwWQ9eVlhY&#10;d5U9XQ6hUgkivkADdQhdobUva2L0metIkvfjesaQZF9p2+M1wbnV4zyfacZG0kKNHX3UVP4e/tiA&#10;LJmjXzrqzn66a/j2HXfbuTGvw7h9BxUohmf40f6yBiYTuH9JP0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XjBAAAA2wAAAA8AAAAAAAAAAAAAAAAAmAIAAGRycy9kb3du&#10;cmV2LnhtbFBLBQYAAAAABAAEAPUAAACGAwAAAAA=&#10;" adj="10800" fillcolor="#c4c4c6 [1302]" stroked="f" strokeweight="2pt"/>
                <v:rect id="Rectangle 45" o:spid="_x0000_s1045"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mFsEA&#10;AADbAAAADwAAAGRycy9kb3ducmV2LnhtbESPT4vCMBTE7wt+h/AEb2u6Ypela5RSEPRo/XN+NM+2&#10;bPJSmqjVT28EYY/DzPyGWawGa8SVet86VvA1TUAQV063XCs47NefPyB8QNZoHJOCO3lYLUcfC8y0&#10;u/GOrmWoRYSwz1BBE0KXSemrhiz6qeuIo3d2vcUQZV9L3eMtwq2RsyT5lhZbjgsNdlQ0VP2VF6sg&#10;ZdqmoXyY4pjn5wtWx+LkjVKT8ZD/ggg0hP/wu73RCuYpvL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m5hbBAAAA2wAAAA8AAAAAAAAAAAAAAAAAmAIAAGRycy9kb3du&#10;cmV2LnhtbFBLBQYAAAAABAAEAPUAAACGAwAAAAA=&#10;" fillcolor="#6d6e71 [3206]" stroked="f" strokeweight="2pt">
                  <v:textbox>
                    <w:txbxContent>
                      <w:p w14:paraId="200344C9" w14:textId="77777777" w:rsidR="00BC67A0" w:rsidRDefault="00BC67A0" w:rsidP="00951366">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155,000 jobs</w:t>
                        </w:r>
                      </w:p>
                    </w:txbxContent>
                  </v:textbox>
                </v:rect>
                <v:roundrect id="Rounded Rectangle 46" o:spid="_x0000_s1046"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zA8MA&#10;AADbAAAADwAAAGRycy9kb3ducmV2LnhtbESPzWrDMBCE74W8g9hALiWRm5YQnCgmFEx6rdsH2Fob&#10;27G0Mpbinz59VSj0OMzMN8wxm6wRA/W+cazgaZOAIC6dbrhS8PmRr/cgfEDWaByTgpk8ZKfFwxFT&#10;7UZ+p6EIlYgQ9ikqqEPoUil9WZNFv3EdcfSurrcYouwrqXscI9wauU2SnbTYcFyosaPXmsq2uFsF&#10;35g/X2dz6Zqv4bF1ZtyPt7ZUarWczgcQgabwH/5rv2kFLz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qzA8MAAADbAAAADwAAAAAAAAAAAAAAAACYAgAAZHJzL2Rv&#10;d25yZXYueG1sUEsFBgAAAAAEAAQA9QAAAIgDAAAAAA==&#10;" fillcolor="#008c9b [3204]" stroked="f" strokeweight="2pt">
                  <v:textbox>
                    <w:txbxContent>
                      <w:p w14:paraId="213632EB" w14:textId="77777777" w:rsidR="00BC67A0" w:rsidRDefault="00BC67A0" w:rsidP="00951366">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38FA155D" w14:textId="77777777" w:rsidR="00BC67A0" w:rsidRDefault="00BC67A0" w:rsidP="00951366">
                        <w:pPr>
                          <w:pStyle w:val="NormalWeb"/>
                          <w:spacing w:before="0" w:beforeAutospacing="0" w:after="0" w:afterAutospacing="0"/>
                          <w:jc w:val="center"/>
                        </w:pPr>
                      </w:p>
                      <w:p w14:paraId="374C16DF" w14:textId="77777777" w:rsidR="00BC67A0" w:rsidRDefault="00BC67A0" w:rsidP="00951366">
                        <w:pPr>
                          <w:pStyle w:val="NormalWeb"/>
                          <w:spacing w:before="0" w:beforeAutospacing="0" w:after="0" w:afterAutospacing="0"/>
                          <w:jc w:val="center"/>
                        </w:pPr>
                        <w:r>
                          <w:rPr>
                            <w:rFonts w:asciiTheme="minorHAnsi" w:hAnsi="Calibri" w:cstheme="minorBidi"/>
                            <w:color w:val="FFFFFF" w:themeColor="background1"/>
                            <w:kern w:val="24"/>
                            <w:sz w:val="32"/>
                            <w:szCs w:val="32"/>
                          </w:rPr>
                          <w:t>41,000 jobs</w:t>
                        </w:r>
                      </w:p>
                    </w:txbxContent>
                  </v:textbox>
                </v:roundrect>
                <v:roundrect id="Rounded Rectangle 47" o:spid="_x0000_s1047"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KysIA&#10;AADbAAAADwAAAGRycy9kb3ducmV2LnhtbESPW4vCMBSE3wX/QzgLvmm6Wrx0jSKywr4oeHs/NMe2&#10;bHNSk6zWf78RBB+HmfmGmS9bU4sbOV9ZVvA5SEAQ51ZXXCg4HTf9KQgfkDXWlknBgzwsF93OHDNt&#10;77yn2yEUIkLYZ6igDKHJpPR5SQb9wDbE0btYZzBE6QqpHd4j3NRymCRjabDiuFBiQ+uS8t/Dn1GQ&#10;NCvrd490NDp+n7fhmmpXzbRSvY929QUiUBve4Vf7RytIJ/D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srKwgAAANsAAAAPAAAAAAAAAAAAAAAAAJgCAABkcnMvZG93&#10;bnJldi54bWxQSwUGAAAAAAQABAD1AAAAhwMAAAAA&#10;" fillcolor="#0070c0" stroked="f" strokeweight="2pt">
                  <v:textbox>
                    <w:txbxContent>
                      <w:p w14:paraId="58494B4D" w14:textId="77777777" w:rsidR="00BC67A0" w:rsidRDefault="00BC67A0" w:rsidP="00951366">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66,000 jobs</w:t>
                        </w:r>
                      </w:p>
                    </w:txbxContent>
                  </v:textbox>
                </v:roundrect>
                <v:roundrect id="Rounded Rectangle 48" o:spid="_x0000_s1048" style="position:absolute;left:46482;top:4622;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ipF8EA&#10;AADbAAAADwAAAGRycy9kb3ducmV2LnhtbERPy4rCMBTdC/5DuAOzkTF1fCDVKCIIg260HffX5k5b&#10;bG5qk9Hq15uF4PJw3vNlaypxpcaVlhUM+hEI4szqknMFv+nmawrCeWSNlWVScCcHy0W3M8dY2xsf&#10;6Jr4XIQQdjEqKLyvYyldVpBB17c1ceD+bGPQB9jkUjd4C+Gmkt9RNJEGSw4NBda0Lig7J/9GQbmd&#10;2E1veElP0yPvE7kbPMbno1KfH+1qBsJT69/il/tHKxiF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YqRfBAAAA2wAAAA8AAAAAAAAAAAAAAAAAmAIAAGRycy9kb3du&#10;cmV2LnhtbFBLBQYAAAAABAAEAPUAAACGAwAAAAA=&#10;" fillcolor="#7030a0" stroked="f" strokeweight="2pt">
                  <v:textbox>
                    <w:txbxContent>
                      <w:p w14:paraId="746B59D1" w14:textId="77777777" w:rsidR="00BC67A0" w:rsidRDefault="00BC67A0" w:rsidP="00951366">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48,000 jobs</w:t>
                        </w:r>
                      </w:p>
                    </w:txbxContent>
                  </v:textbox>
                </v:roundrect>
                <v:rect id="Rectangle 49" o:spid="_x0000_s1049"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sE8IA&#10;AADbAAAADwAAAGRycy9kb3ducmV2LnhtbESPzWrDMBCE74W+g9hAbo2cEpfEsRKModAe6yY5L9b6&#10;h0grYymx26evCoUeh5n5hsmPszXiTqPvHStYrxIQxLXTPbcKTp+vT1sQPiBrNI5JwRd5OB4eH3LM&#10;tJv4g+5VaEWEsM9QQRfCkEnp644s+pUbiKPXuNFiiHJspR5xinBr5HOSvEiLPceFDgcqO6qv1c0q&#10;SJne01B9m/JcFM0N63N58Uap5WIu9iACzeE//Nd+0wo2O/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wTwgAAANsAAAAPAAAAAAAAAAAAAAAAAJgCAABkcnMvZG93&#10;bnJldi54bWxQSwUGAAAAAAQABAD1AAAAhwMAAAAA&#10;" fillcolor="#6d6e71 [3206]" stroked="f" strokeweight="2pt">
                  <v:textbox>
                    <w:txbxContent>
                      <w:p w14:paraId="1F1EA5AF" w14:textId="77777777" w:rsidR="00BC67A0" w:rsidRDefault="00BC67A0" w:rsidP="00951366">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Employment</w:t>
                        </w:r>
                      </w:p>
                    </w:txbxContent>
                  </v:textbox>
                </v:rect>
              </v:group>
            </w:pict>
          </mc:Fallback>
        </mc:AlternateContent>
      </w:r>
    </w:p>
    <w:p w14:paraId="303D53E6" w14:textId="77777777" w:rsidR="00951366" w:rsidRDefault="00951366" w:rsidP="00291A61">
      <w:pPr>
        <w:spacing w:before="60" w:after="120"/>
        <w:jc w:val="right"/>
        <w:rPr>
          <w:rStyle w:val="SubtleEmphasis"/>
          <w:sz w:val="18"/>
        </w:rPr>
      </w:pPr>
    </w:p>
    <w:p w14:paraId="3BC878EB" w14:textId="77777777" w:rsidR="00951366" w:rsidRDefault="00951366" w:rsidP="00291A61">
      <w:pPr>
        <w:spacing w:before="60" w:after="120"/>
        <w:jc w:val="right"/>
        <w:rPr>
          <w:rStyle w:val="SubtleEmphasis"/>
          <w:sz w:val="18"/>
        </w:rPr>
      </w:pPr>
    </w:p>
    <w:p w14:paraId="14D3AB76" w14:textId="77777777" w:rsidR="00951366" w:rsidRDefault="00951366" w:rsidP="00291A61">
      <w:pPr>
        <w:spacing w:before="60" w:after="120"/>
        <w:jc w:val="right"/>
        <w:rPr>
          <w:rStyle w:val="SubtleEmphasis"/>
          <w:sz w:val="18"/>
        </w:rPr>
      </w:pPr>
    </w:p>
    <w:p w14:paraId="17658A69" w14:textId="77777777" w:rsidR="00951366" w:rsidRDefault="00951366" w:rsidP="00291A61">
      <w:pPr>
        <w:spacing w:before="60" w:after="120"/>
        <w:jc w:val="right"/>
        <w:rPr>
          <w:rStyle w:val="SubtleEmphasis"/>
          <w:sz w:val="18"/>
        </w:rPr>
      </w:pPr>
    </w:p>
    <w:p w14:paraId="2D7BAEFE" w14:textId="77777777" w:rsidR="00951366" w:rsidRDefault="00951366" w:rsidP="00291A61">
      <w:pPr>
        <w:spacing w:before="60" w:after="120"/>
        <w:jc w:val="right"/>
        <w:rPr>
          <w:rStyle w:val="SubtleEmphasis"/>
          <w:sz w:val="18"/>
        </w:rPr>
      </w:pPr>
    </w:p>
    <w:p w14:paraId="7CF51FBC" w14:textId="77777777" w:rsidR="00951366" w:rsidRDefault="00951366" w:rsidP="00291A61">
      <w:pPr>
        <w:spacing w:before="60" w:after="120"/>
        <w:jc w:val="right"/>
        <w:rPr>
          <w:rStyle w:val="SubtleEmphasis"/>
          <w:sz w:val="18"/>
        </w:rPr>
      </w:pPr>
    </w:p>
    <w:p w14:paraId="62CF6ADA" w14:textId="77777777" w:rsidR="00951366" w:rsidRDefault="00951366" w:rsidP="00291A61">
      <w:pPr>
        <w:spacing w:before="60" w:after="120"/>
        <w:jc w:val="right"/>
        <w:rPr>
          <w:rStyle w:val="SubtleEmphasis"/>
          <w:sz w:val="18"/>
        </w:rPr>
      </w:pPr>
    </w:p>
    <w:p w14:paraId="4A431B44" w14:textId="77777777" w:rsidR="00951366" w:rsidRDefault="00951366" w:rsidP="00291A61">
      <w:pPr>
        <w:spacing w:before="60" w:after="120"/>
        <w:jc w:val="right"/>
        <w:rPr>
          <w:rStyle w:val="SubtleEmphasis"/>
          <w:sz w:val="18"/>
        </w:rPr>
      </w:pPr>
    </w:p>
    <w:p w14:paraId="0B79D307" w14:textId="77777777" w:rsidR="00951366" w:rsidRDefault="00951366" w:rsidP="00291A61">
      <w:pPr>
        <w:spacing w:before="60" w:after="120"/>
        <w:jc w:val="right"/>
        <w:rPr>
          <w:rStyle w:val="SubtleEmphasis"/>
          <w:sz w:val="18"/>
        </w:rPr>
      </w:pPr>
    </w:p>
    <w:p w14:paraId="7B1B6118" w14:textId="77777777" w:rsidR="00291A61" w:rsidRPr="00B86153" w:rsidRDefault="00291A61" w:rsidP="00291A61">
      <w:pPr>
        <w:spacing w:before="60" w:after="120"/>
        <w:jc w:val="right"/>
        <w:rPr>
          <w:i/>
        </w:rPr>
      </w:pPr>
      <w:r w:rsidRPr="00095712">
        <w:rPr>
          <w:rStyle w:val="SubtleEmphasis"/>
          <w:sz w:val="18"/>
        </w:rPr>
        <w:t>Source: ONS, FAME, Cebr analysis</w:t>
      </w:r>
    </w:p>
    <w:bookmarkStart w:id="100" w:name="_Ref485315327"/>
    <w:p w14:paraId="024A0A5E" w14:textId="1C1255E9" w:rsidR="00FB57A0" w:rsidRDefault="000D4724" w:rsidP="00B8140D">
      <w:pPr>
        <w:spacing w:after="120"/>
      </w:pPr>
      <w:r>
        <w:fldChar w:fldCharType="begin"/>
      </w:r>
      <w:r>
        <w:instrText xml:space="preserve"> REF _Ref16685660 \h </w:instrText>
      </w:r>
      <w:r>
        <w:fldChar w:fldCharType="separate"/>
      </w:r>
      <w:r>
        <w:t xml:space="preserve">Table </w:t>
      </w:r>
      <w:r>
        <w:rPr>
          <w:noProof/>
        </w:rPr>
        <w:t>14</w:t>
      </w:r>
      <w:r>
        <w:fldChar w:fldCharType="end"/>
      </w:r>
      <w:r>
        <w:t xml:space="preserve"> </w:t>
      </w:r>
      <w:r w:rsidR="00ED23DE">
        <w:t>below</w:t>
      </w:r>
      <w:r w:rsidR="00AE1A28">
        <w:t xml:space="preserve"> shows the estimated aggregate GVA impacts from the </w:t>
      </w:r>
      <w:r w:rsidR="00666CFF">
        <w:t>Scottish M</w:t>
      </w:r>
      <w:r w:rsidR="00AE1A28">
        <w:t>aritime industries taken in isolation.</w:t>
      </w:r>
      <w:r w:rsidR="00AE1A28" w:rsidRPr="00020D65">
        <w:t xml:space="preserve"> </w:t>
      </w:r>
      <w:r w:rsidR="00CB2AE8">
        <w:t xml:space="preserve">Marine Oil and Gas represents </w:t>
      </w:r>
      <w:r w:rsidR="00BE5875">
        <w:t>t</w:t>
      </w:r>
      <w:r w:rsidR="00CB2AE8">
        <w:t xml:space="preserve">he highest direct impact at approximately 18,000 jobs. However, due </w:t>
      </w:r>
      <w:r w:rsidR="005E37E5">
        <w:t xml:space="preserve">to </w:t>
      </w:r>
      <w:r w:rsidR="00FB57A0">
        <w:t xml:space="preserve">the high </w:t>
      </w:r>
      <w:r w:rsidR="005E37E5">
        <w:t xml:space="preserve">economic </w:t>
      </w:r>
      <w:r w:rsidR="00FB57A0">
        <w:t>multiplier</w:t>
      </w:r>
      <w:r w:rsidR="005E37E5">
        <w:t>s</w:t>
      </w:r>
      <w:r w:rsidR="009B2AC2">
        <w:t xml:space="preserve"> associated with the s</w:t>
      </w:r>
      <w:r w:rsidR="00FB57A0">
        <w:t>hipping industry</w:t>
      </w:r>
      <w:r w:rsidR="005E37E5">
        <w:t>,</w:t>
      </w:r>
      <w:r w:rsidR="00FB57A0">
        <w:t xml:space="preserve"> the </w:t>
      </w:r>
      <w:r w:rsidR="009B2AC2">
        <w:t>shipping industry in Scotland</w:t>
      </w:r>
      <w:r w:rsidR="00FB57A0">
        <w:t xml:space="preserve"> makes </w:t>
      </w:r>
      <w:r w:rsidR="005E37E5">
        <w:t xml:space="preserve">the largest </w:t>
      </w:r>
      <w:r w:rsidR="00CC6B0B">
        <w:t>aggregate economic</w:t>
      </w:r>
      <w:r w:rsidR="005E37E5">
        <w:t xml:space="preserve"> </w:t>
      </w:r>
      <w:r w:rsidR="00FB57A0">
        <w:t xml:space="preserve">impact </w:t>
      </w:r>
      <w:r w:rsidR="005E37E5">
        <w:t xml:space="preserve">through employment </w:t>
      </w:r>
      <w:r w:rsidR="00CB2AE8">
        <w:t>in 2017</w:t>
      </w:r>
      <w:r w:rsidR="00FB57A0">
        <w:t xml:space="preserve">, with around </w:t>
      </w:r>
      <w:r w:rsidR="00CB2AE8">
        <w:t>90,600</w:t>
      </w:r>
      <w:r w:rsidR="00D517BE">
        <w:t xml:space="preserve"> </w:t>
      </w:r>
      <w:r w:rsidR="00FB57A0">
        <w:t>jobs</w:t>
      </w:r>
      <w:r w:rsidR="005E37E5">
        <w:t xml:space="preserve"> directly and indirectly supported</w:t>
      </w:r>
      <w:r w:rsidR="00FB57A0">
        <w:t>.</w:t>
      </w:r>
    </w:p>
    <w:p w14:paraId="3624D9D9" w14:textId="1D96B612" w:rsidR="003F6121" w:rsidRDefault="000D4724" w:rsidP="000D4724">
      <w:pPr>
        <w:pStyle w:val="Caption"/>
      </w:pPr>
      <w:bookmarkStart w:id="101" w:name="_Ref16685660"/>
      <w:bookmarkEnd w:id="100"/>
      <w:r>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14</w:t>
      </w:r>
      <w:r w:rsidR="00BF1DE1">
        <w:rPr>
          <w:noProof/>
        </w:rPr>
        <w:fldChar w:fldCharType="end"/>
      </w:r>
      <w:bookmarkEnd w:id="101"/>
      <w:r w:rsidR="003F6121">
        <w:t xml:space="preserve">: </w:t>
      </w:r>
      <w:r w:rsidR="00C2680F">
        <w:t xml:space="preserve">Employment </w:t>
      </w:r>
      <w:r w:rsidR="00C2680F" w:rsidRPr="00380889">
        <w:t xml:space="preserve">impact </w:t>
      </w:r>
      <w:r w:rsidR="00C2680F">
        <w:t xml:space="preserve">by </w:t>
      </w:r>
      <w:r w:rsidR="004E1787">
        <w:t xml:space="preserve">each </w:t>
      </w:r>
      <w:r w:rsidR="00C2680F">
        <w:t xml:space="preserve">Maritime industry </w:t>
      </w:r>
      <w:r w:rsidR="004E1787">
        <w:t xml:space="preserve">in Scotland </w:t>
      </w:r>
      <w:r w:rsidR="00CB2AE8">
        <w:t>in 2017</w:t>
      </w:r>
      <w:r w:rsidR="00347A39">
        <w:t>, thousands of jobs</w:t>
      </w:r>
    </w:p>
    <w:tbl>
      <w:tblPr>
        <w:tblW w:w="9502" w:type="dxa"/>
        <w:tblLook w:val="04A0" w:firstRow="1" w:lastRow="0" w:firstColumn="1" w:lastColumn="0" w:noHBand="0" w:noVBand="1"/>
      </w:tblPr>
      <w:tblGrid>
        <w:gridCol w:w="3801"/>
        <w:gridCol w:w="1390"/>
        <w:gridCol w:w="1437"/>
        <w:gridCol w:w="1437"/>
        <w:gridCol w:w="1437"/>
      </w:tblGrid>
      <w:tr w:rsidR="00CB2AE8" w:rsidRPr="00CB2AE8" w14:paraId="63A3FF4D" w14:textId="77777777" w:rsidTr="00CB2AE8">
        <w:trPr>
          <w:trHeight w:val="476"/>
        </w:trPr>
        <w:tc>
          <w:tcPr>
            <w:tcW w:w="3801" w:type="dxa"/>
            <w:tcBorders>
              <w:top w:val="single" w:sz="8" w:space="0" w:color="FFFFFF"/>
              <w:left w:val="nil"/>
              <w:bottom w:val="single" w:sz="12" w:space="0" w:color="FFFFFF"/>
              <w:right w:val="single" w:sz="8" w:space="0" w:color="FFFFFF"/>
            </w:tcBorders>
            <w:shd w:val="clear" w:color="000000" w:fill="008C9B"/>
            <w:vAlign w:val="center"/>
            <w:hideMark/>
          </w:tcPr>
          <w:p w14:paraId="6280D910" w14:textId="77777777" w:rsidR="00CB2AE8" w:rsidRPr="00CB2AE8" w:rsidRDefault="00CB2AE8" w:rsidP="00CB2AE8">
            <w:pPr>
              <w:spacing w:after="0"/>
              <w:rPr>
                <w:rFonts w:ascii="Calibri" w:eastAsia="Times New Roman" w:hAnsi="Calibri"/>
                <w:b/>
                <w:bCs/>
                <w:color w:val="FFFFFF"/>
                <w:sz w:val="20"/>
                <w:lang w:eastAsia="en-GB"/>
              </w:rPr>
            </w:pPr>
            <w:r w:rsidRPr="00CB2AE8">
              <w:rPr>
                <w:rFonts w:ascii="Calibri" w:eastAsia="Times New Roman" w:hAnsi="Calibri"/>
                <w:b/>
                <w:bCs/>
                <w:color w:val="FFFFFF"/>
                <w:sz w:val="20"/>
                <w:lang w:eastAsia="en-GB"/>
              </w:rPr>
              <w:t>Employment in 2017</w:t>
            </w:r>
          </w:p>
        </w:tc>
        <w:tc>
          <w:tcPr>
            <w:tcW w:w="1390" w:type="dxa"/>
            <w:tcBorders>
              <w:top w:val="single" w:sz="8" w:space="0" w:color="FFFFFF"/>
              <w:left w:val="nil"/>
              <w:bottom w:val="single" w:sz="12" w:space="0" w:color="FFFFFF"/>
              <w:right w:val="single" w:sz="8" w:space="0" w:color="FFFFFF"/>
            </w:tcBorders>
            <w:shd w:val="clear" w:color="000000" w:fill="008C9B"/>
            <w:vAlign w:val="center"/>
            <w:hideMark/>
          </w:tcPr>
          <w:p w14:paraId="04142284" w14:textId="77777777" w:rsidR="00CB2AE8" w:rsidRPr="00CB2AE8" w:rsidRDefault="00CB2AE8" w:rsidP="00CB2AE8">
            <w:pPr>
              <w:spacing w:after="0"/>
              <w:jc w:val="center"/>
              <w:rPr>
                <w:rFonts w:ascii="Calibri" w:eastAsia="Times New Roman" w:hAnsi="Calibri"/>
                <w:b/>
                <w:bCs/>
                <w:color w:val="FFFFFF"/>
                <w:sz w:val="20"/>
                <w:lang w:eastAsia="en-GB"/>
              </w:rPr>
            </w:pPr>
            <w:r w:rsidRPr="00CB2AE8">
              <w:rPr>
                <w:rFonts w:ascii="Calibri" w:eastAsia="Times New Roman" w:hAnsi="Calibri"/>
                <w:b/>
                <w:bCs/>
                <w:color w:val="FFFFFF"/>
                <w:sz w:val="20"/>
                <w:lang w:eastAsia="en-GB"/>
              </w:rPr>
              <w:t>Direct Impact</w:t>
            </w:r>
          </w:p>
        </w:tc>
        <w:tc>
          <w:tcPr>
            <w:tcW w:w="1437" w:type="dxa"/>
            <w:tcBorders>
              <w:top w:val="single" w:sz="8" w:space="0" w:color="FFFFFF"/>
              <w:left w:val="nil"/>
              <w:bottom w:val="single" w:sz="12" w:space="0" w:color="FFFFFF"/>
              <w:right w:val="single" w:sz="8" w:space="0" w:color="FFFFFF"/>
            </w:tcBorders>
            <w:shd w:val="clear" w:color="000000" w:fill="008C9B"/>
            <w:vAlign w:val="center"/>
            <w:hideMark/>
          </w:tcPr>
          <w:p w14:paraId="137CE46B" w14:textId="77777777" w:rsidR="00CB2AE8" w:rsidRPr="00CB2AE8" w:rsidRDefault="00CB2AE8" w:rsidP="00CB2AE8">
            <w:pPr>
              <w:spacing w:after="0"/>
              <w:jc w:val="center"/>
              <w:rPr>
                <w:rFonts w:ascii="Calibri" w:eastAsia="Times New Roman" w:hAnsi="Calibri"/>
                <w:b/>
                <w:bCs/>
                <w:color w:val="FFFFFF"/>
                <w:sz w:val="20"/>
                <w:lang w:eastAsia="en-GB"/>
              </w:rPr>
            </w:pPr>
            <w:r w:rsidRPr="00CB2AE8">
              <w:rPr>
                <w:rFonts w:ascii="Calibri" w:eastAsia="Times New Roman" w:hAnsi="Calibri"/>
                <w:b/>
                <w:bCs/>
                <w:color w:val="FFFFFF"/>
                <w:sz w:val="20"/>
                <w:lang w:eastAsia="en-GB"/>
              </w:rPr>
              <w:t>Indirect Impact</w:t>
            </w:r>
          </w:p>
        </w:tc>
        <w:tc>
          <w:tcPr>
            <w:tcW w:w="1437" w:type="dxa"/>
            <w:tcBorders>
              <w:top w:val="single" w:sz="8" w:space="0" w:color="FFFFFF"/>
              <w:left w:val="nil"/>
              <w:bottom w:val="single" w:sz="12" w:space="0" w:color="FFFFFF"/>
              <w:right w:val="single" w:sz="8" w:space="0" w:color="FFFFFF"/>
            </w:tcBorders>
            <w:shd w:val="clear" w:color="000000" w:fill="008C9B"/>
            <w:vAlign w:val="center"/>
            <w:hideMark/>
          </w:tcPr>
          <w:p w14:paraId="395394C5" w14:textId="77777777" w:rsidR="00CB2AE8" w:rsidRPr="00CB2AE8" w:rsidRDefault="00CB2AE8" w:rsidP="00CB2AE8">
            <w:pPr>
              <w:spacing w:after="0"/>
              <w:jc w:val="center"/>
              <w:rPr>
                <w:rFonts w:ascii="Calibri" w:eastAsia="Times New Roman" w:hAnsi="Calibri"/>
                <w:b/>
                <w:bCs/>
                <w:color w:val="FFFFFF"/>
                <w:sz w:val="20"/>
                <w:lang w:eastAsia="en-GB"/>
              </w:rPr>
            </w:pPr>
            <w:r w:rsidRPr="00CB2AE8">
              <w:rPr>
                <w:rFonts w:ascii="Calibri" w:eastAsia="Times New Roman" w:hAnsi="Calibri"/>
                <w:b/>
                <w:bCs/>
                <w:color w:val="FFFFFF"/>
                <w:sz w:val="20"/>
                <w:lang w:eastAsia="en-GB"/>
              </w:rPr>
              <w:t>Induced Impact</w:t>
            </w:r>
          </w:p>
        </w:tc>
        <w:tc>
          <w:tcPr>
            <w:tcW w:w="1437" w:type="dxa"/>
            <w:tcBorders>
              <w:top w:val="single" w:sz="8" w:space="0" w:color="FFFFFF"/>
              <w:left w:val="nil"/>
              <w:bottom w:val="single" w:sz="12" w:space="0" w:color="FFFFFF"/>
              <w:right w:val="single" w:sz="8" w:space="0" w:color="FFFFFF"/>
            </w:tcBorders>
            <w:shd w:val="clear" w:color="000000" w:fill="008C9B"/>
            <w:vAlign w:val="center"/>
            <w:hideMark/>
          </w:tcPr>
          <w:p w14:paraId="567F105F" w14:textId="77777777" w:rsidR="00CB2AE8" w:rsidRPr="00CB2AE8" w:rsidRDefault="00CB2AE8" w:rsidP="00CB2AE8">
            <w:pPr>
              <w:spacing w:after="0"/>
              <w:jc w:val="center"/>
              <w:rPr>
                <w:rFonts w:ascii="Calibri" w:eastAsia="Times New Roman" w:hAnsi="Calibri"/>
                <w:b/>
                <w:bCs/>
                <w:color w:val="FFFFFF"/>
                <w:sz w:val="20"/>
                <w:lang w:eastAsia="en-GB"/>
              </w:rPr>
            </w:pPr>
            <w:r w:rsidRPr="00CB2AE8">
              <w:rPr>
                <w:rFonts w:ascii="Calibri" w:eastAsia="Times New Roman" w:hAnsi="Calibri"/>
                <w:b/>
                <w:bCs/>
                <w:color w:val="FFFFFF"/>
                <w:sz w:val="20"/>
                <w:lang w:eastAsia="en-GB"/>
              </w:rPr>
              <w:t>Aggregate Impact</w:t>
            </w:r>
          </w:p>
        </w:tc>
      </w:tr>
      <w:tr w:rsidR="00CB2AE8" w:rsidRPr="00CB2AE8" w14:paraId="10BD9A8C" w14:textId="77777777" w:rsidTr="00CB2AE8">
        <w:trPr>
          <w:trHeight w:val="299"/>
        </w:trPr>
        <w:tc>
          <w:tcPr>
            <w:tcW w:w="3801" w:type="dxa"/>
            <w:tcBorders>
              <w:top w:val="nil"/>
              <w:left w:val="single" w:sz="8" w:space="0" w:color="FFFFFF"/>
              <w:bottom w:val="single" w:sz="8" w:space="0" w:color="FFFFFF"/>
              <w:right w:val="single" w:sz="8" w:space="0" w:color="FFFFFF"/>
            </w:tcBorders>
            <w:shd w:val="clear" w:color="000000" w:fill="008C9B"/>
            <w:vAlign w:val="center"/>
            <w:hideMark/>
          </w:tcPr>
          <w:p w14:paraId="2586114E" w14:textId="77777777" w:rsidR="00CB2AE8" w:rsidRPr="00CB2AE8" w:rsidRDefault="00CB2AE8" w:rsidP="00CB2AE8">
            <w:pPr>
              <w:spacing w:after="0"/>
              <w:rPr>
                <w:rFonts w:ascii="Calibri" w:eastAsia="Times New Roman" w:hAnsi="Calibri"/>
                <w:b/>
                <w:bCs/>
                <w:color w:val="FFFFFF"/>
                <w:sz w:val="20"/>
                <w:lang w:eastAsia="en-GB"/>
              </w:rPr>
            </w:pPr>
            <w:r w:rsidRPr="00CB2AE8">
              <w:rPr>
                <w:rFonts w:ascii="Calibri" w:eastAsia="Times New Roman" w:hAnsi="Calibri"/>
                <w:b/>
                <w:bCs/>
                <w:color w:val="FFFFFF"/>
                <w:sz w:val="20"/>
                <w:lang w:eastAsia="en-GB"/>
              </w:rPr>
              <w:t>TOTAL</w:t>
            </w:r>
          </w:p>
        </w:tc>
        <w:tc>
          <w:tcPr>
            <w:tcW w:w="1390" w:type="dxa"/>
            <w:tcBorders>
              <w:top w:val="nil"/>
              <w:left w:val="nil"/>
              <w:bottom w:val="single" w:sz="8" w:space="0" w:color="FFFFFF"/>
              <w:right w:val="single" w:sz="8" w:space="0" w:color="FFFFFF"/>
            </w:tcBorders>
            <w:shd w:val="clear" w:color="000000" w:fill="E7EEEF"/>
            <w:vAlign w:val="center"/>
            <w:hideMark/>
          </w:tcPr>
          <w:p w14:paraId="23529921"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40,990</w:t>
            </w:r>
          </w:p>
        </w:tc>
        <w:tc>
          <w:tcPr>
            <w:tcW w:w="1437" w:type="dxa"/>
            <w:tcBorders>
              <w:top w:val="nil"/>
              <w:left w:val="nil"/>
              <w:bottom w:val="single" w:sz="8" w:space="0" w:color="FFFFFF"/>
              <w:right w:val="single" w:sz="8" w:space="0" w:color="FFFFFF"/>
            </w:tcBorders>
            <w:shd w:val="clear" w:color="000000" w:fill="E7EEEF"/>
            <w:vAlign w:val="center"/>
            <w:hideMark/>
          </w:tcPr>
          <w:p w14:paraId="32C95EE1"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66,448</w:t>
            </w:r>
          </w:p>
        </w:tc>
        <w:tc>
          <w:tcPr>
            <w:tcW w:w="1437" w:type="dxa"/>
            <w:tcBorders>
              <w:top w:val="nil"/>
              <w:left w:val="nil"/>
              <w:bottom w:val="single" w:sz="8" w:space="0" w:color="FFFFFF"/>
              <w:right w:val="single" w:sz="8" w:space="0" w:color="FFFFFF"/>
            </w:tcBorders>
            <w:shd w:val="clear" w:color="000000" w:fill="E7EEEF"/>
            <w:vAlign w:val="center"/>
            <w:hideMark/>
          </w:tcPr>
          <w:p w14:paraId="7249BA0C"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47,829</w:t>
            </w:r>
          </w:p>
        </w:tc>
        <w:tc>
          <w:tcPr>
            <w:tcW w:w="1437" w:type="dxa"/>
            <w:tcBorders>
              <w:top w:val="nil"/>
              <w:left w:val="nil"/>
              <w:bottom w:val="single" w:sz="8" w:space="0" w:color="FFFFFF"/>
              <w:right w:val="single" w:sz="8" w:space="0" w:color="FFFFFF"/>
            </w:tcBorders>
            <w:shd w:val="clear" w:color="000000" w:fill="E7EEEF"/>
            <w:vAlign w:val="center"/>
            <w:hideMark/>
          </w:tcPr>
          <w:p w14:paraId="1173562C"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155,267</w:t>
            </w:r>
          </w:p>
        </w:tc>
      </w:tr>
      <w:tr w:rsidR="00CB2AE8" w:rsidRPr="00CB2AE8" w14:paraId="5ECE8386" w14:textId="77777777" w:rsidTr="00CB2AE8">
        <w:trPr>
          <w:trHeight w:val="285"/>
        </w:trPr>
        <w:tc>
          <w:tcPr>
            <w:tcW w:w="3801" w:type="dxa"/>
            <w:tcBorders>
              <w:top w:val="nil"/>
              <w:left w:val="single" w:sz="8" w:space="0" w:color="FFFFFF"/>
              <w:bottom w:val="single" w:sz="8" w:space="0" w:color="FFFFFF"/>
              <w:right w:val="single" w:sz="8" w:space="0" w:color="FFFFFF"/>
            </w:tcBorders>
            <w:shd w:val="clear" w:color="000000" w:fill="008C9B"/>
            <w:vAlign w:val="center"/>
            <w:hideMark/>
          </w:tcPr>
          <w:p w14:paraId="54DEA80D" w14:textId="77777777" w:rsidR="00CB2AE8" w:rsidRPr="00CB2AE8" w:rsidRDefault="00CB2AE8" w:rsidP="00CB2AE8">
            <w:pPr>
              <w:spacing w:after="0"/>
              <w:rPr>
                <w:rFonts w:ascii="Calibri" w:eastAsia="Times New Roman" w:hAnsi="Calibri"/>
                <w:color w:val="FFFFFF"/>
                <w:sz w:val="20"/>
                <w:lang w:eastAsia="en-GB"/>
              </w:rPr>
            </w:pPr>
            <w:r w:rsidRPr="00CB2AE8">
              <w:rPr>
                <w:rFonts w:ascii="Calibri" w:eastAsia="Times New Roman" w:hAnsi="Calibri"/>
                <w:color w:val="FFFFFF"/>
                <w:sz w:val="20"/>
                <w:lang w:eastAsia="en-GB"/>
              </w:rPr>
              <w:t>Shipping</w:t>
            </w:r>
          </w:p>
        </w:tc>
        <w:tc>
          <w:tcPr>
            <w:tcW w:w="1390" w:type="dxa"/>
            <w:tcBorders>
              <w:top w:val="nil"/>
              <w:left w:val="nil"/>
              <w:bottom w:val="single" w:sz="8" w:space="0" w:color="FFFFFF"/>
              <w:right w:val="single" w:sz="8" w:space="0" w:color="FFFFFF"/>
            </w:tcBorders>
            <w:shd w:val="clear" w:color="000000" w:fill="D0CECE"/>
            <w:vAlign w:val="center"/>
            <w:hideMark/>
          </w:tcPr>
          <w:p w14:paraId="7CE1E797"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8,264</w:t>
            </w:r>
          </w:p>
        </w:tc>
        <w:tc>
          <w:tcPr>
            <w:tcW w:w="1437" w:type="dxa"/>
            <w:tcBorders>
              <w:top w:val="nil"/>
              <w:left w:val="nil"/>
              <w:bottom w:val="single" w:sz="8" w:space="0" w:color="FFFFFF"/>
              <w:right w:val="single" w:sz="8" w:space="0" w:color="FFFFFF"/>
            </w:tcBorders>
            <w:shd w:val="clear" w:color="000000" w:fill="D0CECE"/>
            <w:vAlign w:val="center"/>
            <w:hideMark/>
          </w:tcPr>
          <w:p w14:paraId="017E8924"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50,637</w:t>
            </w:r>
          </w:p>
        </w:tc>
        <w:tc>
          <w:tcPr>
            <w:tcW w:w="1437" w:type="dxa"/>
            <w:tcBorders>
              <w:top w:val="nil"/>
              <w:left w:val="nil"/>
              <w:bottom w:val="single" w:sz="8" w:space="0" w:color="FFFFFF"/>
              <w:right w:val="single" w:sz="8" w:space="0" w:color="FFFFFF"/>
            </w:tcBorders>
            <w:shd w:val="clear" w:color="000000" w:fill="D0CECE"/>
            <w:vAlign w:val="center"/>
            <w:hideMark/>
          </w:tcPr>
          <w:p w14:paraId="6E5FD22A"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31,672</w:t>
            </w:r>
          </w:p>
        </w:tc>
        <w:tc>
          <w:tcPr>
            <w:tcW w:w="1437" w:type="dxa"/>
            <w:tcBorders>
              <w:top w:val="nil"/>
              <w:left w:val="nil"/>
              <w:bottom w:val="single" w:sz="8" w:space="0" w:color="FFFFFF"/>
              <w:right w:val="single" w:sz="8" w:space="0" w:color="FFFFFF"/>
            </w:tcBorders>
            <w:shd w:val="clear" w:color="000000" w:fill="D0CECE"/>
            <w:vAlign w:val="center"/>
            <w:hideMark/>
          </w:tcPr>
          <w:p w14:paraId="6D0E75EA"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90,573</w:t>
            </w:r>
          </w:p>
        </w:tc>
      </w:tr>
      <w:tr w:rsidR="00CB2AE8" w:rsidRPr="00CB2AE8" w14:paraId="3DA2BE0B" w14:textId="77777777" w:rsidTr="00CB2AE8">
        <w:trPr>
          <w:trHeight w:val="285"/>
        </w:trPr>
        <w:tc>
          <w:tcPr>
            <w:tcW w:w="3801" w:type="dxa"/>
            <w:tcBorders>
              <w:top w:val="nil"/>
              <w:left w:val="single" w:sz="8" w:space="0" w:color="FFFFFF"/>
              <w:bottom w:val="single" w:sz="8" w:space="0" w:color="FFFFFF"/>
              <w:right w:val="single" w:sz="8" w:space="0" w:color="FFFFFF"/>
            </w:tcBorders>
            <w:shd w:val="clear" w:color="000000" w:fill="008C9B"/>
            <w:vAlign w:val="center"/>
            <w:hideMark/>
          </w:tcPr>
          <w:p w14:paraId="33988CB7" w14:textId="77777777" w:rsidR="00CB2AE8" w:rsidRPr="00CB2AE8" w:rsidRDefault="00CB2AE8" w:rsidP="00CB2AE8">
            <w:pPr>
              <w:spacing w:after="0"/>
              <w:rPr>
                <w:rFonts w:ascii="Calibri" w:eastAsia="Times New Roman" w:hAnsi="Calibri"/>
                <w:color w:val="FFFFFF"/>
                <w:sz w:val="20"/>
                <w:lang w:eastAsia="en-GB"/>
              </w:rPr>
            </w:pPr>
            <w:r w:rsidRPr="00CB2AE8">
              <w:rPr>
                <w:rFonts w:ascii="Calibri" w:eastAsia="Times New Roman" w:hAnsi="Calibri"/>
                <w:color w:val="FFFFFF"/>
                <w:sz w:val="20"/>
                <w:lang w:eastAsia="en-GB"/>
              </w:rPr>
              <w:t>Ports</w:t>
            </w:r>
          </w:p>
        </w:tc>
        <w:tc>
          <w:tcPr>
            <w:tcW w:w="1390" w:type="dxa"/>
            <w:tcBorders>
              <w:top w:val="nil"/>
              <w:left w:val="nil"/>
              <w:bottom w:val="single" w:sz="8" w:space="0" w:color="FFFFFF"/>
              <w:right w:val="single" w:sz="8" w:space="0" w:color="FFFFFF"/>
            </w:tcBorders>
            <w:shd w:val="clear" w:color="000000" w:fill="E7EEEF"/>
            <w:vAlign w:val="center"/>
            <w:hideMark/>
          </w:tcPr>
          <w:p w14:paraId="7E5B0492"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2,704</w:t>
            </w:r>
          </w:p>
        </w:tc>
        <w:tc>
          <w:tcPr>
            <w:tcW w:w="1437" w:type="dxa"/>
            <w:tcBorders>
              <w:top w:val="nil"/>
              <w:left w:val="nil"/>
              <w:bottom w:val="single" w:sz="8" w:space="0" w:color="FFFFFF"/>
              <w:right w:val="single" w:sz="8" w:space="0" w:color="FFFFFF"/>
            </w:tcBorders>
            <w:shd w:val="clear" w:color="000000" w:fill="E7EEEF"/>
            <w:vAlign w:val="center"/>
            <w:hideMark/>
          </w:tcPr>
          <w:p w14:paraId="04CB48CF"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2,661</w:t>
            </w:r>
          </w:p>
        </w:tc>
        <w:tc>
          <w:tcPr>
            <w:tcW w:w="1437" w:type="dxa"/>
            <w:tcBorders>
              <w:top w:val="nil"/>
              <w:left w:val="nil"/>
              <w:bottom w:val="single" w:sz="8" w:space="0" w:color="FFFFFF"/>
              <w:right w:val="single" w:sz="8" w:space="0" w:color="FFFFFF"/>
            </w:tcBorders>
            <w:shd w:val="clear" w:color="000000" w:fill="E7EEEF"/>
            <w:vAlign w:val="center"/>
            <w:hideMark/>
          </w:tcPr>
          <w:p w14:paraId="05B4D2BE"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1,387</w:t>
            </w:r>
          </w:p>
        </w:tc>
        <w:tc>
          <w:tcPr>
            <w:tcW w:w="1437" w:type="dxa"/>
            <w:tcBorders>
              <w:top w:val="nil"/>
              <w:left w:val="nil"/>
              <w:bottom w:val="single" w:sz="8" w:space="0" w:color="FFFFFF"/>
              <w:right w:val="single" w:sz="8" w:space="0" w:color="FFFFFF"/>
            </w:tcBorders>
            <w:shd w:val="clear" w:color="000000" w:fill="E7EEEF"/>
            <w:vAlign w:val="center"/>
            <w:hideMark/>
          </w:tcPr>
          <w:p w14:paraId="05057694"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6,753</w:t>
            </w:r>
          </w:p>
        </w:tc>
      </w:tr>
      <w:tr w:rsidR="00CB2AE8" w:rsidRPr="00CB2AE8" w14:paraId="7E0429D4" w14:textId="77777777" w:rsidTr="00CB2AE8">
        <w:trPr>
          <w:trHeight w:val="285"/>
        </w:trPr>
        <w:tc>
          <w:tcPr>
            <w:tcW w:w="3801" w:type="dxa"/>
            <w:tcBorders>
              <w:top w:val="nil"/>
              <w:left w:val="single" w:sz="8" w:space="0" w:color="FFFFFF"/>
              <w:bottom w:val="single" w:sz="8" w:space="0" w:color="FFFFFF"/>
              <w:right w:val="single" w:sz="8" w:space="0" w:color="FFFFFF"/>
            </w:tcBorders>
            <w:shd w:val="clear" w:color="000000" w:fill="008C9B"/>
            <w:vAlign w:val="center"/>
            <w:hideMark/>
          </w:tcPr>
          <w:p w14:paraId="27618144" w14:textId="77777777" w:rsidR="00CB2AE8" w:rsidRPr="00CB2AE8" w:rsidRDefault="00CB2AE8" w:rsidP="00CB2AE8">
            <w:pPr>
              <w:spacing w:after="0"/>
              <w:rPr>
                <w:rFonts w:ascii="Calibri" w:eastAsia="Times New Roman" w:hAnsi="Calibri"/>
                <w:color w:val="FFFFFF"/>
                <w:sz w:val="20"/>
                <w:lang w:eastAsia="en-GB"/>
              </w:rPr>
            </w:pPr>
            <w:r w:rsidRPr="00CB2AE8">
              <w:rPr>
                <w:rFonts w:ascii="Calibri" w:eastAsia="Times New Roman" w:hAnsi="Calibri"/>
                <w:color w:val="FFFFFF"/>
                <w:sz w:val="20"/>
                <w:lang w:eastAsia="en-GB"/>
              </w:rPr>
              <w:t>Leisure Marine</w:t>
            </w:r>
          </w:p>
        </w:tc>
        <w:tc>
          <w:tcPr>
            <w:tcW w:w="1390" w:type="dxa"/>
            <w:tcBorders>
              <w:top w:val="nil"/>
              <w:left w:val="nil"/>
              <w:bottom w:val="single" w:sz="8" w:space="0" w:color="FFFFFF"/>
              <w:right w:val="single" w:sz="8" w:space="0" w:color="FFFFFF"/>
            </w:tcBorders>
            <w:shd w:val="clear" w:color="000000" w:fill="D0CECE"/>
            <w:vAlign w:val="center"/>
            <w:hideMark/>
          </w:tcPr>
          <w:p w14:paraId="62A8DC4D"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484</w:t>
            </w:r>
          </w:p>
        </w:tc>
        <w:tc>
          <w:tcPr>
            <w:tcW w:w="1437" w:type="dxa"/>
            <w:tcBorders>
              <w:top w:val="nil"/>
              <w:left w:val="nil"/>
              <w:bottom w:val="single" w:sz="8" w:space="0" w:color="FFFFFF"/>
              <w:right w:val="single" w:sz="8" w:space="0" w:color="FFFFFF"/>
            </w:tcBorders>
            <w:shd w:val="clear" w:color="000000" w:fill="D0CECE"/>
            <w:vAlign w:val="center"/>
            <w:hideMark/>
          </w:tcPr>
          <w:p w14:paraId="03186492"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361</w:t>
            </w:r>
          </w:p>
        </w:tc>
        <w:tc>
          <w:tcPr>
            <w:tcW w:w="1437" w:type="dxa"/>
            <w:tcBorders>
              <w:top w:val="nil"/>
              <w:left w:val="nil"/>
              <w:bottom w:val="single" w:sz="8" w:space="0" w:color="FFFFFF"/>
              <w:right w:val="single" w:sz="8" w:space="0" w:color="FFFFFF"/>
            </w:tcBorders>
            <w:shd w:val="clear" w:color="000000" w:fill="D0CECE"/>
            <w:vAlign w:val="center"/>
            <w:hideMark/>
          </w:tcPr>
          <w:p w14:paraId="59D6EC69"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224</w:t>
            </w:r>
          </w:p>
        </w:tc>
        <w:tc>
          <w:tcPr>
            <w:tcW w:w="1437" w:type="dxa"/>
            <w:tcBorders>
              <w:top w:val="nil"/>
              <w:left w:val="nil"/>
              <w:bottom w:val="single" w:sz="8" w:space="0" w:color="FFFFFF"/>
              <w:right w:val="single" w:sz="8" w:space="0" w:color="FFFFFF"/>
            </w:tcBorders>
            <w:shd w:val="clear" w:color="000000" w:fill="D0CECE"/>
            <w:vAlign w:val="center"/>
            <w:hideMark/>
          </w:tcPr>
          <w:p w14:paraId="25385AE8"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1,069</w:t>
            </w:r>
          </w:p>
        </w:tc>
      </w:tr>
      <w:tr w:rsidR="00CB2AE8" w:rsidRPr="00CB2AE8" w14:paraId="0FBD9D10" w14:textId="77777777" w:rsidTr="00CB2AE8">
        <w:trPr>
          <w:trHeight w:val="285"/>
        </w:trPr>
        <w:tc>
          <w:tcPr>
            <w:tcW w:w="3801" w:type="dxa"/>
            <w:tcBorders>
              <w:top w:val="nil"/>
              <w:left w:val="single" w:sz="8" w:space="0" w:color="FFFFFF"/>
              <w:bottom w:val="single" w:sz="8" w:space="0" w:color="FFFFFF"/>
              <w:right w:val="single" w:sz="8" w:space="0" w:color="FFFFFF"/>
            </w:tcBorders>
            <w:shd w:val="clear" w:color="000000" w:fill="008C9B"/>
            <w:vAlign w:val="center"/>
            <w:hideMark/>
          </w:tcPr>
          <w:p w14:paraId="00C5A906" w14:textId="77777777" w:rsidR="00CB2AE8" w:rsidRPr="00CB2AE8" w:rsidRDefault="00CB2AE8" w:rsidP="00CB2AE8">
            <w:pPr>
              <w:spacing w:after="0"/>
              <w:rPr>
                <w:rFonts w:ascii="Calibri" w:eastAsia="Times New Roman" w:hAnsi="Calibri"/>
                <w:color w:val="FFFFFF"/>
                <w:sz w:val="20"/>
                <w:lang w:eastAsia="en-GB"/>
              </w:rPr>
            </w:pPr>
            <w:r w:rsidRPr="00CB2AE8">
              <w:rPr>
                <w:rFonts w:ascii="Calibri" w:eastAsia="Times New Roman" w:hAnsi="Calibri"/>
                <w:color w:val="FFFFFF"/>
                <w:sz w:val="20"/>
                <w:lang w:eastAsia="en-GB"/>
              </w:rPr>
              <w:t>Marine Offshore Oil &amp; Gas</w:t>
            </w:r>
          </w:p>
        </w:tc>
        <w:tc>
          <w:tcPr>
            <w:tcW w:w="1390" w:type="dxa"/>
            <w:tcBorders>
              <w:top w:val="nil"/>
              <w:left w:val="nil"/>
              <w:bottom w:val="single" w:sz="8" w:space="0" w:color="FFFFFF"/>
              <w:right w:val="single" w:sz="8" w:space="0" w:color="FFFFFF"/>
            </w:tcBorders>
            <w:shd w:val="clear" w:color="000000" w:fill="E7EEEF"/>
            <w:vAlign w:val="center"/>
            <w:hideMark/>
          </w:tcPr>
          <w:p w14:paraId="39F1FA29"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17,948</w:t>
            </w:r>
          </w:p>
        </w:tc>
        <w:tc>
          <w:tcPr>
            <w:tcW w:w="1437" w:type="dxa"/>
            <w:tcBorders>
              <w:top w:val="nil"/>
              <w:left w:val="nil"/>
              <w:bottom w:val="single" w:sz="8" w:space="0" w:color="FFFFFF"/>
              <w:right w:val="single" w:sz="8" w:space="0" w:color="FFFFFF"/>
            </w:tcBorders>
            <w:shd w:val="clear" w:color="000000" w:fill="E7EEEF"/>
            <w:vAlign w:val="center"/>
            <w:hideMark/>
          </w:tcPr>
          <w:p w14:paraId="1316CC78"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3,203</w:t>
            </w:r>
          </w:p>
        </w:tc>
        <w:tc>
          <w:tcPr>
            <w:tcW w:w="1437" w:type="dxa"/>
            <w:tcBorders>
              <w:top w:val="nil"/>
              <w:left w:val="nil"/>
              <w:bottom w:val="single" w:sz="8" w:space="0" w:color="FFFFFF"/>
              <w:right w:val="single" w:sz="8" w:space="0" w:color="FFFFFF"/>
            </w:tcBorders>
            <w:shd w:val="clear" w:color="000000" w:fill="E7EEEF"/>
            <w:vAlign w:val="center"/>
            <w:hideMark/>
          </w:tcPr>
          <w:p w14:paraId="6CAEC0CD"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9,471</w:t>
            </w:r>
          </w:p>
        </w:tc>
        <w:tc>
          <w:tcPr>
            <w:tcW w:w="1437" w:type="dxa"/>
            <w:tcBorders>
              <w:top w:val="nil"/>
              <w:left w:val="nil"/>
              <w:bottom w:val="single" w:sz="8" w:space="0" w:color="FFFFFF"/>
              <w:right w:val="single" w:sz="8" w:space="0" w:color="FFFFFF"/>
            </w:tcBorders>
            <w:shd w:val="clear" w:color="000000" w:fill="E7EEEF"/>
            <w:vAlign w:val="center"/>
            <w:hideMark/>
          </w:tcPr>
          <w:p w14:paraId="072774EF"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30,623</w:t>
            </w:r>
          </w:p>
        </w:tc>
      </w:tr>
      <w:tr w:rsidR="00CB2AE8" w:rsidRPr="00CB2AE8" w14:paraId="7F3BC0CC" w14:textId="77777777" w:rsidTr="00CB2AE8">
        <w:trPr>
          <w:trHeight w:val="285"/>
        </w:trPr>
        <w:tc>
          <w:tcPr>
            <w:tcW w:w="3801" w:type="dxa"/>
            <w:tcBorders>
              <w:top w:val="nil"/>
              <w:left w:val="single" w:sz="8" w:space="0" w:color="FFFFFF"/>
              <w:bottom w:val="single" w:sz="8" w:space="0" w:color="FFFFFF"/>
              <w:right w:val="single" w:sz="8" w:space="0" w:color="FFFFFF"/>
            </w:tcBorders>
            <w:shd w:val="clear" w:color="000000" w:fill="008C9B"/>
            <w:vAlign w:val="center"/>
            <w:hideMark/>
          </w:tcPr>
          <w:p w14:paraId="783F370A" w14:textId="77777777" w:rsidR="00CB2AE8" w:rsidRPr="00CB2AE8" w:rsidRDefault="00CB2AE8" w:rsidP="00CB2AE8">
            <w:pPr>
              <w:spacing w:after="0"/>
              <w:rPr>
                <w:rFonts w:ascii="Calibri" w:eastAsia="Times New Roman" w:hAnsi="Calibri"/>
                <w:color w:val="FFFFFF"/>
                <w:sz w:val="20"/>
                <w:lang w:eastAsia="en-GB"/>
              </w:rPr>
            </w:pPr>
            <w:r w:rsidRPr="00CB2AE8">
              <w:rPr>
                <w:rFonts w:ascii="Calibri" w:eastAsia="Times New Roman" w:hAnsi="Calibri"/>
                <w:color w:val="FFFFFF"/>
                <w:sz w:val="20"/>
                <w:lang w:eastAsia="en-GB"/>
              </w:rPr>
              <w:t>Other Marine Engineering</w:t>
            </w:r>
          </w:p>
        </w:tc>
        <w:tc>
          <w:tcPr>
            <w:tcW w:w="1390" w:type="dxa"/>
            <w:tcBorders>
              <w:top w:val="nil"/>
              <w:left w:val="nil"/>
              <w:bottom w:val="single" w:sz="8" w:space="0" w:color="FFFFFF"/>
              <w:right w:val="single" w:sz="8" w:space="0" w:color="FFFFFF"/>
            </w:tcBorders>
            <w:shd w:val="clear" w:color="000000" w:fill="D0CECE"/>
            <w:vAlign w:val="center"/>
            <w:hideMark/>
          </w:tcPr>
          <w:p w14:paraId="2C2F7EBC"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11,107</w:t>
            </w:r>
          </w:p>
        </w:tc>
        <w:tc>
          <w:tcPr>
            <w:tcW w:w="1437" w:type="dxa"/>
            <w:tcBorders>
              <w:top w:val="nil"/>
              <w:left w:val="nil"/>
              <w:bottom w:val="single" w:sz="8" w:space="0" w:color="FFFFFF"/>
              <w:right w:val="single" w:sz="8" w:space="0" w:color="FFFFFF"/>
            </w:tcBorders>
            <w:shd w:val="clear" w:color="000000" w:fill="D0CECE"/>
            <w:vAlign w:val="center"/>
            <w:hideMark/>
          </w:tcPr>
          <w:p w14:paraId="351DAEC4"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8,702</w:t>
            </w:r>
          </w:p>
        </w:tc>
        <w:tc>
          <w:tcPr>
            <w:tcW w:w="1437" w:type="dxa"/>
            <w:tcBorders>
              <w:top w:val="nil"/>
              <w:left w:val="nil"/>
              <w:bottom w:val="single" w:sz="8" w:space="0" w:color="FFFFFF"/>
              <w:right w:val="single" w:sz="8" w:space="0" w:color="FFFFFF"/>
            </w:tcBorders>
            <w:shd w:val="clear" w:color="000000" w:fill="D0CECE"/>
            <w:vAlign w:val="center"/>
            <w:hideMark/>
          </w:tcPr>
          <w:p w14:paraId="4EC65F15"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4,682</w:t>
            </w:r>
          </w:p>
        </w:tc>
        <w:tc>
          <w:tcPr>
            <w:tcW w:w="1437" w:type="dxa"/>
            <w:tcBorders>
              <w:top w:val="nil"/>
              <w:left w:val="nil"/>
              <w:bottom w:val="single" w:sz="8" w:space="0" w:color="FFFFFF"/>
              <w:right w:val="single" w:sz="8" w:space="0" w:color="FFFFFF"/>
            </w:tcBorders>
            <w:shd w:val="clear" w:color="000000" w:fill="D0CECE"/>
            <w:vAlign w:val="center"/>
            <w:hideMark/>
          </w:tcPr>
          <w:p w14:paraId="2B3A8637"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24,491</w:t>
            </w:r>
          </w:p>
        </w:tc>
      </w:tr>
      <w:tr w:rsidR="00CB2AE8" w:rsidRPr="00CB2AE8" w14:paraId="17B086C7" w14:textId="77777777" w:rsidTr="00CB2AE8">
        <w:trPr>
          <w:trHeight w:val="285"/>
        </w:trPr>
        <w:tc>
          <w:tcPr>
            <w:tcW w:w="3801" w:type="dxa"/>
            <w:tcBorders>
              <w:top w:val="nil"/>
              <w:left w:val="single" w:sz="8" w:space="0" w:color="FFFFFF"/>
              <w:bottom w:val="single" w:sz="8" w:space="0" w:color="FFFFFF"/>
              <w:right w:val="single" w:sz="8" w:space="0" w:color="FFFFFF"/>
            </w:tcBorders>
            <w:shd w:val="clear" w:color="000000" w:fill="008C9B"/>
            <w:vAlign w:val="center"/>
            <w:hideMark/>
          </w:tcPr>
          <w:p w14:paraId="326043A0" w14:textId="77777777" w:rsidR="00CB2AE8" w:rsidRPr="00CB2AE8" w:rsidRDefault="00CB2AE8" w:rsidP="00CB2AE8">
            <w:pPr>
              <w:spacing w:after="0"/>
              <w:rPr>
                <w:rFonts w:ascii="Calibri" w:eastAsia="Times New Roman" w:hAnsi="Calibri"/>
                <w:color w:val="FFFFFF"/>
                <w:sz w:val="20"/>
                <w:lang w:eastAsia="en-GB"/>
              </w:rPr>
            </w:pPr>
            <w:r w:rsidRPr="00CB2AE8">
              <w:rPr>
                <w:rFonts w:ascii="Calibri" w:eastAsia="Times New Roman" w:hAnsi="Calibri"/>
                <w:color w:val="FFFFFF"/>
                <w:sz w:val="20"/>
                <w:lang w:eastAsia="en-GB"/>
              </w:rPr>
              <w:t>Maritime Business Services</w:t>
            </w:r>
          </w:p>
        </w:tc>
        <w:tc>
          <w:tcPr>
            <w:tcW w:w="1390" w:type="dxa"/>
            <w:tcBorders>
              <w:top w:val="nil"/>
              <w:left w:val="nil"/>
              <w:bottom w:val="single" w:sz="8" w:space="0" w:color="FFFFFF"/>
              <w:right w:val="single" w:sz="8" w:space="0" w:color="FFFFFF"/>
            </w:tcBorders>
            <w:shd w:val="clear" w:color="000000" w:fill="E7EEEF"/>
            <w:vAlign w:val="center"/>
            <w:hideMark/>
          </w:tcPr>
          <w:p w14:paraId="320F3229"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482</w:t>
            </w:r>
          </w:p>
        </w:tc>
        <w:tc>
          <w:tcPr>
            <w:tcW w:w="1437" w:type="dxa"/>
            <w:tcBorders>
              <w:top w:val="nil"/>
              <w:left w:val="nil"/>
              <w:bottom w:val="single" w:sz="8" w:space="0" w:color="FFFFFF"/>
              <w:right w:val="single" w:sz="8" w:space="0" w:color="FFFFFF"/>
            </w:tcBorders>
            <w:shd w:val="clear" w:color="000000" w:fill="E7EEEF"/>
            <w:vAlign w:val="center"/>
            <w:hideMark/>
          </w:tcPr>
          <w:p w14:paraId="0C040AFE"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884</w:t>
            </w:r>
          </w:p>
        </w:tc>
        <w:tc>
          <w:tcPr>
            <w:tcW w:w="1437" w:type="dxa"/>
            <w:tcBorders>
              <w:top w:val="nil"/>
              <w:left w:val="nil"/>
              <w:bottom w:val="single" w:sz="8" w:space="0" w:color="FFFFFF"/>
              <w:right w:val="single" w:sz="8" w:space="0" w:color="FFFFFF"/>
            </w:tcBorders>
            <w:shd w:val="clear" w:color="000000" w:fill="E7EEEF"/>
            <w:vAlign w:val="center"/>
            <w:hideMark/>
          </w:tcPr>
          <w:p w14:paraId="12265950"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393</w:t>
            </w:r>
          </w:p>
        </w:tc>
        <w:tc>
          <w:tcPr>
            <w:tcW w:w="1437" w:type="dxa"/>
            <w:tcBorders>
              <w:top w:val="nil"/>
              <w:left w:val="nil"/>
              <w:bottom w:val="single" w:sz="8" w:space="0" w:color="FFFFFF"/>
              <w:right w:val="single" w:sz="8" w:space="0" w:color="FFFFFF"/>
            </w:tcBorders>
            <w:shd w:val="clear" w:color="000000" w:fill="E7EEEF"/>
            <w:vAlign w:val="center"/>
            <w:hideMark/>
          </w:tcPr>
          <w:p w14:paraId="643D1DE3" w14:textId="77777777" w:rsidR="00CB2AE8" w:rsidRPr="00CB2AE8" w:rsidRDefault="00CB2AE8" w:rsidP="00CB2AE8">
            <w:pPr>
              <w:spacing w:after="0"/>
              <w:jc w:val="center"/>
              <w:rPr>
                <w:rFonts w:ascii="Calibri" w:eastAsia="Times New Roman" w:hAnsi="Calibri"/>
                <w:color w:val="000000"/>
                <w:sz w:val="20"/>
                <w:lang w:eastAsia="en-GB"/>
              </w:rPr>
            </w:pPr>
            <w:r w:rsidRPr="00CB2AE8">
              <w:rPr>
                <w:rFonts w:ascii="Calibri" w:eastAsia="Times New Roman" w:hAnsi="Calibri"/>
                <w:color w:val="000000"/>
                <w:sz w:val="20"/>
                <w:lang w:eastAsia="en-GB"/>
              </w:rPr>
              <w:t>1,759</w:t>
            </w:r>
          </w:p>
        </w:tc>
      </w:tr>
    </w:tbl>
    <w:p w14:paraId="6B0570F3" w14:textId="77777777" w:rsidR="003F6121" w:rsidRPr="00B86153" w:rsidRDefault="003F6121" w:rsidP="003F6121">
      <w:pPr>
        <w:spacing w:before="60" w:after="120"/>
        <w:jc w:val="right"/>
        <w:rPr>
          <w:i/>
        </w:rPr>
      </w:pPr>
      <w:r w:rsidRPr="00095712">
        <w:rPr>
          <w:rStyle w:val="SubtleEmphasis"/>
          <w:sz w:val="18"/>
        </w:rPr>
        <w:t>Source: ONS, FAME, Cebr analysis</w:t>
      </w:r>
    </w:p>
    <w:p w14:paraId="6F356D57" w14:textId="6327CE16" w:rsidR="00FB57A0" w:rsidRDefault="000D4724" w:rsidP="00037501">
      <w:pPr>
        <w:spacing w:after="120"/>
      </w:pPr>
      <w:r>
        <w:fldChar w:fldCharType="begin"/>
      </w:r>
      <w:r>
        <w:instrText xml:space="preserve"> REF _Ref16685700 \h </w:instrText>
      </w:r>
      <w:r>
        <w:fldChar w:fldCharType="separate"/>
      </w:r>
      <w:r>
        <w:t xml:space="preserve">Table </w:t>
      </w:r>
      <w:r>
        <w:rPr>
          <w:noProof/>
        </w:rPr>
        <w:t>15</w:t>
      </w:r>
      <w:r>
        <w:fldChar w:fldCharType="end"/>
      </w:r>
      <w:r>
        <w:t xml:space="preserve"> </w:t>
      </w:r>
      <w:r w:rsidR="00222C22">
        <w:t xml:space="preserve">shows </w:t>
      </w:r>
      <w:r w:rsidR="009F456B">
        <w:t xml:space="preserve">how </w:t>
      </w:r>
      <w:r w:rsidR="00222C22">
        <w:t xml:space="preserve">the </w:t>
      </w:r>
      <w:r w:rsidR="00CC6B0B">
        <w:t>aggregate employment</w:t>
      </w:r>
      <w:r w:rsidR="00222C22">
        <w:t xml:space="preserve"> impact </w:t>
      </w:r>
      <w:r w:rsidR="009C51F5">
        <w:t xml:space="preserve">of the </w:t>
      </w:r>
      <w:r w:rsidR="00E17DD6">
        <w:t>Maritime S</w:t>
      </w:r>
      <w:r w:rsidR="00C2680F">
        <w:t>ector in Scotland</w:t>
      </w:r>
      <w:r w:rsidR="009C51F5">
        <w:t xml:space="preserve"> </w:t>
      </w:r>
      <w:r w:rsidR="00222C22">
        <w:t>is esti</w:t>
      </w:r>
      <w:r w:rsidR="00E17DD6">
        <w:t>mated to have evolved since 2017</w:t>
      </w:r>
      <w:r w:rsidR="00222C22">
        <w:t xml:space="preserve">. </w:t>
      </w:r>
      <w:r w:rsidR="00E17DD6">
        <w:t>The composite multiplier in 2017 was 3.79 compared to 3.42 in 2010. Additionally, t</w:t>
      </w:r>
      <w:r w:rsidR="00C2680F">
        <w:t xml:space="preserve">he </w:t>
      </w:r>
      <w:r w:rsidR="00CC6B0B">
        <w:t>aggregate employment</w:t>
      </w:r>
      <w:r w:rsidR="00C2680F">
        <w:t xml:space="preserve"> impact</w:t>
      </w:r>
      <w:r w:rsidR="00E17DD6">
        <w:t xml:space="preserve"> in 2017, 155,3</w:t>
      </w:r>
      <w:r w:rsidR="009F456B">
        <w:t>00</w:t>
      </w:r>
      <w:r w:rsidR="00A02775">
        <w:t xml:space="preserve"> jobs,</w:t>
      </w:r>
      <w:r w:rsidR="00C2680F">
        <w:t xml:space="preserve"> stood higher than the 2010 level of </w:t>
      </w:r>
      <w:r w:rsidR="00E17DD6">
        <w:t>129,5</w:t>
      </w:r>
      <w:r w:rsidR="00A02775">
        <w:t xml:space="preserve">00 </w:t>
      </w:r>
      <w:r w:rsidR="00C2680F">
        <w:t>jobs.</w:t>
      </w:r>
    </w:p>
    <w:p w14:paraId="184F6808" w14:textId="77777777" w:rsidR="00BE5875" w:rsidRDefault="00BE5875" w:rsidP="00037501">
      <w:pPr>
        <w:spacing w:after="120"/>
      </w:pPr>
    </w:p>
    <w:p w14:paraId="3956C995" w14:textId="77777777" w:rsidR="00BE5875" w:rsidRDefault="00BE5875" w:rsidP="00037501">
      <w:pPr>
        <w:spacing w:after="120"/>
        <w:rPr>
          <w:i/>
          <w:iCs/>
          <w:color w:val="008C9B" w:themeColor="text2"/>
          <w:sz w:val="18"/>
          <w:szCs w:val="18"/>
        </w:rPr>
      </w:pPr>
    </w:p>
    <w:p w14:paraId="38C879A7" w14:textId="22FFCCD3" w:rsidR="00952067" w:rsidRDefault="000D4724" w:rsidP="000D4724">
      <w:pPr>
        <w:pStyle w:val="Caption"/>
      </w:pPr>
      <w:bookmarkStart w:id="102" w:name="_Ref16685700"/>
      <w:r>
        <w:lastRenderedPageBreak/>
        <w:t xml:space="preserve">Table </w:t>
      </w:r>
      <w:r w:rsidR="00BF1DE1">
        <w:rPr>
          <w:noProof/>
        </w:rPr>
        <w:fldChar w:fldCharType="begin"/>
      </w:r>
      <w:r w:rsidR="00BF1DE1">
        <w:rPr>
          <w:noProof/>
        </w:rPr>
        <w:instrText xml:space="preserve"> SEQ Table \* ARABIC </w:instrText>
      </w:r>
      <w:r w:rsidR="00BF1DE1">
        <w:rPr>
          <w:noProof/>
        </w:rPr>
        <w:fldChar w:fldCharType="separate"/>
      </w:r>
      <w:r w:rsidR="003A4955">
        <w:rPr>
          <w:noProof/>
        </w:rPr>
        <w:t>15</w:t>
      </w:r>
      <w:r w:rsidR="00BF1DE1">
        <w:rPr>
          <w:noProof/>
        </w:rPr>
        <w:fldChar w:fldCharType="end"/>
      </w:r>
      <w:bookmarkEnd w:id="102"/>
      <w:r w:rsidR="00952067">
        <w:t xml:space="preserve">: </w:t>
      </w:r>
      <w:r w:rsidR="00AD0A38">
        <w:t xml:space="preserve">Direct and </w:t>
      </w:r>
      <w:r w:rsidR="00CC6B0B">
        <w:t>Aggregate employment</w:t>
      </w:r>
      <w:r w:rsidR="00AD0A38">
        <w:t xml:space="preserve"> </w:t>
      </w:r>
      <w:r w:rsidR="00AD0A38" w:rsidRPr="00380889">
        <w:t xml:space="preserve">impact of the Maritime </w:t>
      </w:r>
      <w:r w:rsidR="00650683">
        <w:t>S</w:t>
      </w:r>
      <w:r w:rsidR="00E17DD6">
        <w:t>ector in Scotland, 2010 to 2017</w:t>
      </w:r>
      <w:r w:rsidR="00BE15C8">
        <w:t>, thousands of jobs</w:t>
      </w:r>
    </w:p>
    <w:tbl>
      <w:tblPr>
        <w:tblW w:w="9484" w:type="dxa"/>
        <w:tblLook w:val="04A0" w:firstRow="1" w:lastRow="0" w:firstColumn="1" w:lastColumn="0" w:noHBand="0" w:noVBand="1"/>
      </w:tblPr>
      <w:tblGrid>
        <w:gridCol w:w="867"/>
        <w:gridCol w:w="2626"/>
        <w:gridCol w:w="3162"/>
        <w:gridCol w:w="2829"/>
      </w:tblGrid>
      <w:tr w:rsidR="00BE5875" w:rsidRPr="00BE5875" w14:paraId="615E8A2B" w14:textId="77777777" w:rsidTr="00BE5875">
        <w:trPr>
          <w:trHeight w:val="481"/>
        </w:trPr>
        <w:tc>
          <w:tcPr>
            <w:tcW w:w="867" w:type="dxa"/>
            <w:tcBorders>
              <w:top w:val="nil"/>
              <w:left w:val="single" w:sz="8" w:space="0" w:color="FFFFFF"/>
              <w:bottom w:val="single" w:sz="8" w:space="0" w:color="FFFFFF"/>
              <w:right w:val="single" w:sz="8" w:space="0" w:color="FFFFFF"/>
            </w:tcBorders>
            <w:shd w:val="clear" w:color="000000" w:fill="008C9B"/>
            <w:vAlign w:val="center"/>
            <w:hideMark/>
          </w:tcPr>
          <w:p w14:paraId="79984D56" w14:textId="77777777" w:rsidR="00BE5875" w:rsidRPr="00BE5875" w:rsidRDefault="00BE5875" w:rsidP="00BE5875">
            <w:pPr>
              <w:spacing w:after="0"/>
              <w:rPr>
                <w:rFonts w:ascii="Calibri" w:eastAsia="Times New Roman" w:hAnsi="Calibri"/>
                <w:color w:val="FFFFFF"/>
                <w:sz w:val="20"/>
                <w:lang w:eastAsia="en-GB"/>
              </w:rPr>
            </w:pPr>
            <w:r w:rsidRPr="00BE5875">
              <w:rPr>
                <w:rFonts w:ascii="Calibri" w:eastAsia="Times New Roman" w:hAnsi="Calibri"/>
                <w:color w:val="FFFFFF"/>
                <w:sz w:val="20"/>
                <w:lang w:eastAsia="en-GB"/>
              </w:rPr>
              <w:t>Year</w:t>
            </w:r>
          </w:p>
        </w:tc>
        <w:tc>
          <w:tcPr>
            <w:tcW w:w="2626" w:type="dxa"/>
            <w:tcBorders>
              <w:top w:val="single" w:sz="8" w:space="0" w:color="FFFFFF"/>
              <w:left w:val="nil"/>
              <w:bottom w:val="single" w:sz="12" w:space="0" w:color="FFFFFF"/>
              <w:right w:val="single" w:sz="8" w:space="0" w:color="FFFFFF"/>
            </w:tcBorders>
            <w:shd w:val="clear" w:color="000000" w:fill="008C9B"/>
            <w:vAlign w:val="center"/>
            <w:hideMark/>
          </w:tcPr>
          <w:p w14:paraId="62DBD300" w14:textId="77777777" w:rsidR="00BE5875" w:rsidRPr="00BE5875" w:rsidRDefault="00BE5875" w:rsidP="00BE5875">
            <w:pPr>
              <w:spacing w:after="0"/>
              <w:jc w:val="center"/>
              <w:rPr>
                <w:rFonts w:ascii="Calibri" w:eastAsia="Times New Roman" w:hAnsi="Calibri"/>
                <w:b/>
                <w:bCs/>
                <w:color w:val="FFFFFF"/>
                <w:sz w:val="20"/>
                <w:lang w:eastAsia="en-GB"/>
              </w:rPr>
            </w:pPr>
            <w:r w:rsidRPr="00BE5875">
              <w:rPr>
                <w:rFonts w:ascii="Calibri" w:eastAsia="Times New Roman" w:hAnsi="Calibri"/>
                <w:b/>
                <w:bCs/>
                <w:color w:val="FFFFFF"/>
                <w:sz w:val="20"/>
                <w:lang w:eastAsia="en-GB"/>
              </w:rPr>
              <w:t>Direct Impact</w:t>
            </w:r>
          </w:p>
        </w:tc>
        <w:tc>
          <w:tcPr>
            <w:tcW w:w="3162" w:type="dxa"/>
            <w:tcBorders>
              <w:top w:val="single" w:sz="8" w:space="0" w:color="FFFFFF"/>
              <w:left w:val="nil"/>
              <w:bottom w:val="single" w:sz="12" w:space="0" w:color="FFFFFF"/>
              <w:right w:val="single" w:sz="8" w:space="0" w:color="FFFFFF"/>
            </w:tcBorders>
            <w:shd w:val="clear" w:color="000000" w:fill="008C9B"/>
            <w:vAlign w:val="center"/>
            <w:hideMark/>
          </w:tcPr>
          <w:p w14:paraId="263AA375" w14:textId="77777777" w:rsidR="00BE5875" w:rsidRPr="00BE5875" w:rsidRDefault="00BE5875" w:rsidP="00BE5875">
            <w:pPr>
              <w:spacing w:after="0"/>
              <w:jc w:val="center"/>
              <w:rPr>
                <w:rFonts w:ascii="Calibri" w:eastAsia="Times New Roman" w:hAnsi="Calibri"/>
                <w:b/>
                <w:bCs/>
                <w:color w:val="FFFFFF"/>
                <w:sz w:val="20"/>
                <w:lang w:eastAsia="en-GB"/>
              </w:rPr>
            </w:pPr>
            <w:r w:rsidRPr="00BE5875">
              <w:rPr>
                <w:rFonts w:ascii="Calibri" w:eastAsia="Times New Roman" w:hAnsi="Calibri"/>
                <w:b/>
                <w:bCs/>
                <w:color w:val="FFFFFF"/>
                <w:sz w:val="20"/>
                <w:lang w:eastAsia="en-GB"/>
              </w:rPr>
              <w:t>Composite Employment multiplier</w:t>
            </w:r>
          </w:p>
        </w:tc>
        <w:tc>
          <w:tcPr>
            <w:tcW w:w="2829" w:type="dxa"/>
            <w:tcBorders>
              <w:top w:val="single" w:sz="8" w:space="0" w:color="FFFFFF"/>
              <w:left w:val="nil"/>
              <w:bottom w:val="single" w:sz="12" w:space="0" w:color="FFFFFF"/>
              <w:right w:val="single" w:sz="8" w:space="0" w:color="FFFFFF"/>
            </w:tcBorders>
            <w:shd w:val="clear" w:color="000000" w:fill="008C9B"/>
            <w:vAlign w:val="center"/>
            <w:hideMark/>
          </w:tcPr>
          <w:p w14:paraId="329D8E08" w14:textId="77777777" w:rsidR="00BE5875" w:rsidRPr="00BE5875" w:rsidRDefault="00BE5875" w:rsidP="00BE5875">
            <w:pPr>
              <w:spacing w:after="0"/>
              <w:jc w:val="center"/>
              <w:rPr>
                <w:rFonts w:ascii="Calibri" w:eastAsia="Times New Roman" w:hAnsi="Calibri"/>
                <w:b/>
                <w:bCs/>
                <w:color w:val="FFFFFF"/>
                <w:sz w:val="20"/>
                <w:lang w:eastAsia="en-GB"/>
              </w:rPr>
            </w:pPr>
            <w:r w:rsidRPr="00BE5875">
              <w:rPr>
                <w:rFonts w:ascii="Calibri" w:eastAsia="Times New Roman" w:hAnsi="Calibri"/>
                <w:b/>
                <w:bCs/>
                <w:color w:val="FFFFFF"/>
                <w:sz w:val="20"/>
                <w:lang w:eastAsia="en-GB"/>
              </w:rPr>
              <w:t>Aggregate impact</w:t>
            </w:r>
          </w:p>
        </w:tc>
      </w:tr>
      <w:tr w:rsidR="00BE5875" w:rsidRPr="00BE5875" w14:paraId="5EBB46D4" w14:textId="77777777" w:rsidTr="00BE5875">
        <w:trPr>
          <w:trHeight w:val="302"/>
        </w:trPr>
        <w:tc>
          <w:tcPr>
            <w:tcW w:w="867" w:type="dxa"/>
            <w:tcBorders>
              <w:top w:val="nil"/>
              <w:left w:val="single" w:sz="8" w:space="0" w:color="FFFFFF"/>
              <w:bottom w:val="single" w:sz="8" w:space="0" w:color="FFFFFF"/>
              <w:right w:val="single" w:sz="8" w:space="0" w:color="FFFFFF"/>
            </w:tcBorders>
            <w:shd w:val="clear" w:color="000000" w:fill="008C9B"/>
            <w:vAlign w:val="center"/>
            <w:hideMark/>
          </w:tcPr>
          <w:p w14:paraId="02E7757B" w14:textId="77777777" w:rsidR="00BE5875" w:rsidRPr="00BE5875" w:rsidRDefault="00BE5875" w:rsidP="00BE5875">
            <w:pPr>
              <w:spacing w:after="0"/>
              <w:rPr>
                <w:rFonts w:ascii="Calibri" w:eastAsia="Times New Roman" w:hAnsi="Calibri"/>
                <w:color w:val="FFFFFF"/>
                <w:sz w:val="20"/>
                <w:lang w:eastAsia="en-GB"/>
              </w:rPr>
            </w:pPr>
            <w:r w:rsidRPr="00BE5875">
              <w:rPr>
                <w:rFonts w:ascii="Calibri" w:eastAsia="Times New Roman" w:hAnsi="Calibri"/>
                <w:color w:val="FFFFFF"/>
                <w:sz w:val="20"/>
                <w:lang w:eastAsia="en-GB"/>
              </w:rPr>
              <w:t>2010</w:t>
            </w:r>
          </w:p>
        </w:tc>
        <w:tc>
          <w:tcPr>
            <w:tcW w:w="2626" w:type="dxa"/>
            <w:tcBorders>
              <w:top w:val="nil"/>
              <w:left w:val="nil"/>
              <w:bottom w:val="single" w:sz="8" w:space="0" w:color="FFFFFF"/>
              <w:right w:val="single" w:sz="8" w:space="0" w:color="FFFFFF"/>
            </w:tcBorders>
            <w:shd w:val="clear" w:color="000000" w:fill="E7EEEF"/>
            <w:vAlign w:val="center"/>
            <w:hideMark/>
          </w:tcPr>
          <w:p w14:paraId="0492ABB5"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37,881</w:t>
            </w:r>
          </w:p>
        </w:tc>
        <w:tc>
          <w:tcPr>
            <w:tcW w:w="3162" w:type="dxa"/>
            <w:tcBorders>
              <w:top w:val="nil"/>
              <w:left w:val="nil"/>
              <w:bottom w:val="single" w:sz="8" w:space="0" w:color="FFFFFF"/>
              <w:right w:val="single" w:sz="8" w:space="0" w:color="FFFFFF"/>
            </w:tcBorders>
            <w:shd w:val="clear" w:color="000000" w:fill="E7EEEF"/>
            <w:vAlign w:val="center"/>
            <w:hideMark/>
          </w:tcPr>
          <w:p w14:paraId="09D1DED4"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3.42</w:t>
            </w:r>
          </w:p>
        </w:tc>
        <w:tc>
          <w:tcPr>
            <w:tcW w:w="2829" w:type="dxa"/>
            <w:tcBorders>
              <w:top w:val="nil"/>
              <w:left w:val="nil"/>
              <w:bottom w:val="single" w:sz="8" w:space="0" w:color="FFFFFF"/>
              <w:right w:val="single" w:sz="8" w:space="0" w:color="FFFFFF"/>
            </w:tcBorders>
            <w:shd w:val="clear" w:color="000000" w:fill="E7EEEF"/>
            <w:vAlign w:val="center"/>
            <w:hideMark/>
          </w:tcPr>
          <w:p w14:paraId="535E2B98"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129,507</w:t>
            </w:r>
          </w:p>
        </w:tc>
      </w:tr>
      <w:tr w:rsidR="00BE5875" w:rsidRPr="00BE5875" w14:paraId="3CE4205A" w14:textId="77777777" w:rsidTr="00BE5875">
        <w:trPr>
          <w:trHeight w:val="288"/>
        </w:trPr>
        <w:tc>
          <w:tcPr>
            <w:tcW w:w="867" w:type="dxa"/>
            <w:tcBorders>
              <w:top w:val="nil"/>
              <w:left w:val="single" w:sz="8" w:space="0" w:color="FFFFFF"/>
              <w:bottom w:val="single" w:sz="8" w:space="0" w:color="FFFFFF"/>
              <w:right w:val="single" w:sz="8" w:space="0" w:color="FFFFFF"/>
            </w:tcBorders>
            <w:shd w:val="clear" w:color="000000" w:fill="008C9B"/>
            <w:vAlign w:val="center"/>
            <w:hideMark/>
          </w:tcPr>
          <w:p w14:paraId="51991971" w14:textId="77777777" w:rsidR="00BE5875" w:rsidRPr="00BE5875" w:rsidRDefault="00BE5875" w:rsidP="00BE5875">
            <w:pPr>
              <w:spacing w:after="0"/>
              <w:rPr>
                <w:rFonts w:ascii="Calibri" w:eastAsia="Times New Roman" w:hAnsi="Calibri"/>
                <w:color w:val="FFFFFF"/>
                <w:sz w:val="20"/>
                <w:lang w:eastAsia="en-GB"/>
              </w:rPr>
            </w:pPr>
            <w:r w:rsidRPr="00BE5875">
              <w:rPr>
                <w:rFonts w:ascii="Calibri" w:eastAsia="Times New Roman" w:hAnsi="Calibri"/>
                <w:color w:val="FFFFFF"/>
                <w:sz w:val="20"/>
                <w:lang w:eastAsia="en-GB"/>
              </w:rPr>
              <w:t>2011</w:t>
            </w:r>
          </w:p>
        </w:tc>
        <w:tc>
          <w:tcPr>
            <w:tcW w:w="2626" w:type="dxa"/>
            <w:tcBorders>
              <w:top w:val="nil"/>
              <w:left w:val="nil"/>
              <w:bottom w:val="single" w:sz="8" w:space="0" w:color="FFFFFF"/>
              <w:right w:val="single" w:sz="8" w:space="0" w:color="FFFFFF"/>
            </w:tcBorders>
            <w:shd w:val="clear" w:color="000000" w:fill="D0CECE"/>
            <w:vAlign w:val="center"/>
            <w:hideMark/>
          </w:tcPr>
          <w:p w14:paraId="7971E980"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38,220</w:t>
            </w:r>
          </w:p>
        </w:tc>
        <w:tc>
          <w:tcPr>
            <w:tcW w:w="3162" w:type="dxa"/>
            <w:tcBorders>
              <w:top w:val="nil"/>
              <w:left w:val="nil"/>
              <w:bottom w:val="single" w:sz="8" w:space="0" w:color="FFFFFF"/>
              <w:right w:val="single" w:sz="8" w:space="0" w:color="FFFFFF"/>
            </w:tcBorders>
            <w:shd w:val="clear" w:color="000000" w:fill="D0CECE"/>
            <w:vAlign w:val="center"/>
            <w:hideMark/>
          </w:tcPr>
          <w:p w14:paraId="2217D175"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3.62</w:t>
            </w:r>
          </w:p>
        </w:tc>
        <w:tc>
          <w:tcPr>
            <w:tcW w:w="2829" w:type="dxa"/>
            <w:tcBorders>
              <w:top w:val="nil"/>
              <w:left w:val="nil"/>
              <w:bottom w:val="single" w:sz="8" w:space="0" w:color="FFFFFF"/>
              <w:right w:val="single" w:sz="8" w:space="0" w:color="FFFFFF"/>
            </w:tcBorders>
            <w:shd w:val="clear" w:color="000000" w:fill="D0CECE"/>
            <w:vAlign w:val="center"/>
            <w:hideMark/>
          </w:tcPr>
          <w:p w14:paraId="06CB3605"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138,518</w:t>
            </w:r>
          </w:p>
        </w:tc>
      </w:tr>
      <w:tr w:rsidR="00BE5875" w:rsidRPr="00BE5875" w14:paraId="5D7A7381" w14:textId="77777777" w:rsidTr="00BE5875">
        <w:trPr>
          <w:trHeight w:val="288"/>
        </w:trPr>
        <w:tc>
          <w:tcPr>
            <w:tcW w:w="867" w:type="dxa"/>
            <w:tcBorders>
              <w:top w:val="nil"/>
              <w:left w:val="single" w:sz="8" w:space="0" w:color="FFFFFF"/>
              <w:bottom w:val="single" w:sz="8" w:space="0" w:color="FFFFFF"/>
              <w:right w:val="single" w:sz="8" w:space="0" w:color="FFFFFF"/>
            </w:tcBorders>
            <w:shd w:val="clear" w:color="000000" w:fill="008C9B"/>
            <w:vAlign w:val="center"/>
            <w:hideMark/>
          </w:tcPr>
          <w:p w14:paraId="16BA01ED" w14:textId="77777777" w:rsidR="00BE5875" w:rsidRPr="00BE5875" w:rsidRDefault="00BE5875" w:rsidP="00BE5875">
            <w:pPr>
              <w:spacing w:after="0"/>
              <w:rPr>
                <w:rFonts w:ascii="Calibri" w:eastAsia="Times New Roman" w:hAnsi="Calibri"/>
                <w:color w:val="FFFFFF"/>
                <w:sz w:val="20"/>
                <w:lang w:eastAsia="en-GB"/>
              </w:rPr>
            </w:pPr>
            <w:r w:rsidRPr="00BE5875">
              <w:rPr>
                <w:rFonts w:ascii="Calibri" w:eastAsia="Times New Roman" w:hAnsi="Calibri"/>
                <w:color w:val="FFFFFF"/>
                <w:sz w:val="20"/>
                <w:lang w:eastAsia="en-GB"/>
              </w:rPr>
              <w:t>2012</w:t>
            </w:r>
          </w:p>
        </w:tc>
        <w:tc>
          <w:tcPr>
            <w:tcW w:w="2626" w:type="dxa"/>
            <w:tcBorders>
              <w:top w:val="nil"/>
              <w:left w:val="nil"/>
              <w:bottom w:val="single" w:sz="8" w:space="0" w:color="FFFFFF"/>
              <w:right w:val="single" w:sz="8" w:space="0" w:color="FFFFFF"/>
            </w:tcBorders>
            <w:shd w:val="clear" w:color="000000" w:fill="E7EEEF"/>
            <w:vAlign w:val="center"/>
            <w:hideMark/>
          </w:tcPr>
          <w:p w14:paraId="78E8A3C8"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39,774</w:t>
            </w:r>
          </w:p>
        </w:tc>
        <w:tc>
          <w:tcPr>
            <w:tcW w:w="3162" w:type="dxa"/>
            <w:tcBorders>
              <w:top w:val="nil"/>
              <w:left w:val="nil"/>
              <w:bottom w:val="single" w:sz="8" w:space="0" w:color="FFFFFF"/>
              <w:right w:val="single" w:sz="8" w:space="0" w:color="FFFFFF"/>
            </w:tcBorders>
            <w:shd w:val="clear" w:color="000000" w:fill="E7EEEF"/>
            <w:vAlign w:val="center"/>
            <w:hideMark/>
          </w:tcPr>
          <w:p w14:paraId="0FE022D3"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3.69</w:t>
            </w:r>
          </w:p>
        </w:tc>
        <w:tc>
          <w:tcPr>
            <w:tcW w:w="2829" w:type="dxa"/>
            <w:tcBorders>
              <w:top w:val="nil"/>
              <w:left w:val="nil"/>
              <w:bottom w:val="single" w:sz="8" w:space="0" w:color="FFFFFF"/>
              <w:right w:val="single" w:sz="8" w:space="0" w:color="FFFFFF"/>
            </w:tcBorders>
            <w:shd w:val="clear" w:color="000000" w:fill="E7EEEF"/>
            <w:vAlign w:val="center"/>
            <w:hideMark/>
          </w:tcPr>
          <w:p w14:paraId="24A4B32C"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146,946</w:t>
            </w:r>
          </w:p>
        </w:tc>
      </w:tr>
      <w:tr w:rsidR="00BE5875" w:rsidRPr="00BE5875" w14:paraId="768635FC" w14:textId="77777777" w:rsidTr="00BE5875">
        <w:trPr>
          <w:trHeight w:val="288"/>
        </w:trPr>
        <w:tc>
          <w:tcPr>
            <w:tcW w:w="867" w:type="dxa"/>
            <w:tcBorders>
              <w:top w:val="nil"/>
              <w:left w:val="single" w:sz="8" w:space="0" w:color="FFFFFF"/>
              <w:bottom w:val="single" w:sz="8" w:space="0" w:color="FFFFFF"/>
              <w:right w:val="single" w:sz="8" w:space="0" w:color="FFFFFF"/>
            </w:tcBorders>
            <w:shd w:val="clear" w:color="000000" w:fill="008C9B"/>
            <w:vAlign w:val="center"/>
            <w:hideMark/>
          </w:tcPr>
          <w:p w14:paraId="3DADF182" w14:textId="77777777" w:rsidR="00BE5875" w:rsidRPr="00BE5875" w:rsidRDefault="00BE5875" w:rsidP="00BE5875">
            <w:pPr>
              <w:spacing w:after="0"/>
              <w:rPr>
                <w:rFonts w:ascii="Calibri" w:eastAsia="Times New Roman" w:hAnsi="Calibri"/>
                <w:color w:val="FFFFFF"/>
                <w:sz w:val="20"/>
                <w:lang w:eastAsia="en-GB"/>
              </w:rPr>
            </w:pPr>
            <w:r w:rsidRPr="00BE5875">
              <w:rPr>
                <w:rFonts w:ascii="Calibri" w:eastAsia="Times New Roman" w:hAnsi="Calibri"/>
                <w:color w:val="FFFFFF"/>
                <w:sz w:val="20"/>
                <w:lang w:eastAsia="en-GB"/>
              </w:rPr>
              <w:t>2013</w:t>
            </w:r>
          </w:p>
        </w:tc>
        <w:tc>
          <w:tcPr>
            <w:tcW w:w="2626" w:type="dxa"/>
            <w:tcBorders>
              <w:top w:val="nil"/>
              <w:left w:val="nil"/>
              <w:bottom w:val="single" w:sz="8" w:space="0" w:color="FFFFFF"/>
              <w:right w:val="single" w:sz="8" w:space="0" w:color="FFFFFF"/>
            </w:tcBorders>
            <w:shd w:val="clear" w:color="000000" w:fill="D0CECE"/>
            <w:vAlign w:val="center"/>
            <w:hideMark/>
          </w:tcPr>
          <w:p w14:paraId="5516D34E"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39,130</w:t>
            </w:r>
          </w:p>
        </w:tc>
        <w:tc>
          <w:tcPr>
            <w:tcW w:w="3162" w:type="dxa"/>
            <w:tcBorders>
              <w:top w:val="nil"/>
              <w:left w:val="nil"/>
              <w:bottom w:val="single" w:sz="8" w:space="0" w:color="FFFFFF"/>
              <w:right w:val="single" w:sz="8" w:space="0" w:color="FFFFFF"/>
            </w:tcBorders>
            <w:shd w:val="clear" w:color="000000" w:fill="D0CECE"/>
            <w:vAlign w:val="center"/>
            <w:hideMark/>
          </w:tcPr>
          <w:p w14:paraId="67B53153"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3.62</w:t>
            </w:r>
          </w:p>
        </w:tc>
        <w:tc>
          <w:tcPr>
            <w:tcW w:w="2829" w:type="dxa"/>
            <w:tcBorders>
              <w:top w:val="nil"/>
              <w:left w:val="nil"/>
              <w:bottom w:val="single" w:sz="8" w:space="0" w:color="FFFFFF"/>
              <w:right w:val="single" w:sz="8" w:space="0" w:color="FFFFFF"/>
            </w:tcBorders>
            <w:shd w:val="clear" w:color="000000" w:fill="D0CECE"/>
            <w:vAlign w:val="center"/>
            <w:hideMark/>
          </w:tcPr>
          <w:p w14:paraId="2D321CC3"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141,568</w:t>
            </w:r>
          </w:p>
        </w:tc>
      </w:tr>
      <w:tr w:rsidR="00BE5875" w:rsidRPr="00BE5875" w14:paraId="2E32135A" w14:textId="77777777" w:rsidTr="00BE5875">
        <w:trPr>
          <w:trHeight w:val="288"/>
        </w:trPr>
        <w:tc>
          <w:tcPr>
            <w:tcW w:w="867" w:type="dxa"/>
            <w:tcBorders>
              <w:top w:val="nil"/>
              <w:left w:val="single" w:sz="8" w:space="0" w:color="FFFFFF"/>
              <w:bottom w:val="single" w:sz="8" w:space="0" w:color="FFFFFF"/>
              <w:right w:val="single" w:sz="8" w:space="0" w:color="FFFFFF"/>
            </w:tcBorders>
            <w:shd w:val="clear" w:color="000000" w:fill="008C9B"/>
            <w:vAlign w:val="center"/>
            <w:hideMark/>
          </w:tcPr>
          <w:p w14:paraId="15D1F9E3" w14:textId="77777777" w:rsidR="00BE5875" w:rsidRPr="00BE5875" w:rsidRDefault="00BE5875" w:rsidP="00BE5875">
            <w:pPr>
              <w:spacing w:after="0"/>
              <w:rPr>
                <w:rFonts w:ascii="Calibri" w:eastAsia="Times New Roman" w:hAnsi="Calibri"/>
                <w:color w:val="FFFFFF"/>
                <w:sz w:val="20"/>
                <w:lang w:eastAsia="en-GB"/>
              </w:rPr>
            </w:pPr>
            <w:r w:rsidRPr="00BE5875">
              <w:rPr>
                <w:rFonts w:ascii="Calibri" w:eastAsia="Times New Roman" w:hAnsi="Calibri"/>
                <w:color w:val="FFFFFF"/>
                <w:sz w:val="20"/>
                <w:lang w:eastAsia="en-GB"/>
              </w:rPr>
              <w:t>2014</w:t>
            </w:r>
          </w:p>
        </w:tc>
        <w:tc>
          <w:tcPr>
            <w:tcW w:w="2626" w:type="dxa"/>
            <w:tcBorders>
              <w:top w:val="nil"/>
              <w:left w:val="nil"/>
              <w:bottom w:val="single" w:sz="8" w:space="0" w:color="FFFFFF"/>
              <w:right w:val="single" w:sz="8" w:space="0" w:color="FFFFFF"/>
            </w:tcBorders>
            <w:shd w:val="clear" w:color="000000" w:fill="E7EEEF"/>
            <w:vAlign w:val="center"/>
            <w:hideMark/>
          </w:tcPr>
          <w:p w14:paraId="336C3E53"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45,309</w:t>
            </w:r>
          </w:p>
        </w:tc>
        <w:tc>
          <w:tcPr>
            <w:tcW w:w="3162" w:type="dxa"/>
            <w:tcBorders>
              <w:top w:val="nil"/>
              <w:left w:val="nil"/>
              <w:bottom w:val="single" w:sz="8" w:space="0" w:color="FFFFFF"/>
              <w:right w:val="single" w:sz="8" w:space="0" w:color="FFFFFF"/>
            </w:tcBorders>
            <w:shd w:val="clear" w:color="000000" w:fill="E7EEEF"/>
            <w:vAlign w:val="center"/>
            <w:hideMark/>
          </w:tcPr>
          <w:p w14:paraId="5A9FCD38"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3.56</w:t>
            </w:r>
          </w:p>
        </w:tc>
        <w:tc>
          <w:tcPr>
            <w:tcW w:w="2829" w:type="dxa"/>
            <w:tcBorders>
              <w:top w:val="nil"/>
              <w:left w:val="nil"/>
              <w:bottom w:val="single" w:sz="8" w:space="0" w:color="FFFFFF"/>
              <w:right w:val="single" w:sz="8" w:space="0" w:color="FFFFFF"/>
            </w:tcBorders>
            <w:shd w:val="clear" w:color="000000" w:fill="E7EEEF"/>
            <w:vAlign w:val="center"/>
            <w:hideMark/>
          </w:tcPr>
          <w:p w14:paraId="3F90B9BB"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161,136</w:t>
            </w:r>
          </w:p>
        </w:tc>
      </w:tr>
      <w:tr w:rsidR="00BE5875" w:rsidRPr="00BE5875" w14:paraId="6DF7A116" w14:textId="77777777" w:rsidTr="00BE5875">
        <w:trPr>
          <w:trHeight w:val="288"/>
        </w:trPr>
        <w:tc>
          <w:tcPr>
            <w:tcW w:w="867" w:type="dxa"/>
            <w:tcBorders>
              <w:top w:val="nil"/>
              <w:left w:val="single" w:sz="8" w:space="0" w:color="FFFFFF"/>
              <w:bottom w:val="single" w:sz="8" w:space="0" w:color="FFFFFF"/>
              <w:right w:val="single" w:sz="8" w:space="0" w:color="FFFFFF"/>
            </w:tcBorders>
            <w:shd w:val="clear" w:color="000000" w:fill="008C9B"/>
            <w:vAlign w:val="center"/>
            <w:hideMark/>
          </w:tcPr>
          <w:p w14:paraId="521D240F" w14:textId="77777777" w:rsidR="00BE5875" w:rsidRPr="00BE5875" w:rsidRDefault="00BE5875" w:rsidP="00BE5875">
            <w:pPr>
              <w:spacing w:after="0"/>
              <w:rPr>
                <w:rFonts w:ascii="Calibri" w:eastAsia="Times New Roman" w:hAnsi="Calibri"/>
                <w:color w:val="FFFFFF"/>
                <w:sz w:val="20"/>
                <w:lang w:eastAsia="en-GB"/>
              </w:rPr>
            </w:pPr>
            <w:r w:rsidRPr="00BE5875">
              <w:rPr>
                <w:rFonts w:ascii="Calibri" w:eastAsia="Times New Roman" w:hAnsi="Calibri"/>
                <w:color w:val="FFFFFF"/>
                <w:sz w:val="20"/>
                <w:lang w:eastAsia="en-GB"/>
              </w:rPr>
              <w:t>2015</w:t>
            </w:r>
          </w:p>
        </w:tc>
        <w:tc>
          <w:tcPr>
            <w:tcW w:w="2626" w:type="dxa"/>
            <w:tcBorders>
              <w:top w:val="nil"/>
              <w:left w:val="nil"/>
              <w:bottom w:val="single" w:sz="8" w:space="0" w:color="FFFFFF"/>
              <w:right w:val="single" w:sz="8" w:space="0" w:color="FFFFFF"/>
            </w:tcBorders>
            <w:shd w:val="clear" w:color="000000" w:fill="D0CECE"/>
            <w:vAlign w:val="center"/>
            <w:hideMark/>
          </w:tcPr>
          <w:p w14:paraId="42FD2E6A"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41,463</w:t>
            </w:r>
          </w:p>
        </w:tc>
        <w:tc>
          <w:tcPr>
            <w:tcW w:w="3162" w:type="dxa"/>
            <w:tcBorders>
              <w:top w:val="nil"/>
              <w:left w:val="nil"/>
              <w:bottom w:val="single" w:sz="8" w:space="0" w:color="FFFFFF"/>
              <w:right w:val="single" w:sz="8" w:space="0" w:color="FFFFFF"/>
            </w:tcBorders>
            <w:shd w:val="clear" w:color="000000" w:fill="D0CECE"/>
            <w:vAlign w:val="center"/>
            <w:hideMark/>
          </w:tcPr>
          <w:p w14:paraId="05EA5F9E"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3.51</w:t>
            </w:r>
          </w:p>
        </w:tc>
        <w:tc>
          <w:tcPr>
            <w:tcW w:w="2829" w:type="dxa"/>
            <w:tcBorders>
              <w:top w:val="nil"/>
              <w:left w:val="nil"/>
              <w:bottom w:val="single" w:sz="8" w:space="0" w:color="FFFFFF"/>
              <w:right w:val="single" w:sz="8" w:space="0" w:color="FFFFFF"/>
            </w:tcBorders>
            <w:shd w:val="clear" w:color="000000" w:fill="D0CECE"/>
            <w:vAlign w:val="center"/>
            <w:hideMark/>
          </w:tcPr>
          <w:p w14:paraId="0B62F257"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145,718</w:t>
            </w:r>
          </w:p>
        </w:tc>
      </w:tr>
      <w:tr w:rsidR="00BE5875" w:rsidRPr="00BE5875" w14:paraId="563EC756" w14:textId="77777777" w:rsidTr="00BE5875">
        <w:trPr>
          <w:trHeight w:val="288"/>
        </w:trPr>
        <w:tc>
          <w:tcPr>
            <w:tcW w:w="867" w:type="dxa"/>
            <w:tcBorders>
              <w:top w:val="nil"/>
              <w:left w:val="single" w:sz="8" w:space="0" w:color="FFFFFF"/>
              <w:bottom w:val="single" w:sz="8" w:space="0" w:color="FFFFFF"/>
              <w:right w:val="single" w:sz="8" w:space="0" w:color="FFFFFF"/>
            </w:tcBorders>
            <w:shd w:val="clear" w:color="000000" w:fill="008C9B"/>
            <w:vAlign w:val="center"/>
            <w:hideMark/>
          </w:tcPr>
          <w:p w14:paraId="4FEBACA5" w14:textId="77777777" w:rsidR="00BE5875" w:rsidRPr="00BE5875" w:rsidRDefault="00BE5875" w:rsidP="00BE5875">
            <w:pPr>
              <w:spacing w:after="0"/>
              <w:rPr>
                <w:rFonts w:ascii="Calibri" w:eastAsia="Times New Roman" w:hAnsi="Calibri"/>
                <w:color w:val="FFFFFF"/>
                <w:sz w:val="20"/>
                <w:lang w:eastAsia="en-GB"/>
              </w:rPr>
            </w:pPr>
            <w:r w:rsidRPr="00BE5875">
              <w:rPr>
                <w:rFonts w:ascii="Calibri" w:eastAsia="Times New Roman" w:hAnsi="Calibri"/>
                <w:color w:val="FFFFFF"/>
                <w:sz w:val="20"/>
                <w:lang w:eastAsia="en-GB"/>
              </w:rPr>
              <w:t>2016</w:t>
            </w:r>
          </w:p>
        </w:tc>
        <w:tc>
          <w:tcPr>
            <w:tcW w:w="2626" w:type="dxa"/>
            <w:tcBorders>
              <w:top w:val="nil"/>
              <w:left w:val="nil"/>
              <w:bottom w:val="single" w:sz="8" w:space="0" w:color="FFFFFF"/>
              <w:right w:val="single" w:sz="8" w:space="0" w:color="FFFFFF"/>
            </w:tcBorders>
            <w:shd w:val="clear" w:color="000000" w:fill="E7EEEF"/>
            <w:vAlign w:val="center"/>
            <w:hideMark/>
          </w:tcPr>
          <w:p w14:paraId="1F4B2643"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39,855</w:t>
            </w:r>
          </w:p>
        </w:tc>
        <w:tc>
          <w:tcPr>
            <w:tcW w:w="3162" w:type="dxa"/>
            <w:tcBorders>
              <w:top w:val="nil"/>
              <w:left w:val="nil"/>
              <w:bottom w:val="single" w:sz="8" w:space="0" w:color="FFFFFF"/>
              <w:right w:val="single" w:sz="8" w:space="0" w:color="FFFFFF"/>
            </w:tcBorders>
            <w:shd w:val="clear" w:color="000000" w:fill="E7EEEF"/>
            <w:vAlign w:val="center"/>
            <w:hideMark/>
          </w:tcPr>
          <w:p w14:paraId="21079688"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3.77</w:t>
            </w:r>
          </w:p>
        </w:tc>
        <w:tc>
          <w:tcPr>
            <w:tcW w:w="2829" w:type="dxa"/>
            <w:tcBorders>
              <w:top w:val="nil"/>
              <w:left w:val="nil"/>
              <w:bottom w:val="single" w:sz="8" w:space="0" w:color="FFFFFF"/>
              <w:right w:val="single" w:sz="8" w:space="0" w:color="FFFFFF"/>
            </w:tcBorders>
            <w:shd w:val="clear" w:color="000000" w:fill="E7EEEF"/>
            <w:vAlign w:val="center"/>
            <w:hideMark/>
          </w:tcPr>
          <w:p w14:paraId="3B26B01B"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150,275</w:t>
            </w:r>
          </w:p>
        </w:tc>
      </w:tr>
      <w:tr w:rsidR="00BE5875" w:rsidRPr="00BE5875" w14:paraId="32F5BC8E" w14:textId="77777777" w:rsidTr="00BE5875">
        <w:trPr>
          <w:trHeight w:val="288"/>
        </w:trPr>
        <w:tc>
          <w:tcPr>
            <w:tcW w:w="867" w:type="dxa"/>
            <w:tcBorders>
              <w:top w:val="nil"/>
              <w:left w:val="single" w:sz="8" w:space="0" w:color="FFFFFF"/>
              <w:bottom w:val="single" w:sz="8" w:space="0" w:color="FFFFFF"/>
              <w:right w:val="single" w:sz="8" w:space="0" w:color="FFFFFF"/>
            </w:tcBorders>
            <w:shd w:val="clear" w:color="000000" w:fill="008C9B"/>
            <w:vAlign w:val="center"/>
            <w:hideMark/>
          </w:tcPr>
          <w:p w14:paraId="41720BAE" w14:textId="77777777" w:rsidR="00BE5875" w:rsidRPr="00BE5875" w:rsidRDefault="00BE5875" w:rsidP="00BE5875">
            <w:pPr>
              <w:spacing w:after="0"/>
              <w:rPr>
                <w:rFonts w:ascii="Calibri" w:eastAsia="Times New Roman" w:hAnsi="Calibri"/>
                <w:color w:val="FFFFFF"/>
                <w:sz w:val="20"/>
                <w:lang w:eastAsia="en-GB"/>
              </w:rPr>
            </w:pPr>
            <w:r w:rsidRPr="00BE5875">
              <w:rPr>
                <w:rFonts w:ascii="Calibri" w:eastAsia="Times New Roman" w:hAnsi="Calibri"/>
                <w:color w:val="FFFFFF"/>
                <w:sz w:val="20"/>
                <w:lang w:eastAsia="en-GB"/>
              </w:rPr>
              <w:t>2017</w:t>
            </w:r>
          </w:p>
        </w:tc>
        <w:tc>
          <w:tcPr>
            <w:tcW w:w="2626" w:type="dxa"/>
            <w:tcBorders>
              <w:top w:val="nil"/>
              <w:left w:val="nil"/>
              <w:bottom w:val="single" w:sz="8" w:space="0" w:color="FFFFFF"/>
              <w:right w:val="single" w:sz="8" w:space="0" w:color="FFFFFF"/>
            </w:tcBorders>
            <w:shd w:val="clear" w:color="000000" w:fill="D0CECE"/>
            <w:vAlign w:val="center"/>
            <w:hideMark/>
          </w:tcPr>
          <w:p w14:paraId="4F36D918"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40,990</w:t>
            </w:r>
          </w:p>
        </w:tc>
        <w:tc>
          <w:tcPr>
            <w:tcW w:w="3162" w:type="dxa"/>
            <w:tcBorders>
              <w:top w:val="nil"/>
              <w:left w:val="nil"/>
              <w:bottom w:val="single" w:sz="8" w:space="0" w:color="FFFFFF"/>
              <w:right w:val="single" w:sz="8" w:space="0" w:color="FFFFFF"/>
            </w:tcBorders>
            <w:shd w:val="clear" w:color="000000" w:fill="D0CECE"/>
            <w:vAlign w:val="center"/>
            <w:hideMark/>
          </w:tcPr>
          <w:p w14:paraId="0633411E"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3.79</w:t>
            </w:r>
          </w:p>
        </w:tc>
        <w:tc>
          <w:tcPr>
            <w:tcW w:w="2829" w:type="dxa"/>
            <w:tcBorders>
              <w:top w:val="nil"/>
              <w:left w:val="nil"/>
              <w:bottom w:val="single" w:sz="8" w:space="0" w:color="FFFFFF"/>
              <w:right w:val="single" w:sz="8" w:space="0" w:color="FFFFFF"/>
            </w:tcBorders>
            <w:shd w:val="clear" w:color="000000" w:fill="D0CECE"/>
            <w:vAlign w:val="center"/>
            <w:hideMark/>
          </w:tcPr>
          <w:p w14:paraId="7755D5BD" w14:textId="77777777" w:rsidR="00BE5875" w:rsidRPr="00BE5875" w:rsidRDefault="00BE5875" w:rsidP="00BE5875">
            <w:pPr>
              <w:spacing w:after="0"/>
              <w:jc w:val="center"/>
              <w:rPr>
                <w:rFonts w:ascii="Calibri" w:eastAsia="Times New Roman" w:hAnsi="Calibri"/>
                <w:color w:val="000000"/>
                <w:sz w:val="20"/>
                <w:lang w:eastAsia="en-GB"/>
              </w:rPr>
            </w:pPr>
            <w:r w:rsidRPr="00BE5875">
              <w:rPr>
                <w:rFonts w:ascii="Calibri" w:eastAsia="Times New Roman" w:hAnsi="Calibri"/>
                <w:color w:val="000000"/>
                <w:sz w:val="20"/>
                <w:lang w:eastAsia="en-GB"/>
              </w:rPr>
              <w:t>155,267</w:t>
            </w:r>
          </w:p>
        </w:tc>
      </w:tr>
    </w:tbl>
    <w:p w14:paraId="74231E2E" w14:textId="77777777" w:rsidR="003F6121" w:rsidRPr="00B86153" w:rsidRDefault="003F6121" w:rsidP="003F6121">
      <w:pPr>
        <w:spacing w:before="60" w:after="120"/>
        <w:jc w:val="right"/>
        <w:rPr>
          <w:i/>
        </w:rPr>
      </w:pPr>
      <w:r w:rsidRPr="00095712">
        <w:rPr>
          <w:rStyle w:val="SubtleEmphasis"/>
          <w:sz w:val="18"/>
        </w:rPr>
        <w:t>Source: ONS, FAME, Cebr analysis</w:t>
      </w:r>
    </w:p>
    <w:p w14:paraId="013AA401" w14:textId="1CF8A2B0" w:rsidR="00291A61" w:rsidRDefault="00FE1907" w:rsidP="00FE1907">
      <w:pPr>
        <w:pStyle w:val="Heading2"/>
      </w:pPr>
      <w:bookmarkStart w:id="103" w:name="_Toc486961889"/>
      <w:bookmarkStart w:id="104" w:name="_Toc486961920"/>
      <w:bookmarkStart w:id="105" w:name="_Toc486961944"/>
      <w:bookmarkStart w:id="106" w:name="_Toc486961968"/>
      <w:bookmarkStart w:id="107" w:name="_Toc486962023"/>
      <w:bookmarkStart w:id="108" w:name="_Toc486962055"/>
      <w:bookmarkStart w:id="109" w:name="_Toc486962090"/>
      <w:bookmarkStart w:id="110" w:name="_Toc486962114"/>
      <w:bookmarkStart w:id="111" w:name="_Toc486962138"/>
      <w:bookmarkStart w:id="112" w:name="_Toc16768014"/>
      <w:bookmarkEnd w:id="103"/>
      <w:bookmarkEnd w:id="104"/>
      <w:bookmarkEnd w:id="105"/>
      <w:bookmarkEnd w:id="106"/>
      <w:bookmarkEnd w:id="107"/>
      <w:bookmarkEnd w:id="108"/>
      <w:bookmarkEnd w:id="109"/>
      <w:bookmarkEnd w:id="110"/>
      <w:bookmarkEnd w:id="111"/>
      <w:r>
        <w:t xml:space="preserve">The </w:t>
      </w:r>
      <w:r w:rsidR="00CC6B0B">
        <w:t>aggregate economic</w:t>
      </w:r>
      <w:r>
        <w:t xml:space="preserve"> impacts through the compensation of employees</w:t>
      </w:r>
      <w:bookmarkEnd w:id="112"/>
    </w:p>
    <w:p w14:paraId="1A6BC38A" w14:textId="43577EAB" w:rsidR="00BE1E65" w:rsidRDefault="00291A61" w:rsidP="00E17DD6">
      <w:r>
        <w:t xml:space="preserve">This </w:t>
      </w:r>
      <w:r w:rsidR="00FB57A0">
        <w:t>final sub</w:t>
      </w:r>
      <w:r>
        <w:t xml:space="preserve">section sets out the economic impact of the Maritime </w:t>
      </w:r>
      <w:r w:rsidR="00E17DD6">
        <w:t>S</w:t>
      </w:r>
      <w:r w:rsidR="00A7232E">
        <w:t>ector</w:t>
      </w:r>
      <w:r>
        <w:t xml:space="preserve"> </w:t>
      </w:r>
      <w:r w:rsidR="00840198">
        <w:t xml:space="preserve">in Scotland </w:t>
      </w:r>
      <w:r w:rsidR="00DA750C">
        <w:t>through the compensation of employees</w:t>
      </w:r>
      <w:r>
        <w:t xml:space="preserve">. </w:t>
      </w:r>
      <w:r w:rsidR="003A4955">
        <w:fldChar w:fldCharType="begin"/>
      </w:r>
      <w:r w:rsidR="003A4955">
        <w:instrText xml:space="preserve"> REF _Ref16685934 \h </w:instrText>
      </w:r>
      <w:r w:rsidR="003A4955">
        <w:fldChar w:fldCharType="separate"/>
      </w:r>
      <w:r w:rsidR="00316965">
        <w:t xml:space="preserve">Figure </w:t>
      </w:r>
      <w:r w:rsidR="00316965">
        <w:rPr>
          <w:noProof/>
        </w:rPr>
        <w:t>13</w:t>
      </w:r>
      <w:r w:rsidR="003A4955">
        <w:fldChar w:fldCharType="end"/>
      </w:r>
      <w:r w:rsidR="003A4955">
        <w:t xml:space="preserve"> </w:t>
      </w:r>
      <w:r w:rsidR="00582DE2">
        <w:t xml:space="preserve">below illustrates the direct, indirect and induced </w:t>
      </w:r>
      <w:r w:rsidR="0011101A">
        <w:t>compensation of employee</w:t>
      </w:r>
      <w:r w:rsidR="00582DE2">
        <w:t xml:space="preserve"> impacts associated with the Maritime sector</w:t>
      </w:r>
      <w:r w:rsidR="00540D85">
        <w:t xml:space="preserve"> in Scotland</w:t>
      </w:r>
      <w:r w:rsidR="00E17DD6">
        <w:t xml:space="preserve">. The direct impact of the compensation of employees from the Scottish Maritime Sector </w:t>
      </w:r>
      <w:r w:rsidR="001C5752">
        <w:t xml:space="preserve">was £2.3 billion in 2017, whereas £1.7 billion of employee compensation is stimulated in the supply chains and £1.1 billion in the wider economy when direct and indirect employees spend their earnings. The total impact of compensation of employees was £5.1 billion. </w:t>
      </w:r>
    </w:p>
    <w:p w14:paraId="1D3D13FC" w14:textId="78AAD8B9" w:rsidR="00582DE2" w:rsidRDefault="001C5752" w:rsidP="00037501">
      <w:pPr>
        <w:spacing w:after="120"/>
      </w:pPr>
      <w:r w:rsidRPr="000D4724">
        <w:rPr>
          <w:b/>
        </w:rPr>
        <w:t>F</w:t>
      </w:r>
      <w:r w:rsidR="00582DE2">
        <w:rPr>
          <w:b/>
        </w:rPr>
        <w:t xml:space="preserve">or every </w:t>
      </w:r>
      <w:r w:rsidR="0011101A">
        <w:rPr>
          <w:b/>
        </w:rPr>
        <w:t>£1</w:t>
      </w:r>
      <w:r w:rsidR="00582DE2">
        <w:rPr>
          <w:b/>
        </w:rPr>
        <w:t xml:space="preserve"> </w:t>
      </w:r>
      <w:r w:rsidR="00582DE2" w:rsidRPr="00E31A52">
        <w:rPr>
          <w:b/>
        </w:rPr>
        <w:t xml:space="preserve">initially contributed by </w:t>
      </w:r>
      <w:r>
        <w:rPr>
          <w:b/>
        </w:rPr>
        <w:t>these entities in 2017</w:t>
      </w:r>
      <w:r w:rsidR="00582DE2" w:rsidRPr="00E31A52">
        <w:rPr>
          <w:b/>
        </w:rPr>
        <w:t xml:space="preserve">, </w:t>
      </w:r>
      <w:r w:rsidR="00582DE2">
        <w:rPr>
          <w:b/>
        </w:rPr>
        <w:t xml:space="preserve">a total of </w:t>
      </w:r>
      <w:r w:rsidR="0011101A">
        <w:rPr>
          <w:b/>
        </w:rPr>
        <w:t>£</w:t>
      </w:r>
      <w:r>
        <w:rPr>
          <w:b/>
        </w:rPr>
        <w:t>2.21</w:t>
      </w:r>
      <w:r w:rsidR="00BE1E65">
        <w:rPr>
          <w:b/>
        </w:rPr>
        <w:t xml:space="preserve"> </w:t>
      </w:r>
      <w:r w:rsidR="0011101A">
        <w:rPr>
          <w:b/>
        </w:rPr>
        <w:t>in employee compensation was</w:t>
      </w:r>
      <w:r w:rsidR="00582DE2">
        <w:rPr>
          <w:b/>
        </w:rPr>
        <w:t xml:space="preserve"> supported </w:t>
      </w:r>
      <w:r w:rsidR="002B0B26">
        <w:rPr>
          <w:b/>
        </w:rPr>
        <w:t xml:space="preserve">in the </w:t>
      </w:r>
      <w:r w:rsidR="009B2AC2">
        <w:rPr>
          <w:b/>
        </w:rPr>
        <w:t xml:space="preserve">wider Scottish and </w:t>
      </w:r>
      <w:r w:rsidR="002B0B26">
        <w:rPr>
          <w:b/>
        </w:rPr>
        <w:t>UK</w:t>
      </w:r>
      <w:r w:rsidR="009B2AC2">
        <w:rPr>
          <w:b/>
        </w:rPr>
        <w:t xml:space="preserve"> economies</w:t>
      </w:r>
      <w:r w:rsidR="00582DE2">
        <w:rPr>
          <w:b/>
        </w:rPr>
        <w:t xml:space="preserve">. </w:t>
      </w:r>
    </w:p>
    <w:p w14:paraId="74100F94" w14:textId="707A19C1" w:rsidR="00291A61" w:rsidRPr="005834EB" w:rsidRDefault="000D4724" w:rsidP="000D4724">
      <w:pPr>
        <w:pStyle w:val="Caption"/>
      </w:pPr>
      <w:bookmarkStart w:id="113" w:name="_Ref16685934"/>
      <w:r>
        <w:t xml:space="preserve">Figure </w:t>
      </w:r>
      <w:r w:rsidR="00BF1DE1">
        <w:rPr>
          <w:noProof/>
        </w:rPr>
        <w:fldChar w:fldCharType="begin"/>
      </w:r>
      <w:r w:rsidR="00BF1DE1">
        <w:rPr>
          <w:noProof/>
        </w:rPr>
        <w:instrText xml:space="preserve"> SEQ Figure \* ARABIC </w:instrText>
      </w:r>
      <w:r w:rsidR="00BF1DE1">
        <w:rPr>
          <w:noProof/>
        </w:rPr>
        <w:fldChar w:fldCharType="separate"/>
      </w:r>
      <w:r w:rsidR="00316965">
        <w:rPr>
          <w:noProof/>
        </w:rPr>
        <w:t>13</w:t>
      </w:r>
      <w:r w:rsidR="00BF1DE1">
        <w:rPr>
          <w:noProof/>
        </w:rPr>
        <w:fldChar w:fldCharType="end"/>
      </w:r>
      <w:bookmarkEnd w:id="113"/>
      <w:r w:rsidR="00291A61">
        <w:t xml:space="preserve">: Employee compensation multiplier impacts of the Maritime </w:t>
      </w:r>
      <w:r w:rsidR="00650683">
        <w:t>S</w:t>
      </w:r>
      <w:r w:rsidR="009579B0">
        <w:t>ector</w:t>
      </w:r>
      <w:r w:rsidR="00840198">
        <w:t xml:space="preserve"> in Scotland</w:t>
      </w:r>
      <w:r w:rsidR="001C5752">
        <w:t>, 2017</w:t>
      </w:r>
    </w:p>
    <w:p w14:paraId="331BE071" w14:textId="49EB954A" w:rsidR="00E17DD6" w:rsidRDefault="00E17DD6" w:rsidP="00442609">
      <w:pPr>
        <w:spacing w:after="0"/>
        <w:rPr>
          <w:rStyle w:val="SubtleEmphasis"/>
          <w:sz w:val="18"/>
        </w:rPr>
      </w:pPr>
      <w:r w:rsidRPr="00E17DD6">
        <w:rPr>
          <w:i/>
          <w:iCs/>
          <w:noProof/>
          <w:color w:val="404040" w:themeColor="text1" w:themeTint="BF"/>
          <w:sz w:val="18"/>
          <w:lang w:eastAsia="en-GB"/>
        </w:rPr>
        <mc:AlternateContent>
          <mc:Choice Requires="wpg">
            <w:drawing>
              <wp:anchor distT="0" distB="0" distL="114300" distR="114300" simplePos="0" relativeHeight="251665408" behindDoc="0" locked="0" layoutInCell="1" allowOverlap="1" wp14:anchorId="1D0B2830" wp14:editId="6FF7B6EC">
                <wp:simplePos x="0" y="0"/>
                <wp:positionH relativeFrom="column">
                  <wp:posOffset>65143</wp:posOffset>
                </wp:positionH>
                <wp:positionV relativeFrom="paragraph">
                  <wp:posOffset>68580</wp:posOffset>
                </wp:positionV>
                <wp:extent cx="5760000" cy="2142000"/>
                <wp:effectExtent l="0" t="0" r="0" b="0"/>
                <wp:wrapNone/>
                <wp:docPr id="50" name="Group 3"/>
                <wp:cNvGraphicFramePr/>
                <a:graphic xmlns:a="http://schemas.openxmlformats.org/drawingml/2006/main">
                  <a:graphicData uri="http://schemas.microsoft.com/office/word/2010/wordprocessingGroup">
                    <wpg:wgp>
                      <wpg:cNvGrpSpPr/>
                      <wpg:grpSpPr>
                        <a:xfrm>
                          <a:off x="0" y="0"/>
                          <a:ext cx="5760000" cy="2142000"/>
                          <a:chOff x="0" y="0"/>
                          <a:chExt cx="6508545" cy="1930620"/>
                        </a:xfrm>
                      </wpg:grpSpPr>
                      <wps:wsp>
                        <wps:cNvPr id="51" name="Down Arrow 51"/>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Down Arrow 52"/>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21C5C" w14:textId="77777777" w:rsidR="00BC67A0" w:rsidRDefault="00BC67A0" w:rsidP="00E17DD6">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£5.1bn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70574" w14:textId="77777777" w:rsidR="00BC67A0" w:rsidRDefault="00BC67A0" w:rsidP="00E17DD6">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w:t>
                              </w:r>
                            </w:p>
                            <w:p w14:paraId="35CF77BC" w14:textId="65E90F3A" w:rsidR="00BC67A0" w:rsidRDefault="00BC67A0" w:rsidP="00E17DD6">
                              <w:pPr>
                                <w:pStyle w:val="NormalWeb"/>
                                <w:spacing w:before="0" w:beforeAutospacing="0" w:after="0" w:afterAutospacing="0"/>
                                <w:jc w:val="center"/>
                              </w:pPr>
                              <w:r>
                                <w:rPr>
                                  <w:rFonts w:asciiTheme="minorHAnsi" w:hAnsi="+mn-ea" w:cstheme="minorBidi"/>
                                  <w:b/>
                                  <w:bCs/>
                                  <w:color w:val="FFFFFF" w:themeColor="background1"/>
                                  <w:kern w:val="24"/>
                                  <w:sz w:val="26"/>
                                  <w:szCs w:val="26"/>
                                </w:rPr>
                                <w:t xml:space="preserve"> </w:t>
                              </w:r>
                            </w:p>
                            <w:p w14:paraId="733133CC" w14:textId="77777777" w:rsidR="00BC67A0" w:rsidRDefault="00BC67A0" w:rsidP="00E17DD6">
                              <w:pPr>
                                <w:pStyle w:val="NormalWeb"/>
                                <w:spacing w:before="0" w:beforeAutospacing="0" w:after="0" w:afterAutospacing="0"/>
                                <w:jc w:val="center"/>
                              </w:pPr>
                              <w:r>
                                <w:rPr>
                                  <w:rFonts w:asciiTheme="minorHAnsi" w:hAnsi="Calibri" w:cstheme="minorBidi"/>
                                  <w:color w:val="FFFFFF" w:themeColor="background1"/>
                                  <w:kern w:val="24"/>
                                  <w:sz w:val="48"/>
                                  <w:szCs w:val="48"/>
                                </w:rPr>
                                <w:t>£2.3bn</w:t>
                              </w:r>
                            </w:p>
                          </w:txbxContent>
                        </wps:txbx>
                        <wps:bodyPr rtlCol="0" anchor="t" anchorCtr="0"/>
                      </wps:wsp>
                      <wps:wsp>
                        <wps:cNvPr id="55" name="Rounded Rectangle 55"/>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BEE7D1" w14:textId="77777777" w:rsidR="00BC67A0" w:rsidRDefault="00BC67A0" w:rsidP="00E17DD6">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£1.7bn</w:t>
                              </w:r>
                            </w:p>
                          </w:txbxContent>
                        </wps:txbx>
                        <wps:bodyPr rtlCol="0" anchor="t" anchorCtr="0"/>
                      </wps:wsp>
                      <wps:wsp>
                        <wps:cNvPr id="56" name="Rounded Rectangle 56"/>
                        <wps:cNvSpPr/>
                        <wps:spPr>
                          <a:xfrm>
                            <a:off x="4648213" y="462211"/>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C9D197" w14:textId="77777777" w:rsidR="00BC67A0" w:rsidRDefault="00BC67A0" w:rsidP="00E17DD6">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£1.1bn</w:t>
                              </w:r>
                            </w:p>
                          </w:txbxContent>
                        </wps:txbx>
                        <wps:bodyPr rtlCol="0" anchor="t" anchorCtr="0"/>
                      </wps:wsp>
                      <wps:wsp>
                        <wps:cNvPr id="57" name="Rectangle 57"/>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50392C" w14:textId="77777777" w:rsidR="00BC67A0" w:rsidRDefault="00BC67A0" w:rsidP="00E17DD6">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Employee Compensation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0B2830" id="_x0000_s1050" style="position:absolute;margin-left:5.15pt;margin-top:5.4pt;width:453.55pt;height:168.65pt;z-index:251665408"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">
                <v:shape id="Down Arrow 51" o:spid="_x0000_s1051"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EPcAA&#10;AADbAAAADwAAAGRycy9kb3ducmV2LnhtbESPzYoCMRCE74LvEFrwphkX1HXWKCoIe/Xnsrd20s4M&#10;O90ZJlmNb28WBI9FVX1FLdeRG3WjztdODEzGGSiSwtlaSgPn0370CcoHFIuNEzLwIA/rVb+3xNy6&#10;uxzodgylShDxORqoQmhzrX1REaMfu5YkeVfXMYYku1LbDu8Jzo3+yLKZZqwlLVTY0q6i4vf4xwZk&#10;wRz9wlH746fbmh+XuN3MjRkO4uYLVKAY3uFX+9samE7g/0v6AXr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1EPcAAAADbAAAADwAAAAAAAAAAAAAAAACYAgAAZHJzL2Rvd25y&#10;ZXYueG1sUEsFBgAAAAAEAAQA9QAAAIUDAAAAAA==&#10;" adj="10800" fillcolor="#c4c4c6 [1302]" stroked="f" strokeweight="2pt"/>
                <v:shape id="Down Arrow 52" o:spid="_x0000_s1052"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SsEA&#10;AADbAAAADwAAAGRycy9kb3ducmV2LnhtbESPQWvCQBSE70L/w/IKvemmQmpNXUUFodeql95es69J&#10;aN7bkN0mm3/fLQgeh5n5htnsIrdqoN43Tgw8LzJQJKWzjVQGrpfT/BWUDygWWydkYCIPu+3DbIOF&#10;daN80HAOlUoQ8QUaqEPoCq19WROjX7iOJHnfrmcMSfaVtj2OCc6tXmbZi2ZsJC3U2NGxpvLn/MsG&#10;ZM0c/dpR9+nzQ8PTVzzsV8Y8Pcb9G6hAMdzDt/a7NZAv4f9L+gF6+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v2krBAAAA2wAAAA8AAAAAAAAAAAAAAAAAmAIAAGRycy9kb3du&#10;cmV2LnhtbFBLBQYAAAAABAAEAPUAAACGAwAAAAA=&#10;" adj="10800" fillcolor="#c4c4c6 [1302]" stroked="f" strokeweight="2pt"/>
                <v:rect id="Rectangle 53" o:spid="_x0000_s1053"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NJMEA&#10;AADbAAAADwAAAGRycy9kb3ducmV2LnhtbESPzWrDMBCE74W8g9hAb7WchJTgRAnGEGiOdZucF2v9&#10;Q6SVsRTb7dNXhUKPw8w3wxxOszVipMF3jhWskhQEceV0x42Cz4/zyw6ED8gajWNS8EUeTsfF0wEz&#10;7SZ+p7EMjYgl7DNU0IbQZ1L6qiWLPnE9cfRqN1gMUQ6N1ANOsdwauU7TV2mx47jQYk9FS9W9fFgF&#10;W6bLNpTfprjmef3A6lrcvFHqeTnnexCB5vAf/qPfdOQ28Psl/g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aTSTBAAAA2wAAAA8AAAAAAAAAAAAAAAAAmAIAAGRycy9kb3du&#10;cmV2LnhtbFBLBQYAAAAABAAEAPUAAACGAwAAAAA=&#10;" fillcolor="#6d6e71 [3206]" stroked="f" strokeweight="2pt">
                  <v:textbox>
                    <w:txbxContent>
                      <w:p w14:paraId="5B821C5C" w14:textId="77777777" w:rsidR="00BC67A0" w:rsidRDefault="00BC67A0" w:rsidP="00E17DD6">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£5.1bn</w:t>
                        </w:r>
                      </w:p>
                    </w:txbxContent>
                  </v:textbox>
                </v:rect>
                <v:roundrect id="Rounded Rectangle 54" o:spid="_x0000_s1054"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eMsMA&#10;AADbAAAADwAAAGRycy9kb3ducmV2LnhtbESPzWrDMBCE74G+g9hCL6GR26bFOJZDKYTmmp8H2Fob&#10;27G0MpZqO336qBDIcZiZb5h8PVkjBup941jByyIBQVw63XCl4HjYPKcgfEDWaByTggt5WBcPsxwz&#10;7Ube0bAPlYgQ9hkqqEPoMil9WZNFv3AdcfROrrcYouwrqXscI9wa+ZokH9Jiw3Ghxo6+airb/a9V&#10;8Iebt9PFfHfNzzBvnRnT8dyWSj09Tp8rEIGmcA/f2lut4H0J/1/i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eMsMAAADbAAAADwAAAAAAAAAAAAAAAACYAgAAZHJzL2Rv&#10;d25yZXYueG1sUEsFBgAAAAAEAAQA9QAAAIgDAAAAAA==&#10;" fillcolor="#008c9b [3204]" stroked="f" strokeweight="2pt">
                  <v:textbox>
                    <w:txbxContent>
                      <w:p w14:paraId="5B870574" w14:textId="77777777" w:rsidR="00BC67A0" w:rsidRDefault="00BC67A0" w:rsidP="00E17DD6">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w:t>
                        </w:r>
                      </w:p>
                      <w:p w14:paraId="35CF77BC" w14:textId="65E90F3A" w:rsidR="00BC67A0" w:rsidRDefault="00BC67A0" w:rsidP="00E17DD6">
                        <w:pPr>
                          <w:pStyle w:val="NormalWeb"/>
                          <w:spacing w:before="0" w:beforeAutospacing="0" w:after="0" w:afterAutospacing="0"/>
                          <w:jc w:val="center"/>
                        </w:pPr>
                        <w:r>
                          <w:rPr>
                            <w:rFonts w:asciiTheme="minorHAnsi" w:hAnsi="+mn-ea" w:cstheme="minorBidi"/>
                            <w:b/>
                            <w:bCs/>
                            <w:color w:val="FFFFFF" w:themeColor="background1"/>
                            <w:kern w:val="24"/>
                            <w:sz w:val="26"/>
                            <w:szCs w:val="26"/>
                          </w:rPr>
                          <w:t xml:space="preserve"> </w:t>
                        </w:r>
                      </w:p>
                      <w:p w14:paraId="733133CC" w14:textId="77777777" w:rsidR="00BC67A0" w:rsidRDefault="00BC67A0" w:rsidP="00E17DD6">
                        <w:pPr>
                          <w:pStyle w:val="NormalWeb"/>
                          <w:spacing w:before="0" w:beforeAutospacing="0" w:after="0" w:afterAutospacing="0"/>
                          <w:jc w:val="center"/>
                        </w:pPr>
                        <w:r>
                          <w:rPr>
                            <w:rFonts w:asciiTheme="minorHAnsi" w:hAnsi="Calibri" w:cstheme="minorBidi"/>
                            <w:color w:val="FFFFFF" w:themeColor="background1"/>
                            <w:kern w:val="24"/>
                            <w:sz w:val="48"/>
                            <w:szCs w:val="48"/>
                          </w:rPr>
                          <w:t>£2.3bn</w:t>
                        </w:r>
                      </w:p>
                    </w:txbxContent>
                  </v:textbox>
                </v:roundrect>
                <v:roundrect id="Rounded Rectangle 55" o:spid="_x0000_s1055"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Fn+8EA&#10;AADbAAAADwAAAGRycy9kb3ducmV2LnhtbESPS4sCMRCE7wv+h9CCN834REejiLiwlxV83ZtJOzM4&#10;6YxJ1PHfbwRhj0VVfUUtVo2pxIOcLy0r6PcSEMSZ1SXnCk7H7+4UhA/IGivLpOBFHlbL1tcCU22f&#10;vKfHIeQiQtinqKAIoU6l9FlBBn3P1sTRu1hnMETpcqkdPiPcVHKQJBNpsOS4UGBNm4Ky6+FuFCT1&#10;2vrdazQcHrfn33AbaVfOtFKddrOegwjUhP/wp/2jFYzH8P4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xZ/vBAAAA2wAAAA8AAAAAAAAAAAAAAAAAmAIAAGRycy9kb3du&#10;cmV2LnhtbFBLBQYAAAAABAAEAPUAAACGAwAAAAA=&#10;" fillcolor="#0070c0" stroked="f" strokeweight="2pt">
                  <v:textbox>
                    <w:txbxContent>
                      <w:p w14:paraId="3FBEE7D1" w14:textId="77777777" w:rsidR="00BC67A0" w:rsidRDefault="00BC67A0" w:rsidP="00E17DD6">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£1.7bn</w:t>
                        </w:r>
                      </w:p>
                    </w:txbxContent>
                  </v:textbox>
                </v:roundrect>
                <v:roundrect id="Rounded Rectangle 56" o:spid="_x0000_s1056" style="position:absolute;left:46482;top:4622;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OI8UA&#10;AADbAAAADwAAAGRycy9kb3ducmV2LnhtbESPQWvCQBSE7wX/w/KEXopu0mKQ6CZIIVDaSxv1/sw+&#10;k2D2bcxuNe2v7xYEj8PMfMOs89F04kKDay0riOcRCOLK6pZrBbttMVuCcB5ZY2eZFPyQgzybPKwx&#10;1fbKX3QpfS0ChF2KChrv+1RKVzVk0M1tTxy8ox0M+iCHWuoBrwFuOvkcRYk02HJYaLCn14aqU/lt&#10;FLTviS2eXs7bw3LPn6X8iH8Xp71Sj9NxswLhafT38K39phUsEvj/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g4jxQAAANsAAAAPAAAAAAAAAAAAAAAAAJgCAABkcnMv&#10;ZG93bnJldi54bWxQSwUGAAAAAAQABAD1AAAAigMAAAAA&#10;" fillcolor="#7030a0" stroked="f" strokeweight="2pt">
                  <v:textbox>
                    <w:txbxContent>
                      <w:p w14:paraId="5EC9D197" w14:textId="77777777" w:rsidR="00BC67A0" w:rsidRDefault="00BC67A0" w:rsidP="00E17DD6">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£1.1bn</w:t>
                        </w:r>
                      </w:p>
                    </w:txbxContent>
                  </v:textbox>
                </v:roundrect>
                <v:rect id="Rectangle 57" o:spid="_x0000_s1057"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LJ8AA&#10;AADbAAAADwAAAGRycy9kb3ducmV2LnhtbESPT4vCMBTE78J+h/AW9qapC/6hGqUUFtyj1Xp+NM+2&#10;mLyUJmrdT78RBI/DzG+GWW8Ha8SNet86VjCdJCCIK6dbrhUcDz/jJQgfkDUax6TgQR62m4/RGlPt&#10;7rynWxFqEUvYp6igCaFLpfRVQxb9xHXE0Tu73mKIsq+l7vEey62R30kylxZbjgsNdpQ3VF2Kq1Uw&#10;Y/qdheLP5GWWna9YlfnJG6W+PodsBSLQEN7hF73TkVvA80v8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FLJ8AAAADbAAAADwAAAAAAAAAAAAAAAACYAgAAZHJzL2Rvd25y&#10;ZXYueG1sUEsFBgAAAAAEAAQA9QAAAIUDAAAAAA==&#10;" fillcolor="#6d6e71 [3206]" stroked="f" strokeweight="2pt">
                  <v:textbox>
                    <w:txbxContent>
                      <w:p w14:paraId="1750392C" w14:textId="77777777" w:rsidR="00BC67A0" w:rsidRDefault="00BC67A0" w:rsidP="00E17DD6">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Employee Compensation</w:t>
                        </w:r>
                      </w:p>
                    </w:txbxContent>
                  </v:textbox>
                </v:rect>
              </v:group>
            </w:pict>
          </mc:Fallback>
        </mc:AlternateContent>
      </w:r>
    </w:p>
    <w:p w14:paraId="4F7E30CB" w14:textId="5A27F4EA" w:rsidR="00E17DD6" w:rsidRDefault="00E17DD6" w:rsidP="00442609">
      <w:pPr>
        <w:spacing w:after="0"/>
        <w:rPr>
          <w:rStyle w:val="SubtleEmphasis"/>
          <w:sz w:val="18"/>
        </w:rPr>
      </w:pPr>
    </w:p>
    <w:p w14:paraId="3722C6DB" w14:textId="68AF5785" w:rsidR="00E17DD6" w:rsidRDefault="00E17DD6" w:rsidP="00442609">
      <w:pPr>
        <w:spacing w:after="0"/>
        <w:rPr>
          <w:rStyle w:val="SubtleEmphasis"/>
          <w:sz w:val="18"/>
        </w:rPr>
      </w:pPr>
    </w:p>
    <w:p w14:paraId="4C339F51" w14:textId="1E3E5B47" w:rsidR="00E17DD6" w:rsidRDefault="00E17DD6" w:rsidP="00442609">
      <w:pPr>
        <w:spacing w:after="0"/>
        <w:rPr>
          <w:rStyle w:val="SubtleEmphasis"/>
          <w:sz w:val="18"/>
        </w:rPr>
      </w:pPr>
    </w:p>
    <w:p w14:paraId="7373C582" w14:textId="77777777" w:rsidR="00E17DD6" w:rsidRDefault="00E17DD6" w:rsidP="00442609">
      <w:pPr>
        <w:spacing w:after="0"/>
        <w:rPr>
          <w:rStyle w:val="SubtleEmphasis"/>
          <w:sz w:val="18"/>
        </w:rPr>
      </w:pPr>
    </w:p>
    <w:p w14:paraId="3B6CF953" w14:textId="7E41082D" w:rsidR="00E17DD6" w:rsidRDefault="00E17DD6" w:rsidP="00442609">
      <w:pPr>
        <w:spacing w:after="0"/>
        <w:rPr>
          <w:rStyle w:val="SubtleEmphasis"/>
          <w:sz w:val="18"/>
        </w:rPr>
      </w:pPr>
    </w:p>
    <w:p w14:paraId="5EA5AA9C" w14:textId="77777777" w:rsidR="00E17DD6" w:rsidRDefault="00E17DD6" w:rsidP="00442609">
      <w:pPr>
        <w:spacing w:after="0"/>
        <w:rPr>
          <w:rStyle w:val="SubtleEmphasis"/>
          <w:sz w:val="18"/>
        </w:rPr>
      </w:pPr>
    </w:p>
    <w:p w14:paraId="148F0B20" w14:textId="0510A6D3" w:rsidR="00E17DD6" w:rsidRDefault="00E17DD6" w:rsidP="00442609">
      <w:pPr>
        <w:spacing w:after="0"/>
        <w:rPr>
          <w:rStyle w:val="SubtleEmphasis"/>
          <w:sz w:val="18"/>
        </w:rPr>
      </w:pPr>
    </w:p>
    <w:p w14:paraId="27329DF9" w14:textId="3CF7DCA1" w:rsidR="00291A61" w:rsidRDefault="00291A61" w:rsidP="00442609">
      <w:pPr>
        <w:spacing w:after="0"/>
        <w:rPr>
          <w:rStyle w:val="SubtleEmphasis"/>
          <w:sz w:val="18"/>
        </w:rPr>
      </w:pPr>
    </w:p>
    <w:p w14:paraId="18C584E6" w14:textId="77777777" w:rsidR="00E17DD6" w:rsidRDefault="00E17DD6" w:rsidP="00442609">
      <w:pPr>
        <w:spacing w:after="0"/>
        <w:rPr>
          <w:rStyle w:val="SubtleEmphasis"/>
          <w:sz w:val="18"/>
        </w:rPr>
      </w:pPr>
    </w:p>
    <w:p w14:paraId="104B7ABE" w14:textId="77777777" w:rsidR="00E17DD6" w:rsidRDefault="00E17DD6" w:rsidP="00442609">
      <w:pPr>
        <w:spacing w:after="0"/>
        <w:rPr>
          <w:rStyle w:val="SubtleEmphasis"/>
          <w:sz w:val="18"/>
        </w:rPr>
      </w:pPr>
    </w:p>
    <w:p w14:paraId="3AB07BF4" w14:textId="77777777" w:rsidR="00E17DD6" w:rsidRDefault="00E17DD6" w:rsidP="00442609">
      <w:pPr>
        <w:spacing w:after="0"/>
        <w:rPr>
          <w:rStyle w:val="SubtleEmphasis"/>
          <w:sz w:val="18"/>
        </w:rPr>
      </w:pPr>
    </w:p>
    <w:p w14:paraId="1F900A92" w14:textId="77777777" w:rsidR="00E17DD6" w:rsidRDefault="00E17DD6" w:rsidP="00442609">
      <w:pPr>
        <w:spacing w:after="0"/>
        <w:rPr>
          <w:rStyle w:val="SubtleEmphasis"/>
          <w:sz w:val="18"/>
        </w:rPr>
      </w:pPr>
    </w:p>
    <w:p w14:paraId="73F24F17" w14:textId="77777777" w:rsidR="00E17DD6" w:rsidRDefault="00E17DD6" w:rsidP="00442609">
      <w:pPr>
        <w:spacing w:after="0"/>
        <w:rPr>
          <w:rStyle w:val="SubtleEmphasis"/>
          <w:sz w:val="18"/>
        </w:rPr>
      </w:pPr>
    </w:p>
    <w:p w14:paraId="31D10D35" w14:textId="77777777" w:rsidR="00E17DD6" w:rsidRDefault="00E17DD6" w:rsidP="00442609">
      <w:pPr>
        <w:spacing w:after="0"/>
        <w:rPr>
          <w:rStyle w:val="SubtleEmphasis"/>
          <w:sz w:val="18"/>
        </w:rPr>
      </w:pPr>
    </w:p>
    <w:p w14:paraId="3BF47ACD" w14:textId="77777777" w:rsidR="00E17DD6" w:rsidRPr="00F07A7B" w:rsidRDefault="00E17DD6" w:rsidP="00442609">
      <w:pPr>
        <w:spacing w:after="0"/>
        <w:rPr>
          <w:rStyle w:val="SubtleEmphasis"/>
          <w:sz w:val="18"/>
        </w:rPr>
      </w:pPr>
    </w:p>
    <w:p w14:paraId="33765BD6" w14:textId="1509A70B" w:rsidR="00291A61" w:rsidRPr="00D0202B" w:rsidRDefault="00291A61" w:rsidP="004C61AB">
      <w:pPr>
        <w:spacing w:before="60" w:after="120"/>
        <w:jc w:val="right"/>
        <w:rPr>
          <w:i/>
          <w:iCs/>
          <w:color w:val="000000" w:themeColor="text1"/>
          <w:sz w:val="18"/>
        </w:rPr>
      </w:pPr>
      <w:r w:rsidRPr="00D0202B">
        <w:rPr>
          <w:rStyle w:val="SubtleEmphasis"/>
          <w:color w:val="000000" w:themeColor="text1"/>
          <w:sz w:val="18"/>
        </w:rPr>
        <w:t>Source: ONS, FAME, Cebr analysis</w:t>
      </w:r>
    </w:p>
    <w:bookmarkStart w:id="114" w:name="_Ref485315379"/>
    <w:p w14:paraId="097D0B21" w14:textId="14E938B1" w:rsidR="006C6326" w:rsidRDefault="003A4955" w:rsidP="006C6326">
      <w:r>
        <w:fldChar w:fldCharType="begin"/>
      </w:r>
      <w:r>
        <w:instrText xml:space="preserve"> REF _Ref16685982 \h </w:instrText>
      </w:r>
      <w:r>
        <w:fldChar w:fldCharType="separate"/>
      </w:r>
      <w:r>
        <w:t xml:space="preserve">Table </w:t>
      </w:r>
      <w:r>
        <w:rPr>
          <w:noProof/>
        </w:rPr>
        <w:t>16</w:t>
      </w:r>
      <w:r>
        <w:fldChar w:fldCharType="end"/>
      </w:r>
      <w:r>
        <w:t xml:space="preserve"> </w:t>
      </w:r>
      <w:r w:rsidR="00840198">
        <w:t xml:space="preserve">below </w:t>
      </w:r>
      <w:r w:rsidR="00605F3E">
        <w:t xml:space="preserve">disaggregates the direct, indirect, induced and </w:t>
      </w:r>
      <w:r w:rsidR="00CC6B0B">
        <w:t>aggregate impact</w:t>
      </w:r>
      <w:r w:rsidR="00605F3E">
        <w:t xml:space="preserve">s on the compensation of employees by </w:t>
      </w:r>
      <w:r w:rsidR="00E701C0">
        <w:t xml:space="preserve">the </w:t>
      </w:r>
      <w:r w:rsidR="00605F3E">
        <w:t xml:space="preserve">Maritime </w:t>
      </w:r>
      <w:r w:rsidR="006C6326">
        <w:t>Sector</w:t>
      </w:r>
      <w:r w:rsidR="00F94C3D">
        <w:t xml:space="preserve"> in Scotland.</w:t>
      </w:r>
      <w:r w:rsidR="006C6326" w:rsidRPr="006C6326">
        <w:t xml:space="preserve"> </w:t>
      </w:r>
      <w:r w:rsidR="006C6326">
        <w:t xml:space="preserve">The majority of the direct contribution sourced from the Marine Offshore Oil and Gas industry (£1.2 billion) and other Marine industries (£0.6 billion). Unsurprisingly, Marine Oil and Gas and other Marine industries had the highest aggregate impact at £2.6 billion and £1.3 billion respectively. </w:t>
      </w:r>
    </w:p>
    <w:p w14:paraId="7E6CDEE0" w14:textId="42B00C29" w:rsidR="00012D13" w:rsidRDefault="00012D13" w:rsidP="00037501">
      <w:pPr>
        <w:spacing w:after="120"/>
      </w:pPr>
    </w:p>
    <w:p w14:paraId="3D9972A7" w14:textId="77777777" w:rsidR="006C6326" w:rsidRDefault="006C6326" w:rsidP="00037501">
      <w:pPr>
        <w:spacing w:after="120"/>
      </w:pPr>
    </w:p>
    <w:p w14:paraId="42D03574" w14:textId="77777777" w:rsidR="006C6326" w:rsidRDefault="006C6326" w:rsidP="00037501">
      <w:pPr>
        <w:spacing w:after="120"/>
      </w:pPr>
    </w:p>
    <w:p w14:paraId="40D6372A" w14:textId="77777777" w:rsidR="006C6326" w:rsidRDefault="006C6326" w:rsidP="00037501">
      <w:pPr>
        <w:spacing w:after="120"/>
      </w:pPr>
    </w:p>
    <w:p w14:paraId="750F0A24" w14:textId="5C02DE12" w:rsidR="006C6326" w:rsidRDefault="003A4955" w:rsidP="003A4955">
      <w:pPr>
        <w:pStyle w:val="Caption"/>
      </w:pPr>
      <w:bookmarkStart w:id="115" w:name="_Ref16685982"/>
      <w:r>
        <w:lastRenderedPageBreak/>
        <w:t xml:space="preserve">Table </w:t>
      </w:r>
      <w:r w:rsidR="00BF1DE1">
        <w:rPr>
          <w:noProof/>
        </w:rPr>
        <w:fldChar w:fldCharType="begin"/>
      </w:r>
      <w:r w:rsidR="00BF1DE1">
        <w:rPr>
          <w:noProof/>
        </w:rPr>
        <w:instrText xml:space="preserve"> SEQ Table \* ARABIC </w:instrText>
      </w:r>
      <w:r w:rsidR="00BF1DE1">
        <w:rPr>
          <w:noProof/>
        </w:rPr>
        <w:fldChar w:fldCharType="separate"/>
      </w:r>
      <w:r w:rsidR="00D0202B">
        <w:rPr>
          <w:noProof/>
        </w:rPr>
        <w:t>16</w:t>
      </w:r>
      <w:r w:rsidR="00BF1DE1">
        <w:rPr>
          <w:noProof/>
        </w:rPr>
        <w:fldChar w:fldCharType="end"/>
      </w:r>
      <w:bookmarkEnd w:id="115"/>
      <w:r w:rsidR="006C6326">
        <w:t>: I</w:t>
      </w:r>
      <w:r w:rsidR="006C6326" w:rsidRPr="00380889">
        <w:t xml:space="preserve">mpact </w:t>
      </w:r>
      <w:r w:rsidR="006C6326">
        <w:t>through the compensation of employees by each Marit</w:t>
      </w:r>
      <w:r w:rsidR="00414CBF">
        <w:t>ime industry in Scotland in 2017</w:t>
      </w:r>
      <w:r w:rsidR="006C6326">
        <w:t>, £ million</w:t>
      </w:r>
    </w:p>
    <w:tbl>
      <w:tblPr>
        <w:tblW w:w="9112" w:type="dxa"/>
        <w:tblLook w:val="04A0" w:firstRow="1" w:lastRow="0" w:firstColumn="1" w:lastColumn="0" w:noHBand="0" w:noVBand="1"/>
      </w:tblPr>
      <w:tblGrid>
        <w:gridCol w:w="3645"/>
        <w:gridCol w:w="1333"/>
        <w:gridCol w:w="1378"/>
        <w:gridCol w:w="1378"/>
        <w:gridCol w:w="1378"/>
      </w:tblGrid>
      <w:tr w:rsidR="006C6326" w:rsidRPr="006C6326" w14:paraId="41148D7F" w14:textId="77777777" w:rsidTr="006C6326">
        <w:trPr>
          <w:trHeight w:val="541"/>
        </w:trPr>
        <w:tc>
          <w:tcPr>
            <w:tcW w:w="3645" w:type="dxa"/>
            <w:tcBorders>
              <w:top w:val="single" w:sz="8" w:space="0" w:color="FFFFFF"/>
              <w:left w:val="nil"/>
              <w:bottom w:val="single" w:sz="12" w:space="0" w:color="FFFFFF"/>
              <w:right w:val="single" w:sz="8" w:space="0" w:color="FFFFFF"/>
            </w:tcBorders>
            <w:shd w:val="clear" w:color="000000" w:fill="008C9B"/>
            <w:vAlign w:val="center"/>
            <w:hideMark/>
          </w:tcPr>
          <w:p w14:paraId="1B534B13" w14:textId="77777777" w:rsidR="006C6326" w:rsidRPr="006C6326" w:rsidRDefault="006C6326" w:rsidP="006C6326">
            <w:pPr>
              <w:spacing w:after="0"/>
              <w:rPr>
                <w:rFonts w:ascii="Calibri" w:eastAsia="Times New Roman" w:hAnsi="Calibri"/>
                <w:b/>
                <w:bCs/>
                <w:color w:val="FFFFFF"/>
                <w:sz w:val="20"/>
                <w:lang w:eastAsia="en-GB"/>
              </w:rPr>
            </w:pPr>
            <w:r w:rsidRPr="006C6326">
              <w:rPr>
                <w:rFonts w:ascii="Calibri" w:eastAsia="Times New Roman" w:hAnsi="Calibri"/>
                <w:b/>
                <w:bCs/>
                <w:color w:val="FFFFFF"/>
                <w:sz w:val="20"/>
                <w:lang w:eastAsia="en-GB"/>
              </w:rPr>
              <w:t>Compensation of Employees in 2017</w:t>
            </w:r>
          </w:p>
        </w:tc>
        <w:tc>
          <w:tcPr>
            <w:tcW w:w="1333" w:type="dxa"/>
            <w:tcBorders>
              <w:top w:val="single" w:sz="8" w:space="0" w:color="FFFFFF"/>
              <w:left w:val="nil"/>
              <w:bottom w:val="single" w:sz="12" w:space="0" w:color="FFFFFF"/>
              <w:right w:val="single" w:sz="8" w:space="0" w:color="FFFFFF"/>
            </w:tcBorders>
            <w:shd w:val="clear" w:color="000000" w:fill="008C9B"/>
            <w:vAlign w:val="center"/>
            <w:hideMark/>
          </w:tcPr>
          <w:p w14:paraId="6573DCC2" w14:textId="77777777" w:rsidR="006C6326" w:rsidRPr="006C6326" w:rsidRDefault="006C6326" w:rsidP="006C6326">
            <w:pPr>
              <w:spacing w:after="0"/>
              <w:jc w:val="center"/>
              <w:rPr>
                <w:rFonts w:ascii="Calibri" w:eastAsia="Times New Roman" w:hAnsi="Calibri"/>
                <w:b/>
                <w:bCs/>
                <w:color w:val="FFFFFF"/>
                <w:sz w:val="20"/>
                <w:lang w:eastAsia="en-GB"/>
              </w:rPr>
            </w:pPr>
            <w:r w:rsidRPr="006C6326">
              <w:rPr>
                <w:rFonts w:ascii="Calibri" w:eastAsia="Times New Roman" w:hAnsi="Calibri"/>
                <w:b/>
                <w:bCs/>
                <w:color w:val="FFFFFF"/>
                <w:sz w:val="20"/>
                <w:lang w:eastAsia="en-GB"/>
              </w:rPr>
              <w:t>Direct Impact</w:t>
            </w:r>
          </w:p>
        </w:tc>
        <w:tc>
          <w:tcPr>
            <w:tcW w:w="1378" w:type="dxa"/>
            <w:tcBorders>
              <w:top w:val="single" w:sz="8" w:space="0" w:color="FFFFFF"/>
              <w:left w:val="nil"/>
              <w:bottom w:val="single" w:sz="12" w:space="0" w:color="FFFFFF"/>
              <w:right w:val="single" w:sz="8" w:space="0" w:color="FFFFFF"/>
            </w:tcBorders>
            <w:shd w:val="clear" w:color="000000" w:fill="008C9B"/>
            <w:vAlign w:val="center"/>
            <w:hideMark/>
          </w:tcPr>
          <w:p w14:paraId="28E8FBE9" w14:textId="77777777" w:rsidR="006C6326" w:rsidRPr="006C6326" w:rsidRDefault="006C6326" w:rsidP="006C6326">
            <w:pPr>
              <w:spacing w:after="0"/>
              <w:jc w:val="center"/>
              <w:rPr>
                <w:rFonts w:ascii="Calibri" w:eastAsia="Times New Roman" w:hAnsi="Calibri"/>
                <w:b/>
                <w:bCs/>
                <w:color w:val="FFFFFF"/>
                <w:sz w:val="20"/>
                <w:lang w:eastAsia="en-GB"/>
              </w:rPr>
            </w:pPr>
            <w:r w:rsidRPr="006C6326">
              <w:rPr>
                <w:rFonts w:ascii="Calibri" w:eastAsia="Times New Roman" w:hAnsi="Calibri"/>
                <w:b/>
                <w:bCs/>
                <w:color w:val="FFFFFF"/>
                <w:sz w:val="20"/>
                <w:lang w:eastAsia="en-GB"/>
              </w:rPr>
              <w:t>Indirect Impact</w:t>
            </w:r>
          </w:p>
        </w:tc>
        <w:tc>
          <w:tcPr>
            <w:tcW w:w="1378" w:type="dxa"/>
            <w:tcBorders>
              <w:top w:val="single" w:sz="8" w:space="0" w:color="FFFFFF"/>
              <w:left w:val="nil"/>
              <w:bottom w:val="single" w:sz="12" w:space="0" w:color="FFFFFF"/>
              <w:right w:val="single" w:sz="8" w:space="0" w:color="FFFFFF"/>
            </w:tcBorders>
            <w:shd w:val="clear" w:color="000000" w:fill="008C9B"/>
            <w:vAlign w:val="center"/>
            <w:hideMark/>
          </w:tcPr>
          <w:p w14:paraId="0D14CFAC" w14:textId="77777777" w:rsidR="006C6326" w:rsidRPr="006C6326" w:rsidRDefault="006C6326" w:rsidP="006C6326">
            <w:pPr>
              <w:spacing w:after="0"/>
              <w:jc w:val="center"/>
              <w:rPr>
                <w:rFonts w:ascii="Calibri" w:eastAsia="Times New Roman" w:hAnsi="Calibri"/>
                <w:b/>
                <w:bCs/>
                <w:color w:val="FFFFFF"/>
                <w:sz w:val="20"/>
                <w:lang w:eastAsia="en-GB"/>
              </w:rPr>
            </w:pPr>
            <w:r w:rsidRPr="006C6326">
              <w:rPr>
                <w:rFonts w:ascii="Calibri" w:eastAsia="Times New Roman" w:hAnsi="Calibri"/>
                <w:b/>
                <w:bCs/>
                <w:color w:val="FFFFFF"/>
                <w:sz w:val="20"/>
                <w:lang w:eastAsia="en-GB"/>
              </w:rPr>
              <w:t>Induced Impact</w:t>
            </w:r>
          </w:p>
        </w:tc>
        <w:tc>
          <w:tcPr>
            <w:tcW w:w="1378" w:type="dxa"/>
            <w:tcBorders>
              <w:top w:val="single" w:sz="8" w:space="0" w:color="FFFFFF"/>
              <w:left w:val="nil"/>
              <w:bottom w:val="single" w:sz="12" w:space="0" w:color="FFFFFF"/>
              <w:right w:val="single" w:sz="8" w:space="0" w:color="FFFFFF"/>
            </w:tcBorders>
            <w:shd w:val="clear" w:color="000000" w:fill="008C9B"/>
            <w:vAlign w:val="center"/>
            <w:hideMark/>
          </w:tcPr>
          <w:p w14:paraId="726FAB89" w14:textId="77777777" w:rsidR="006C6326" w:rsidRPr="006C6326" w:rsidRDefault="006C6326" w:rsidP="006C6326">
            <w:pPr>
              <w:spacing w:after="0"/>
              <w:jc w:val="center"/>
              <w:rPr>
                <w:rFonts w:ascii="Calibri" w:eastAsia="Times New Roman" w:hAnsi="Calibri"/>
                <w:b/>
                <w:bCs/>
                <w:color w:val="FFFFFF"/>
                <w:sz w:val="20"/>
                <w:lang w:eastAsia="en-GB"/>
              </w:rPr>
            </w:pPr>
            <w:r w:rsidRPr="006C6326">
              <w:rPr>
                <w:rFonts w:ascii="Calibri" w:eastAsia="Times New Roman" w:hAnsi="Calibri"/>
                <w:b/>
                <w:bCs/>
                <w:color w:val="FFFFFF"/>
                <w:sz w:val="20"/>
                <w:lang w:eastAsia="en-GB"/>
              </w:rPr>
              <w:t>Aggregate Impact</w:t>
            </w:r>
          </w:p>
        </w:tc>
      </w:tr>
      <w:tr w:rsidR="006C6326" w:rsidRPr="006C6326" w14:paraId="4AB5B507" w14:textId="77777777" w:rsidTr="006C6326">
        <w:trPr>
          <w:trHeight w:val="340"/>
        </w:trPr>
        <w:tc>
          <w:tcPr>
            <w:tcW w:w="3645" w:type="dxa"/>
            <w:tcBorders>
              <w:top w:val="nil"/>
              <w:left w:val="single" w:sz="8" w:space="0" w:color="FFFFFF"/>
              <w:bottom w:val="single" w:sz="8" w:space="0" w:color="FFFFFF"/>
              <w:right w:val="single" w:sz="8" w:space="0" w:color="FFFFFF"/>
            </w:tcBorders>
            <w:shd w:val="clear" w:color="000000" w:fill="008C9B"/>
            <w:vAlign w:val="center"/>
            <w:hideMark/>
          </w:tcPr>
          <w:p w14:paraId="4C851C2D" w14:textId="77777777" w:rsidR="006C6326" w:rsidRPr="006C6326" w:rsidRDefault="006C6326" w:rsidP="006C6326">
            <w:pPr>
              <w:spacing w:after="0"/>
              <w:rPr>
                <w:rFonts w:ascii="Calibri" w:eastAsia="Times New Roman" w:hAnsi="Calibri"/>
                <w:b/>
                <w:bCs/>
                <w:color w:val="FFFFFF"/>
                <w:sz w:val="20"/>
                <w:lang w:eastAsia="en-GB"/>
              </w:rPr>
            </w:pPr>
            <w:r w:rsidRPr="006C6326">
              <w:rPr>
                <w:rFonts w:ascii="Calibri" w:eastAsia="Times New Roman" w:hAnsi="Calibri"/>
                <w:b/>
                <w:bCs/>
                <w:color w:val="FFFFFF"/>
                <w:sz w:val="20"/>
                <w:lang w:eastAsia="en-GB"/>
              </w:rPr>
              <w:t>TOTAL</w:t>
            </w:r>
          </w:p>
        </w:tc>
        <w:tc>
          <w:tcPr>
            <w:tcW w:w="1333" w:type="dxa"/>
            <w:tcBorders>
              <w:top w:val="nil"/>
              <w:left w:val="nil"/>
              <w:bottom w:val="single" w:sz="8" w:space="0" w:color="FFFFFF"/>
              <w:right w:val="single" w:sz="8" w:space="0" w:color="FFFFFF"/>
            </w:tcBorders>
            <w:shd w:val="clear" w:color="000000" w:fill="E7EEEF"/>
            <w:vAlign w:val="center"/>
            <w:hideMark/>
          </w:tcPr>
          <w:p w14:paraId="2996B86D"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2,299</w:t>
            </w:r>
          </w:p>
        </w:tc>
        <w:tc>
          <w:tcPr>
            <w:tcW w:w="1378" w:type="dxa"/>
            <w:tcBorders>
              <w:top w:val="nil"/>
              <w:left w:val="nil"/>
              <w:bottom w:val="single" w:sz="8" w:space="0" w:color="FFFFFF"/>
              <w:right w:val="single" w:sz="8" w:space="0" w:color="FFFFFF"/>
            </w:tcBorders>
            <w:shd w:val="clear" w:color="000000" w:fill="E7EEEF"/>
            <w:vAlign w:val="center"/>
            <w:hideMark/>
          </w:tcPr>
          <w:p w14:paraId="162DEB6B"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1,688</w:t>
            </w:r>
          </w:p>
        </w:tc>
        <w:tc>
          <w:tcPr>
            <w:tcW w:w="1378" w:type="dxa"/>
            <w:tcBorders>
              <w:top w:val="nil"/>
              <w:left w:val="nil"/>
              <w:bottom w:val="single" w:sz="8" w:space="0" w:color="FFFFFF"/>
              <w:right w:val="single" w:sz="8" w:space="0" w:color="FFFFFF"/>
            </w:tcBorders>
            <w:shd w:val="clear" w:color="000000" w:fill="E7EEEF"/>
            <w:vAlign w:val="center"/>
            <w:hideMark/>
          </w:tcPr>
          <w:p w14:paraId="7AAD15B9"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1,086</w:t>
            </w:r>
          </w:p>
        </w:tc>
        <w:tc>
          <w:tcPr>
            <w:tcW w:w="1378" w:type="dxa"/>
            <w:tcBorders>
              <w:top w:val="nil"/>
              <w:left w:val="nil"/>
              <w:bottom w:val="single" w:sz="8" w:space="0" w:color="FFFFFF"/>
              <w:right w:val="single" w:sz="8" w:space="0" w:color="FFFFFF"/>
            </w:tcBorders>
            <w:shd w:val="clear" w:color="000000" w:fill="E7EEEF"/>
            <w:vAlign w:val="center"/>
            <w:hideMark/>
          </w:tcPr>
          <w:p w14:paraId="5D2760B4"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5,073</w:t>
            </w:r>
          </w:p>
        </w:tc>
      </w:tr>
      <w:tr w:rsidR="006C6326" w:rsidRPr="006C6326" w14:paraId="44CA7CB7" w14:textId="77777777" w:rsidTr="006C6326">
        <w:trPr>
          <w:trHeight w:val="324"/>
        </w:trPr>
        <w:tc>
          <w:tcPr>
            <w:tcW w:w="3645" w:type="dxa"/>
            <w:tcBorders>
              <w:top w:val="nil"/>
              <w:left w:val="single" w:sz="8" w:space="0" w:color="FFFFFF"/>
              <w:bottom w:val="single" w:sz="8" w:space="0" w:color="FFFFFF"/>
              <w:right w:val="single" w:sz="8" w:space="0" w:color="FFFFFF"/>
            </w:tcBorders>
            <w:shd w:val="clear" w:color="000000" w:fill="008C9B"/>
            <w:vAlign w:val="center"/>
            <w:hideMark/>
          </w:tcPr>
          <w:p w14:paraId="37EEAD01" w14:textId="77777777" w:rsidR="006C6326" w:rsidRPr="006C6326" w:rsidRDefault="006C6326" w:rsidP="006C6326">
            <w:pPr>
              <w:spacing w:after="0"/>
              <w:rPr>
                <w:rFonts w:ascii="Calibri" w:eastAsia="Times New Roman" w:hAnsi="Calibri"/>
                <w:color w:val="FFFFFF"/>
                <w:sz w:val="20"/>
                <w:lang w:eastAsia="en-GB"/>
              </w:rPr>
            </w:pPr>
            <w:r w:rsidRPr="006C6326">
              <w:rPr>
                <w:rFonts w:ascii="Calibri" w:eastAsia="Times New Roman" w:hAnsi="Calibri"/>
                <w:color w:val="FFFFFF"/>
                <w:sz w:val="20"/>
                <w:lang w:eastAsia="en-GB"/>
              </w:rPr>
              <w:t>Shipping</w:t>
            </w:r>
          </w:p>
        </w:tc>
        <w:tc>
          <w:tcPr>
            <w:tcW w:w="1333" w:type="dxa"/>
            <w:tcBorders>
              <w:top w:val="nil"/>
              <w:left w:val="nil"/>
              <w:bottom w:val="single" w:sz="8" w:space="0" w:color="FFFFFF"/>
              <w:right w:val="single" w:sz="8" w:space="0" w:color="FFFFFF"/>
            </w:tcBorders>
            <w:shd w:val="clear" w:color="000000" w:fill="D0CECE"/>
            <w:vAlign w:val="center"/>
            <w:hideMark/>
          </w:tcPr>
          <w:p w14:paraId="5A6FC293"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314</w:t>
            </w:r>
          </w:p>
        </w:tc>
        <w:tc>
          <w:tcPr>
            <w:tcW w:w="1378" w:type="dxa"/>
            <w:tcBorders>
              <w:top w:val="nil"/>
              <w:left w:val="nil"/>
              <w:bottom w:val="single" w:sz="8" w:space="0" w:color="FFFFFF"/>
              <w:right w:val="single" w:sz="8" w:space="0" w:color="FFFFFF"/>
            </w:tcBorders>
            <w:shd w:val="clear" w:color="000000" w:fill="D0CECE"/>
            <w:vAlign w:val="center"/>
            <w:hideMark/>
          </w:tcPr>
          <w:p w14:paraId="0C88589F"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317</w:t>
            </w:r>
          </w:p>
        </w:tc>
        <w:tc>
          <w:tcPr>
            <w:tcW w:w="1378" w:type="dxa"/>
            <w:tcBorders>
              <w:top w:val="nil"/>
              <w:left w:val="nil"/>
              <w:bottom w:val="single" w:sz="8" w:space="0" w:color="FFFFFF"/>
              <w:right w:val="single" w:sz="8" w:space="0" w:color="FFFFFF"/>
            </w:tcBorders>
            <w:shd w:val="clear" w:color="000000" w:fill="D0CECE"/>
            <w:vAlign w:val="center"/>
            <w:hideMark/>
          </w:tcPr>
          <w:p w14:paraId="65BC8FB8"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144</w:t>
            </w:r>
          </w:p>
        </w:tc>
        <w:tc>
          <w:tcPr>
            <w:tcW w:w="1378" w:type="dxa"/>
            <w:tcBorders>
              <w:top w:val="nil"/>
              <w:left w:val="nil"/>
              <w:bottom w:val="single" w:sz="8" w:space="0" w:color="FFFFFF"/>
              <w:right w:val="single" w:sz="8" w:space="0" w:color="FFFFFF"/>
            </w:tcBorders>
            <w:shd w:val="clear" w:color="000000" w:fill="D0CECE"/>
            <w:vAlign w:val="center"/>
            <w:hideMark/>
          </w:tcPr>
          <w:p w14:paraId="0DE27C62"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775</w:t>
            </w:r>
          </w:p>
        </w:tc>
      </w:tr>
      <w:tr w:rsidR="006C6326" w:rsidRPr="006C6326" w14:paraId="60899117" w14:textId="77777777" w:rsidTr="006C6326">
        <w:trPr>
          <w:trHeight w:val="324"/>
        </w:trPr>
        <w:tc>
          <w:tcPr>
            <w:tcW w:w="3645" w:type="dxa"/>
            <w:tcBorders>
              <w:top w:val="nil"/>
              <w:left w:val="single" w:sz="8" w:space="0" w:color="FFFFFF"/>
              <w:bottom w:val="single" w:sz="8" w:space="0" w:color="FFFFFF"/>
              <w:right w:val="single" w:sz="8" w:space="0" w:color="FFFFFF"/>
            </w:tcBorders>
            <w:shd w:val="clear" w:color="000000" w:fill="008C9B"/>
            <w:vAlign w:val="center"/>
            <w:hideMark/>
          </w:tcPr>
          <w:p w14:paraId="271F4C67" w14:textId="77777777" w:rsidR="006C6326" w:rsidRPr="006C6326" w:rsidRDefault="006C6326" w:rsidP="006C6326">
            <w:pPr>
              <w:spacing w:after="0"/>
              <w:rPr>
                <w:rFonts w:ascii="Calibri" w:eastAsia="Times New Roman" w:hAnsi="Calibri"/>
                <w:color w:val="FFFFFF"/>
                <w:sz w:val="20"/>
                <w:lang w:eastAsia="en-GB"/>
              </w:rPr>
            </w:pPr>
            <w:r w:rsidRPr="006C6326">
              <w:rPr>
                <w:rFonts w:ascii="Calibri" w:eastAsia="Times New Roman" w:hAnsi="Calibri"/>
                <w:color w:val="FFFFFF"/>
                <w:sz w:val="20"/>
                <w:lang w:eastAsia="en-GB"/>
              </w:rPr>
              <w:t>Ports</w:t>
            </w:r>
          </w:p>
        </w:tc>
        <w:tc>
          <w:tcPr>
            <w:tcW w:w="1333" w:type="dxa"/>
            <w:tcBorders>
              <w:top w:val="nil"/>
              <w:left w:val="nil"/>
              <w:bottom w:val="single" w:sz="8" w:space="0" w:color="FFFFFF"/>
              <w:right w:val="single" w:sz="8" w:space="0" w:color="FFFFFF"/>
            </w:tcBorders>
            <w:shd w:val="clear" w:color="000000" w:fill="E7EEEF"/>
            <w:vAlign w:val="center"/>
            <w:hideMark/>
          </w:tcPr>
          <w:p w14:paraId="76C2CFAD"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111</w:t>
            </w:r>
          </w:p>
        </w:tc>
        <w:tc>
          <w:tcPr>
            <w:tcW w:w="1378" w:type="dxa"/>
            <w:tcBorders>
              <w:top w:val="nil"/>
              <w:left w:val="nil"/>
              <w:bottom w:val="single" w:sz="8" w:space="0" w:color="FFFFFF"/>
              <w:right w:val="single" w:sz="8" w:space="0" w:color="FFFFFF"/>
            </w:tcBorders>
            <w:shd w:val="clear" w:color="000000" w:fill="E7EEEF"/>
            <w:vAlign w:val="center"/>
            <w:hideMark/>
          </w:tcPr>
          <w:p w14:paraId="2AA60BE5"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104</w:t>
            </w:r>
          </w:p>
        </w:tc>
        <w:tc>
          <w:tcPr>
            <w:tcW w:w="1378" w:type="dxa"/>
            <w:tcBorders>
              <w:top w:val="nil"/>
              <w:left w:val="nil"/>
              <w:bottom w:val="single" w:sz="8" w:space="0" w:color="FFFFFF"/>
              <w:right w:val="single" w:sz="8" w:space="0" w:color="FFFFFF"/>
            </w:tcBorders>
            <w:shd w:val="clear" w:color="000000" w:fill="E7EEEF"/>
            <w:vAlign w:val="center"/>
            <w:hideMark/>
          </w:tcPr>
          <w:p w14:paraId="3F232755"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50</w:t>
            </w:r>
          </w:p>
        </w:tc>
        <w:tc>
          <w:tcPr>
            <w:tcW w:w="1378" w:type="dxa"/>
            <w:tcBorders>
              <w:top w:val="nil"/>
              <w:left w:val="nil"/>
              <w:bottom w:val="single" w:sz="8" w:space="0" w:color="FFFFFF"/>
              <w:right w:val="single" w:sz="8" w:space="0" w:color="FFFFFF"/>
            </w:tcBorders>
            <w:shd w:val="clear" w:color="000000" w:fill="E7EEEF"/>
            <w:vAlign w:val="center"/>
            <w:hideMark/>
          </w:tcPr>
          <w:p w14:paraId="42A8CB3C"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265</w:t>
            </w:r>
          </w:p>
        </w:tc>
      </w:tr>
      <w:tr w:rsidR="006C6326" w:rsidRPr="006C6326" w14:paraId="7656A2BB" w14:textId="77777777" w:rsidTr="006C6326">
        <w:trPr>
          <w:trHeight w:val="324"/>
        </w:trPr>
        <w:tc>
          <w:tcPr>
            <w:tcW w:w="3645" w:type="dxa"/>
            <w:tcBorders>
              <w:top w:val="nil"/>
              <w:left w:val="single" w:sz="8" w:space="0" w:color="FFFFFF"/>
              <w:bottom w:val="single" w:sz="8" w:space="0" w:color="FFFFFF"/>
              <w:right w:val="single" w:sz="8" w:space="0" w:color="FFFFFF"/>
            </w:tcBorders>
            <w:shd w:val="clear" w:color="000000" w:fill="008C9B"/>
            <w:vAlign w:val="center"/>
            <w:hideMark/>
          </w:tcPr>
          <w:p w14:paraId="18900676" w14:textId="77777777" w:rsidR="006C6326" w:rsidRPr="006C6326" w:rsidRDefault="006C6326" w:rsidP="006C6326">
            <w:pPr>
              <w:spacing w:after="0"/>
              <w:rPr>
                <w:rFonts w:ascii="Calibri" w:eastAsia="Times New Roman" w:hAnsi="Calibri"/>
                <w:color w:val="FFFFFF"/>
                <w:sz w:val="20"/>
                <w:lang w:eastAsia="en-GB"/>
              </w:rPr>
            </w:pPr>
            <w:r w:rsidRPr="006C6326">
              <w:rPr>
                <w:rFonts w:ascii="Calibri" w:eastAsia="Times New Roman" w:hAnsi="Calibri"/>
                <w:color w:val="FFFFFF"/>
                <w:sz w:val="20"/>
                <w:lang w:eastAsia="en-GB"/>
              </w:rPr>
              <w:t>Leisure Marine</w:t>
            </w:r>
          </w:p>
        </w:tc>
        <w:tc>
          <w:tcPr>
            <w:tcW w:w="1333" w:type="dxa"/>
            <w:tcBorders>
              <w:top w:val="nil"/>
              <w:left w:val="nil"/>
              <w:bottom w:val="single" w:sz="8" w:space="0" w:color="FFFFFF"/>
              <w:right w:val="single" w:sz="8" w:space="0" w:color="FFFFFF"/>
            </w:tcBorders>
            <w:shd w:val="clear" w:color="000000" w:fill="D0CECE"/>
            <w:vAlign w:val="center"/>
            <w:hideMark/>
          </w:tcPr>
          <w:p w14:paraId="68548DF1"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10</w:t>
            </w:r>
          </w:p>
        </w:tc>
        <w:tc>
          <w:tcPr>
            <w:tcW w:w="1378" w:type="dxa"/>
            <w:tcBorders>
              <w:top w:val="nil"/>
              <w:left w:val="nil"/>
              <w:bottom w:val="single" w:sz="8" w:space="0" w:color="FFFFFF"/>
              <w:right w:val="single" w:sz="8" w:space="0" w:color="FFFFFF"/>
            </w:tcBorders>
            <w:shd w:val="clear" w:color="000000" w:fill="D0CECE"/>
            <w:vAlign w:val="center"/>
            <w:hideMark/>
          </w:tcPr>
          <w:p w14:paraId="0ED655C8"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7</w:t>
            </w:r>
          </w:p>
        </w:tc>
        <w:tc>
          <w:tcPr>
            <w:tcW w:w="1378" w:type="dxa"/>
            <w:tcBorders>
              <w:top w:val="nil"/>
              <w:left w:val="nil"/>
              <w:bottom w:val="single" w:sz="8" w:space="0" w:color="FFFFFF"/>
              <w:right w:val="single" w:sz="8" w:space="0" w:color="FFFFFF"/>
            </w:tcBorders>
            <w:shd w:val="clear" w:color="000000" w:fill="D0CECE"/>
            <w:vAlign w:val="center"/>
            <w:hideMark/>
          </w:tcPr>
          <w:p w14:paraId="4FA59D77"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4</w:t>
            </w:r>
          </w:p>
        </w:tc>
        <w:tc>
          <w:tcPr>
            <w:tcW w:w="1378" w:type="dxa"/>
            <w:tcBorders>
              <w:top w:val="nil"/>
              <w:left w:val="nil"/>
              <w:bottom w:val="single" w:sz="8" w:space="0" w:color="FFFFFF"/>
              <w:right w:val="single" w:sz="8" w:space="0" w:color="FFFFFF"/>
            </w:tcBorders>
            <w:shd w:val="clear" w:color="000000" w:fill="D0CECE"/>
            <w:vAlign w:val="center"/>
            <w:hideMark/>
          </w:tcPr>
          <w:p w14:paraId="1F96C6D5"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22</w:t>
            </w:r>
          </w:p>
        </w:tc>
      </w:tr>
      <w:tr w:rsidR="006C6326" w:rsidRPr="006C6326" w14:paraId="32B8E5AD" w14:textId="77777777" w:rsidTr="006C6326">
        <w:trPr>
          <w:trHeight w:val="324"/>
        </w:trPr>
        <w:tc>
          <w:tcPr>
            <w:tcW w:w="3645" w:type="dxa"/>
            <w:tcBorders>
              <w:top w:val="nil"/>
              <w:left w:val="single" w:sz="8" w:space="0" w:color="FFFFFF"/>
              <w:bottom w:val="single" w:sz="8" w:space="0" w:color="FFFFFF"/>
              <w:right w:val="single" w:sz="8" w:space="0" w:color="FFFFFF"/>
            </w:tcBorders>
            <w:shd w:val="clear" w:color="000000" w:fill="008C9B"/>
            <w:vAlign w:val="center"/>
            <w:hideMark/>
          </w:tcPr>
          <w:p w14:paraId="74ADD977" w14:textId="77777777" w:rsidR="006C6326" w:rsidRPr="006C6326" w:rsidRDefault="006C6326" w:rsidP="006C6326">
            <w:pPr>
              <w:spacing w:after="0"/>
              <w:rPr>
                <w:rFonts w:ascii="Calibri" w:eastAsia="Times New Roman" w:hAnsi="Calibri"/>
                <w:color w:val="FFFFFF"/>
                <w:sz w:val="20"/>
                <w:lang w:eastAsia="en-GB"/>
              </w:rPr>
            </w:pPr>
            <w:r w:rsidRPr="006C6326">
              <w:rPr>
                <w:rFonts w:ascii="Calibri" w:eastAsia="Times New Roman" w:hAnsi="Calibri"/>
                <w:color w:val="FFFFFF"/>
                <w:sz w:val="20"/>
                <w:lang w:eastAsia="en-GB"/>
              </w:rPr>
              <w:t>Marine Offshore Oil &amp; Gas</w:t>
            </w:r>
          </w:p>
        </w:tc>
        <w:tc>
          <w:tcPr>
            <w:tcW w:w="1333" w:type="dxa"/>
            <w:tcBorders>
              <w:top w:val="nil"/>
              <w:left w:val="nil"/>
              <w:bottom w:val="single" w:sz="8" w:space="0" w:color="FFFFFF"/>
              <w:right w:val="single" w:sz="8" w:space="0" w:color="FFFFFF"/>
            </w:tcBorders>
            <w:shd w:val="clear" w:color="000000" w:fill="E7EEEF"/>
            <w:vAlign w:val="center"/>
            <w:hideMark/>
          </w:tcPr>
          <w:p w14:paraId="4C7C9C0C"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1,270</w:t>
            </w:r>
          </w:p>
        </w:tc>
        <w:tc>
          <w:tcPr>
            <w:tcW w:w="1378" w:type="dxa"/>
            <w:tcBorders>
              <w:top w:val="nil"/>
              <w:left w:val="nil"/>
              <w:bottom w:val="single" w:sz="8" w:space="0" w:color="FFFFFF"/>
              <w:right w:val="single" w:sz="8" w:space="0" w:color="FFFFFF"/>
            </w:tcBorders>
            <w:shd w:val="clear" w:color="000000" w:fill="E7EEEF"/>
            <w:vAlign w:val="center"/>
            <w:hideMark/>
          </w:tcPr>
          <w:p w14:paraId="637B4EE6"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752</w:t>
            </w:r>
          </w:p>
        </w:tc>
        <w:tc>
          <w:tcPr>
            <w:tcW w:w="1378" w:type="dxa"/>
            <w:tcBorders>
              <w:top w:val="nil"/>
              <w:left w:val="nil"/>
              <w:bottom w:val="single" w:sz="8" w:space="0" w:color="FFFFFF"/>
              <w:right w:val="single" w:sz="8" w:space="0" w:color="FFFFFF"/>
            </w:tcBorders>
            <w:shd w:val="clear" w:color="000000" w:fill="E7EEEF"/>
            <w:vAlign w:val="center"/>
            <w:hideMark/>
          </w:tcPr>
          <w:p w14:paraId="0C8EC5E5"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643</w:t>
            </w:r>
          </w:p>
        </w:tc>
        <w:tc>
          <w:tcPr>
            <w:tcW w:w="1378" w:type="dxa"/>
            <w:tcBorders>
              <w:top w:val="nil"/>
              <w:left w:val="nil"/>
              <w:bottom w:val="single" w:sz="8" w:space="0" w:color="FFFFFF"/>
              <w:right w:val="single" w:sz="8" w:space="0" w:color="FFFFFF"/>
            </w:tcBorders>
            <w:shd w:val="clear" w:color="000000" w:fill="E7EEEF"/>
            <w:vAlign w:val="center"/>
            <w:hideMark/>
          </w:tcPr>
          <w:p w14:paraId="5C4A8ABA"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2,664</w:t>
            </w:r>
          </w:p>
        </w:tc>
      </w:tr>
      <w:tr w:rsidR="006C6326" w:rsidRPr="006C6326" w14:paraId="60663B24" w14:textId="77777777" w:rsidTr="006C6326">
        <w:trPr>
          <w:trHeight w:val="324"/>
        </w:trPr>
        <w:tc>
          <w:tcPr>
            <w:tcW w:w="3645" w:type="dxa"/>
            <w:tcBorders>
              <w:top w:val="nil"/>
              <w:left w:val="single" w:sz="8" w:space="0" w:color="FFFFFF"/>
              <w:bottom w:val="single" w:sz="8" w:space="0" w:color="FFFFFF"/>
              <w:right w:val="single" w:sz="8" w:space="0" w:color="FFFFFF"/>
            </w:tcBorders>
            <w:shd w:val="clear" w:color="000000" w:fill="008C9B"/>
            <w:vAlign w:val="center"/>
            <w:hideMark/>
          </w:tcPr>
          <w:p w14:paraId="7A4FEB18" w14:textId="77777777" w:rsidR="006C6326" w:rsidRPr="006C6326" w:rsidRDefault="006C6326" w:rsidP="006C6326">
            <w:pPr>
              <w:spacing w:after="0"/>
              <w:rPr>
                <w:rFonts w:ascii="Calibri" w:eastAsia="Times New Roman" w:hAnsi="Calibri"/>
                <w:color w:val="FFFFFF"/>
                <w:sz w:val="20"/>
                <w:lang w:eastAsia="en-GB"/>
              </w:rPr>
            </w:pPr>
            <w:r w:rsidRPr="006C6326">
              <w:rPr>
                <w:rFonts w:ascii="Calibri" w:eastAsia="Times New Roman" w:hAnsi="Calibri"/>
                <w:color w:val="FFFFFF"/>
                <w:sz w:val="20"/>
                <w:lang w:eastAsia="en-GB"/>
              </w:rPr>
              <w:t>Other Marine Engineering</w:t>
            </w:r>
          </w:p>
        </w:tc>
        <w:tc>
          <w:tcPr>
            <w:tcW w:w="1333" w:type="dxa"/>
            <w:tcBorders>
              <w:top w:val="nil"/>
              <w:left w:val="nil"/>
              <w:bottom w:val="single" w:sz="8" w:space="0" w:color="FFFFFF"/>
              <w:right w:val="single" w:sz="8" w:space="0" w:color="FFFFFF"/>
            </w:tcBorders>
            <w:shd w:val="clear" w:color="000000" w:fill="D0CECE"/>
            <w:vAlign w:val="center"/>
            <w:hideMark/>
          </w:tcPr>
          <w:p w14:paraId="66FB0256"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571</w:t>
            </w:r>
          </w:p>
        </w:tc>
        <w:tc>
          <w:tcPr>
            <w:tcW w:w="1378" w:type="dxa"/>
            <w:tcBorders>
              <w:top w:val="nil"/>
              <w:left w:val="nil"/>
              <w:bottom w:val="single" w:sz="8" w:space="0" w:color="FFFFFF"/>
              <w:right w:val="single" w:sz="8" w:space="0" w:color="FFFFFF"/>
            </w:tcBorders>
            <w:shd w:val="clear" w:color="000000" w:fill="D0CECE"/>
            <w:vAlign w:val="center"/>
            <w:hideMark/>
          </w:tcPr>
          <w:p w14:paraId="46957894"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477</w:t>
            </w:r>
          </w:p>
        </w:tc>
        <w:tc>
          <w:tcPr>
            <w:tcW w:w="1378" w:type="dxa"/>
            <w:tcBorders>
              <w:top w:val="nil"/>
              <w:left w:val="nil"/>
              <w:bottom w:val="single" w:sz="8" w:space="0" w:color="FFFFFF"/>
              <w:right w:val="single" w:sz="8" w:space="0" w:color="FFFFFF"/>
            </w:tcBorders>
            <w:shd w:val="clear" w:color="000000" w:fill="D0CECE"/>
            <w:vAlign w:val="center"/>
            <w:hideMark/>
          </w:tcPr>
          <w:p w14:paraId="6F3FAFB6"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231</w:t>
            </w:r>
          </w:p>
        </w:tc>
        <w:tc>
          <w:tcPr>
            <w:tcW w:w="1378" w:type="dxa"/>
            <w:tcBorders>
              <w:top w:val="nil"/>
              <w:left w:val="nil"/>
              <w:bottom w:val="single" w:sz="8" w:space="0" w:color="FFFFFF"/>
              <w:right w:val="single" w:sz="8" w:space="0" w:color="FFFFFF"/>
            </w:tcBorders>
            <w:shd w:val="clear" w:color="000000" w:fill="D0CECE"/>
            <w:vAlign w:val="center"/>
            <w:hideMark/>
          </w:tcPr>
          <w:p w14:paraId="7944D32C"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1,279</w:t>
            </w:r>
          </w:p>
        </w:tc>
      </w:tr>
      <w:tr w:rsidR="006C6326" w:rsidRPr="006C6326" w14:paraId="0F1BEE81" w14:textId="77777777" w:rsidTr="006C6326">
        <w:trPr>
          <w:trHeight w:val="324"/>
        </w:trPr>
        <w:tc>
          <w:tcPr>
            <w:tcW w:w="3645" w:type="dxa"/>
            <w:tcBorders>
              <w:top w:val="nil"/>
              <w:left w:val="single" w:sz="8" w:space="0" w:color="FFFFFF"/>
              <w:bottom w:val="single" w:sz="8" w:space="0" w:color="FFFFFF"/>
              <w:right w:val="single" w:sz="8" w:space="0" w:color="FFFFFF"/>
            </w:tcBorders>
            <w:shd w:val="clear" w:color="000000" w:fill="008C9B"/>
            <w:vAlign w:val="center"/>
            <w:hideMark/>
          </w:tcPr>
          <w:p w14:paraId="4CF7AD2B" w14:textId="77777777" w:rsidR="006C6326" w:rsidRPr="006C6326" w:rsidRDefault="006C6326" w:rsidP="006C6326">
            <w:pPr>
              <w:spacing w:after="0"/>
              <w:rPr>
                <w:rFonts w:ascii="Calibri" w:eastAsia="Times New Roman" w:hAnsi="Calibri"/>
                <w:color w:val="FFFFFF"/>
                <w:sz w:val="20"/>
                <w:lang w:eastAsia="en-GB"/>
              </w:rPr>
            </w:pPr>
            <w:r w:rsidRPr="006C6326">
              <w:rPr>
                <w:rFonts w:ascii="Calibri" w:eastAsia="Times New Roman" w:hAnsi="Calibri"/>
                <w:color w:val="FFFFFF"/>
                <w:sz w:val="20"/>
                <w:lang w:eastAsia="en-GB"/>
              </w:rPr>
              <w:t>Maritime Business Services</w:t>
            </w:r>
          </w:p>
        </w:tc>
        <w:tc>
          <w:tcPr>
            <w:tcW w:w="1333" w:type="dxa"/>
            <w:tcBorders>
              <w:top w:val="nil"/>
              <w:left w:val="nil"/>
              <w:bottom w:val="single" w:sz="8" w:space="0" w:color="FFFFFF"/>
              <w:right w:val="single" w:sz="8" w:space="0" w:color="FFFFFF"/>
            </w:tcBorders>
            <w:shd w:val="clear" w:color="000000" w:fill="E7EEEF"/>
            <w:vAlign w:val="center"/>
            <w:hideMark/>
          </w:tcPr>
          <w:p w14:paraId="54BB2356"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23</w:t>
            </w:r>
          </w:p>
        </w:tc>
        <w:tc>
          <w:tcPr>
            <w:tcW w:w="1378" w:type="dxa"/>
            <w:tcBorders>
              <w:top w:val="nil"/>
              <w:left w:val="nil"/>
              <w:bottom w:val="single" w:sz="8" w:space="0" w:color="FFFFFF"/>
              <w:right w:val="single" w:sz="8" w:space="0" w:color="FFFFFF"/>
            </w:tcBorders>
            <w:shd w:val="clear" w:color="000000" w:fill="E7EEEF"/>
            <w:vAlign w:val="center"/>
            <w:hideMark/>
          </w:tcPr>
          <w:p w14:paraId="2A47767B"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31</w:t>
            </w:r>
          </w:p>
        </w:tc>
        <w:tc>
          <w:tcPr>
            <w:tcW w:w="1378" w:type="dxa"/>
            <w:tcBorders>
              <w:top w:val="nil"/>
              <w:left w:val="nil"/>
              <w:bottom w:val="single" w:sz="8" w:space="0" w:color="FFFFFF"/>
              <w:right w:val="single" w:sz="8" w:space="0" w:color="FFFFFF"/>
            </w:tcBorders>
            <w:shd w:val="clear" w:color="000000" w:fill="E7EEEF"/>
            <w:vAlign w:val="center"/>
            <w:hideMark/>
          </w:tcPr>
          <w:p w14:paraId="1299172A"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13</w:t>
            </w:r>
          </w:p>
        </w:tc>
        <w:tc>
          <w:tcPr>
            <w:tcW w:w="1378" w:type="dxa"/>
            <w:tcBorders>
              <w:top w:val="nil"/>
              <w:left w:val="nil"/>
              <w:bottom w:val="single" w:sz="8" w:space="0" w:color="FFFFFF"/>
              <w:right w:val="single" w:sz="8" w:space="0" w:color="FFFFFF"/>
            </w:tcBorders>
            <w:shd w:val="clear" w:color="000000" w:fill="E7EEEF"/>
            <w:vAlign w:val="center"/>
            <w:hideMark/>
          </w:tcPr>
          <w:p w14:paraId="161A6EDE" w14:textId="77777777" w:rsidR="006C6326" w:rsidRPr="006C6326" w:rsidRDefault="006C6326" w:rsidP="006C6326">
            <w:pPr>
              <w:spacing w:after="0"/>
              <w:jc w:val="center"/>
              <w:rPr>
                <w:rFonts w:ascii="Calibri" w:eastAsia="Times New Roman" w:hAnsi="Calibri"/>
                <w:color w:val="000000"/>
                <w:sz w:val="20"/>
                <w:lang w:eastAsia="en-GB"/>
              </w:rPr>
            </w:pPr>
            <w:r w:rsidRPr="006C6326">
              <w:rPr>
                <w:rFonts w:ascii="Calibri" w:eastAsia="Times New Roman" w:hAnsi="Calibri"/>
                <w:color w:val="000000"/>
                <w:sz w:val="20"/>
                <w:lang w:eastAsia="en-GB"/>
              </w:rPr>
              <w:t>68</w:t>
            </w:r>
          </w:p>
        </w:tc>
      </w:tr>
    </w:tbl>
    <w:bookmarkEnd w:id="114"/>
    <w:p w14:paraId="04C74474" w14:textId="5CCCE2E0" w:rsidR="001A68E2" w:rsidRDefault="006C6326" w:rsidP="006C6326">
      <w:pPr>
        <w:spacing w:before="60" w:after="0"/>
        <w:ind w:left="5040" w:firstLine="720"/>
        <w:rPr>
          <w:i/>
        </w:rPr>
      </w:pPr>
      <w:r>
        <w:rPr>
          <w:rStyle w:val="SubtleEmphasis"/>
          <w:sz w:val="18"/>
        </w:rPr>
        <w:t xml:space="preserve">                     </w:t>
      </w:r>
      <w:r w:rsidR="00291A61" w:rsidRPr="00095712">
        <w:rPr>
          <w:rStyle w:val="SubtleEmphasis"/>
          <w:sz w:val="18"/>
        </w:rPr>
        <w:t>Source: ONS, FAME, Cebr analysis</w:t>
      </w:r>
    </w:p>
    <w:p w14:paraId="3B288DFB" w14:textId="77777777" w:rsidR="006C6326" w:rsidRPr="006C6326" w:rsidRDefault="006C6326" w:rsidP="006C6326">
      <w:pPr>
        <w:spacing w:before="60" w:after="0"/>
        <w:ind w:left="5040" w:firstLine="720"/>
        <w:rPr>
          <w:i/>
        </w:rPr>
      </w:pPr>
    </w:p>
    <w:p w14:paraId="3A91FF21" w14:textId="70F183B4" w:rsidR="00E701C0" w:rsidRDefault="003A4955" w:rsidP="00037501">
      <w:pPr>
        <w:spacing w:after="120"/>
      </w:pPr>
      <w:r>
        <w:fldChar w:fldCharType="begin"/>
      </w:r>
      <w:r>
        <w:instrText xml:space="preserve"> REF _Ref16686175 \h </w:instrText>
      </w:r>
      <w:r>
        <w:fldChar w:fldCharType="separate"/>
      </w:r>
      <w:r>
        <w:t xml:space="preserve">Table </w:t>
      </w:r>
      <w:r>
        <w:rPr>
          <w:noProof/>
        </w:rPr>
        <w:t>17</w:t>
      </w:r>
      <w:r>
        <w:fldChar w:fldCharType="end"/>
      </w:r>
      <w:r>
        <w:t xml:space="preserve"> </w:t>
      </w:r>
      <w:r w:rsidR="00000591">
        <w:t xml:space="preserve">details the </w:t>
      </w:r>
      <w:r w:rsidR="00650683">
        <w:t xml:space="preserve">direct and </w:t>
      </w:r>
      <w:r w:rsidR="00CC6B0B">
        <w:t>aggregate impact</w:t>
      </w:r>
      <w:r w:rsidR="00000591">
        <w:t xml:space="preserve"> through the compensation of employees in each year since 2010</w:t>
      </w:r>
      <w:r w:rsidR="00650683">
        <w:t>. The aggregate impact in 2017 was £</w:t>
      </w:r>
      <w:r w:rsidR="009B2AC2">
        <w:t>5.1</w:t>
      </w:r>
      <w:r w:rsidR="00650683">
        <w:t xml:space="preserve"> billion compared to £</w:t>
      </w:r>
      <w:r w:rsidR="009B2AC2">
        <w:t>4.6</w:t>
      </w:r>
      <w:r w:rsidR="00650683">
        <w:t xml:space="preserve"> billion in 2010. The composite multiplier for employee compensation was 2.</w:t>
      </w:r>
      <w:r w:rsidR="009B2AC2">
        <w:t>21</w:t>
      </w:r>
      <w:r w:rsidR="00650683">
        <w:t xml:space="preserve"> in 2017 compared to 2.</w:t>
      </w:r>
      <w:r w:rsidR="009B2AC2">
        <w:t>18</w:t>
      </w:r>
      <w:r w:rsidR="00650683">
        <w:t xml:space="preserve"> in 2010. </w:t>
      </w:r>
    </w:p>
    <w:p w14:paraId="0A83DBC3" w14:textId="777138D7" w:rsidR="00AD1337" w:rsidRDefault="003A4955" w:rsidP="003A4955">
      <w:pPr>
        <w:pStyle w:val="Caption"/>
      </w:pPr>
      <w:bookmarkStart w:id="116" w:name="_Ref16686175"/>
      <w:r>
        <w:t xml:space="preserve">Table </w:t>
      </w:r>
      <w:r w:rsidR="00BF1DE1">
        <w:rPr>
          <w:noProof/>
        </w:rPr>
        <w:fldChar w:fldCharType="begin"/>
      </w:r>
      <w:r w:rsidR="00BF1DE1">
        <w:rPr>
          <w:noProof/>
        </w:rPr>
        <w:instrText xml:space="preserve"> SEQ Table \* ARABIC </w:instrText>
      </w:r>
      <w:r w:rsidR="00BF1DE1">
        <w:rPr>
          <w:noProof/>
        </w:rPr>
        <w:fldChar w:fldCharType="separate"/>
      </w:r>
      <w:r>
        <w:rPr>
          <w:noProof/>
        </w:rPr>
        <w:t>17</w:t>
      </w:r>
      <w:r w:rsidR="00BF1DE1">
        <w:rPr>
          <w:noProof/>
        </w:rPr>
        <w:fldChar w:fldCharType="end"/>
      </w:r>
      <w:bookmarkEnd w:id="116"/>
      <w:r w:rsidR="00AD1337">
        <w:t xml:space="preserve">: </w:t>
      </w:r>
      <w:r w:rsidR="00D46401">
        <w:t xml:space="preserve">Direct and </w:t>
      </w:r>
      <w:r w:rsidR="00CC6B0B">
        <w:t>Aggregate impact</w:t>
      </w:r>
      <w:r w:rsidR="00D46401" w:rsidRPr="00380889">
        <w:t xml:space="preserve"> </w:t>
      </w:r>
      <w:r w:rsidR="009D52CB">
        <w:t xml:space="preserve">through the compensation of employees </w:t>
      </w:r>
      <w:r w:rsidR="00D46401" w:rsidRPr="00380889">
        <w:t xml:space="preserve">of the Maritime </w:t>
      </w:r>
      <w:r w:rsidR="00650683">
        <w:t>Sector in Scotland, 2010 to 2017</w:t>
      </w:r>
      <w:r w:rsidR="001A68E2">
        <w:t>, £ million</w:t>
      </w:r>
    </w:p>
    <w:tbl>
      <w:tblPr>
        <w:tblW w:w="9463" w:type="dxa"/>
        <w:tblLook w:val="04A0" w:firstRow="1" w:lastRow="0" w:firstColumn="1" w:lastColumn="0" w:noHBand="0" w:noVBand="1"/>
      </w:tblPr>
      <w:tblGrid>
        <w:gridCol w:w="865"/>
        <w:gridCol w:w="2619"/>
        <w:gridCol w:w="3159"/>
        <w:gridCol w:w="2820"/>
      </w:tblGrid>
      <w:tr w:rsidR="009B2AC2" w:rsidRPr="009B2AC2" w14:paraId="6FA1F3B8" w14:textId="77777777" w:rsidTr="009B2AC2">
        <w:trPr>
          <w:trHeight w:val="522"/>
        </w:trPr>
        <w:tc>
          <w:tcPr>
            <w:tcW w:w="865" w:type="dxa"/>
            <w:tcBorders>
              <w:top w:val="nil"/>
              <w:left w:val="single" w:sz="8" w:space="0" w:color="FFFFFF"/>
              <w:bottom w:val="single" w:sz="8" w:space="0" w:color="FFFFFF"/>
              <w:right w:val="single" w:sz="8" w:space="0" w:color="FFFFFF"/>
            </w:tcBorders>
            <w:shd w:val="clear" w:color="000000" w:fill="008C9B"/>
            <w:vAlign w:val="center"/>
            <w:hideMark/>
          </w:tcPr>
          <w:p w14:paraId="0FA2AB7A" w14:textId="77777777" w:rsidR="009B2AC2" w:rsidRPr="009B2AC2" w:rsidRDefault="009B2AC2" w:rsidP="009B2AC2">
            <w:pPr>
              <w:spacing w:after="0"/>
              <w:rPr>
                <w:rFonts w:ascii="Calibri" w:eastAsia="Times New Roman" w:hAnsi="Calibri"/>
                <w:color w:val="FFFFFF"/>
                <w:sz w:val="20"/>
                <w:lang w:eastAsia="en-GB"/>
              </w:rPr>
            </w:pPr>
            <w:r w:rsidRPr="009B2AC2">
              <w:rPr>
                <w:rFonts w:ascii="Calibri" w:eastAsia="Times New Roman" w:hAnsi="Calibri"/>
                <w:color w:val="FFFFFF"/>
                <w:sz w:val="20"/>
                <w:lang w:eastAsia="en-GB"/>
              </w:rPr>
              <w:t>Year</w:t>
            </w:r>
          </w:p>
        </w:tc>
        <w:tc>
          <w:tcPr>
            <w:tcW w:w="2619" w:type="dxa"/>
            <w:tcBorders>
              <w:top w:val="single" w:sz="8" w:space="0" w:color="FFFFFF"/>
              <w:left w:val="nil"/>
              <w:bottom w:val="single" w:sz="12" w:space="0" w:color="FFFFFF"/>
              <w:right w:val="single" w:sz="8" w:space="0" w:color="FFFFFF"/>
            </w:tcBorders>
            <w:shd w:val="clear" w:color="000000" w:fill="008C9B"/>
            <w:vAlign w:val="center"/>
            <w:hideMark/>
          </w:tcPr>
          <w:p w14:paraId="6E992775" w14:textId="77777777" w:rsidR="009B2AC2" w:rsidRPr="009B2AC2" w:rsidRDefault="009B2AC2" w:rsidP="009B2AC2">
            <w:pPr>
              <w:spacing w:after="0"/>
              <w:jc w:val="center"/>
              <w:rPr>
                <w:rFonts w:ascii="Calibri" w:eastAsia="Times New Roman" w:hAnsi="Calibri"/>
                <w:b/>
                <w:bCs/>
                <w:color w:val="FFFFFF"/>
                <w:sz w:val="20"/>
                <w:lang w:eastAsia="en-GB"/>
              </w:rPr>
            </w:pPr>
            <w:r w:rsidRPr="009B2AC2">
              <w:rPr>
                <w:rFonts w:ascii="Calibri" w:eastAsia="Times New Roman" w:hAnsi="Calibri"/>
                <w:b/>
                <w:bCs/>
                <w:color w:val="FFFFFF"/>
                <w:sz w:val="20"/>
                <w:lang w:eastAsia="en-GB"/>
              </w:rPr>
              <w:t>Direct Impact</w:t>
            </w:r>
          </w:p>
        </w:tc>
        <w:tc>
          <w:tcPr>
            <w:tcW w:w="3159" w:type="dxa"/>
            <w:tcBorders>
              <w:top w:val="single" w:sz="8" w:space="0" w:color="FFFFFF"/>
              <w:left w:val="nil"/>
              <w:bottom w:val="single" w:sz="12" w:space="0" w:color="FFFFFF"/>
              <w:right w:val="single" w:sz="8" w:space="0" w:color="FFFFFF"/>
            </w:tcBorders>
            <w:shd w:val="clear" w:color="000000" w:fill="008C9B"/>
            <w:vAlign w:val="center"/>
            <w:hideMark/>
          </w:tcPr>
          <w:p w14:paraId="048B9FEE" w14:textId="77777777" w:rsidR="009B2AC2" w:rsidRPr="009B2AC2" w:rsidRDefault="009B2AC2" w:rsidP="009B2AC2">
            <w:pPr>
              <w:spacing w:after="0"/>
              <w:jc w:val="center"/>
              <w:rPr>
                <w:rFonts w:ascii="Calibri" w:eastAsia="Times New Roman" w:hAnsi="Calibri"/>
                <w:b/>
                <w:bCs/>
                <w:color w:val="FFFFFF"/>
                <w:sz w:val="20"/>
                <w:lang w:eastAsia="en-GB"/>
              </w:rPr>
            </w:pPr>
            <w:r w:rsidRPr="009B2AC2">
              <w:rPr>
                <w:rFonts w:ascii="Calibri" w:eastAsia="Times New Roman" w:hAnsi="Calibri"/>
                <w:b/>
                <w:bCs/>
                <w:color w:val="FFFFFF"/>
                <w:sz w:val="20"/>
                <w:lang w:eastAsia="en-GB"/>
              </w:rPr>
              <w:t>Composite Employee Compensation multiplier</w:t>
            </w:r>
          </w:p>
        </w:tc>
        <w:tc>
          <w:tcPr>
            <w:tcW w:w="2820" w:type="dxa"/>
            <w:tcBorders>
              <w:top w:val="single" w:sz="8" w:space="0" w:color="FFFFFF"/>
              <w:left w:val="nil"/>
              <w:bottom w:val="single" w:sz="12" w:space="0" w:color="FFFFFF"/>
              <w:right w:val="single" w:sz="8" w:space="0" w:color="FFFFFF"/>
            </w:tcBorders>
            <w:shd w:val="clear" w:color="000000" w:fill="008C9B"/>
            <w:vAlign w:val="center"/>
            <w:hideMark/>
          </w:tcPr>
          <w:p w14:paraId="7B831AA4" w14:textId="77777777" w:rsidR="009B2AC2" w:rsidRPr="009B2AC2" w:rsidRDefault="009B2AC2" w:rsidP="009B2AC2">
            <w:pPr>
              <w:spacing w:after="0"/>
              <w:jc w:val="center"/>
              <w:rPr>
                <w:rFonts w:ascii="Calibri" w:eastAsia="Times New Roman" w:hAnsi="Calibri"/>
                <w:b/>
                <w:bCs/>
                <w:color w:val="FFFFFF"/>
                <w:sz w:val="20"/>
                <w:lang w:eastAsia="en-GB"/>
              </w:rPr>
            </w:pPr>
            <w:r w:rsidRPr="009B2AC2">
              <w:rPr>
                <w:rFonts w:ascii="Calibri" w:eastAsia="Times New Roman" w:hAnsi="Calibri"/>
                <w:b/>
                <w:bCs/>
                <w:color w:val="FFFFFF"/>
                <w:sz w:val="20"/>
                <w:lang w:eastAsia="en-GB"/>
              </w:rPr>
              <w:t>Aggregate impact</w:t>
            </w:r>
          </w:p>
        </w:tc>
      </w:tr>
      <w:tr w:rsidR="009B2AC2" w:rsidRPr="009B2AC2" w14:paraId="50D348A7" w14:textId="77777777" w:rsidTr="00B277F2">
        <w:trPr>
          <w:trHeight w:val="328"/>
        </w:trPr>
        <w:tc>
          <w:tcPr>
            <w:tcW w:w="865" w:type="dxa"/>
            <w:tcBorders>
              <w:top w:val="nil"/>
              <w:left w:val="single" w:sz="8" w:space="0" w:color="FFFFFF"/>
              <w:bottom w:val="single" w:sz="8" w:space="0" w:color="FFFFFF"/>
              <w:right w:val="single" w:sz="8" w:space="0" w:color="FFFFFF"/>
            </w:tcBorders>
            <w:shd w:val="clear" w:color="000000" w:fill="008C9B"/>
            <w:vAlign w:val="center"/>
            <w:hideMark/>
          </w:tcPr>
          <w:p w14:paraId="330FDAA6" w14:textId="77777777" w:rsidR="009B2AC2" w:rsidRPr="009B2AC2" w:rsidRDefault="009B2AC2" w:rsidP="009B2AC2">
            <w:pPr>
              <w:spacing w:after="0"/>
              <w:rPr>
                <w:rFonts w:ascii="Calibri" w:eastAsia="Times New Roman" w:hAnsi="Calibri"/>
                <w:color w:val="FFFFFF"/>
                <w:sz w:val="20"/>
                <w:lang w:eastAsia="en-GB"/>
              </w:rPr>
            </w:pPr>
            <w:r w:rsidRPr="009B2AC2">
              <w:rPr>
                <w:rFonts w:ascii="Calibri" w:eastAsia="Times New Roman" w:hAnsi="Calibri"/>
                <w:color w:val="FFFFFF"/>
                <w:sz w:val="20"/>
                <w:lang w:eastAsia="en-GB"/>
              </w:rPr>
              <w:t>2010</w:t>
            </w:r>
          </w:p>
        </w:tc>
        <w:tc>
          <w:tcPr>
            <w:tcW w:w="2619" w:type="dxa"/>
            <w:tcBorders>
              <w:top w:val="nil"/>
              <w:left w:val="nil"/>
              <w:bottom w:val="single" w:sz="8" w:space="0" w:color="FFFFFF"/>
              <w:right w:val="single" w:sz="8" w:space="0" w:color="FFFFFF"/>
            </w:tcBorders>
            <w:shd w:val="clear" w:color="000000" w:fill="E7EEEF"/>
            <w:vAlign w:val="center"/>
            <w:hideMark/>
          </w:tcPr>
          <w:p w14:paraId="0243CF13"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2,115</w:t>
            </w:r>
          </w:p>
        </w:tc>
        <w:tc>
          <w:tcPr>
            <w:tcW w:w="3159" w:type="dxa"/>
            <w:tcBorders>
              <w:top w:val="nil"/>
              <w:left w:val="nil"/>
              <w:bottom w:val="single" w:sz="8" w:space="0" w:color="FFFFFF"/>
              <w:right w:val="single" w:sz="8" w:space="0" w:color="FFFFFF"/>
            </w:tcBorders>
            <w:shd w:val="clear" w:color="auto" w:fill="E7EEEF"/>
            <w:vAlign w:val="center"/>
            <w:hideMark/>
          </w:tcPr>
          <w:p w14:paraId="7E6BCB4A"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2.18</w:t>
            </w:r>
          </w:p>
        </w:tc>
        <w:tc>
          <w:tcPr>
            <w:tcW w:w="2820" w:type="dxa"/>
            <w:tcBorders>
              <w:top w:val="nil"/>
              <w:left w:val="nil"/>
              <w:bottom w:val="single" w:sz="8" w:space="0" w:color="FFFFFF"/>
              <w:right w:val="single" w:sz="8" w:space="0" w:color="FFFFFF"/>
            </w:tcBorders>
            <w:shd w:val="clear" w:color="000000" w:fill="E7EEEF"/>
            <w:vAlign w:val="center"/>
            <w:hideMark/>
          </w:tcPr>
          <w:p w14:paraId="0862C95A"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4,617</w:t>
            </w:r>
          </w:p>
        </w:tc>
      </w:tr>
      <w:tr w:rsidR="009B2AC2" w:rsidRPr="009B2AC2" w14:paraId="23B4726A" w14:textId="77777777" w:rsidTr="00B277F2">
        <w:trPr>
          <w:trHeight w:val="313"/>
        </w:trPr>
        <w:tc>
          <w:tcPr>
            <w:tcW w:w="865" w:type="dxa"/>
            <w:tcBorders>
              <w:top w:val="nil"/>
              <w:left w:val="single" w:sz="8" w:space="0" w:color="FFFFFF"/>
              <w:bottom w:val="single" w:sz="8" w:space="0" w:color="FFFFFF"/>
              <w:right w:val="single" w:sz="8" w:space="0" w:color="FFFFFF"/>
            </w:tcBorders>
            <w:shd w:val="clear" w:color="000000" w:fill="008C9B"/>
            <w:vAlign w:val="center"/>
            <w:hideMark/>
          </w:tcPr>
          <w:p w14:paraId="54970908" w14:textId="77777777" w:rsidR="009B2AC2" w:rsidRPr="009B2AC2" w:rsidRDefault="009B2AC2" w:rsidP="009B2AC2">
            <w:pPr>
              <w:spacing w:after="0"/>
              <w:rPr>
                <w:rFonts w:ascii="Calibri" w:eastAsia="Times New Roman" w:hAnsi="Calibri"/>
                <w:color w:val="FFFFFF"/>
                <w:sz w:val="20"/>
                <w:lang w:eastAsia="en-GB"/>
              </w:rPr>
            </w:pPr>
            <w:r w:rsidRPr="009B2AC2">
              <w:rPr>
                <w:rFonts w:ascii="Calibri" w:eastAsia="Times New Roman" w:hAnsi="Calibri"/>
                <w:color w:val="FFFFFF"/>
                <w:sz w:val="20"/>
                <w:lang w:eastAsia="en-GB"/>
              </w:rPr>
              <w:t>2011</w:t>
            </w:r>
          </w:p>
        </w:tc>
        <w:tc>
          <w:tcPr>
            <w:tcW w:w="2619" w:type="dxa"/>
            <w:tcBorders>
              <w:top w:val="nil"/>
              <w:left w:val="nil"/>
              <w:bottom w:val="single" w:sz="8" w:space="0" w:color="FFFFFF"/>
              <w:right w:val="single" w:sz="8" w:space="0" w:color="FFFFFF"/>
            </w:tcBorders>
            <w:shd w:val="clear" w:color="000000" w:fill="D0CECE"/>
            <w:vAlign w:val="center"/>
            <w:hideMark/>
          </w:tcPr>
          <w:p w14:paraId="414253FE"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1,807</w:t>
            </w:r>
          </w:p>
        </w:tc>
        <w:tc>
          <w:tcPr>
            <w:tcW w:w="3159" w:type="dxa"/>
            <w:tcBorders>
              <w:top w:val="nil"/>
              <w:left w:val="nil"/>
              <w:bottom w:val="single" w:sz="8" w:space="0" w:color="FFFFFF"/>
              <w:right w:val="single" w:sz="8" w:space="0" w:color="FFFFFF"/>
            </w:tcBorders>
            <w:shd w:val="clear" w:color="auto" w:fill="D0CECE"/>
            <w:vAlign w:val="center"/>
            <w:hideMark/>
          </w:tcPr>
          <w:p w14:paraId="289D1A2E"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2.19</w:t>
            </w:r>
          </w:p>
        </w:tc>
        <w:tc>
          <w:tcPr>
            <w:tcW w:w="2820" w:type="dxa"/>
            <w:tcBorders>
              <w:top w:val="nil"/>
              <w:left w:val="nil"/>
              <w:bottom w:val="single" w:sz="8" w:space="0" w:color="FFFFFF"/>
              <w:right w:val="single" w:sz="8" w:space="0" w:color="FFFFFF"/>
            </w:tcBorders>
            <w:shd w:val="clear" w:color="000000" w:fill="D0CECE"/>
            <w:vAlign w:val="center"/>
            <w:hideMark/>
          </w:tcPr>
          <w:p w14:paraId="2E02278F"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3,964</w:t>
            </w:r>
          </w:p>
        </w:tc>
      </w:tr>
      <w:tr w:rsidR="009B2AC2" w:rsidRPr="009B2AC2" w14:paraId="5503437B" w14:textId="77777777" w:rsidTr="009B2AC2">
        <w:trPr>
          <w:trHeight w:val="313"/>
        </w:trPr>
        <w:tc>
          <w:tcPr>
            <w:tcW w:w="865" w:type="dxa"/>
            <w:tcBorders>
              <w:top w:val="nil"/>
              <w:left w:val="single" w:sz="8" w:space="0" w:color="FFFFFF"/>
              <w:bottom w:val="single" w:sz="8" w:space="0" w:color="FFFFFF"/>
              <w:right w:val="single" w:sz="8" w:space="0" w:color="FFFFFF"/>
            </w:tcBorders>
            <w:shd w:val="clear" w:color="000000" w:fill="008C9B"/>
            <w:vAlign w:val="center"/>
            <w:hideMark/>
          </w:tcPr>
          <w:p w14:paraId="5C9621B3" w14:textId="77777777" w:rsidR="009B2AC2" w:rsidRPr="009B2AC2" w:rsidRDefault="009B2AC2" w:rsidP="009B2AC2">
            <w:pPr>
              <w:spacing w:after="0"/>
              <w:rPr>
                <w:rFonts w:ascii="Calibri" w:eastAsia="Times New Roman" w:hAnsi="Calibri"/>
                <w:color w:val="FFFFFF"/>
                <w:sz w:val="20"/>
                <w:lang w:eastAsia="en-GB"/>
              </w:rPr>
            </w:pPr>
            <w:r w:rsidRPr="009B2AC2">
              <w:rPr>
                <w:rFonts w:ascii="Calibri" w:eastAsia="Times New Roman" w:hAnsi="Calibri"/>
                <w:color w:val="FFFFFF"/>
                <w:sz w:val="20"/>
                <w:lang w:eastAsia="en-GB"/>
              </w:rPr>
              <w:t>2012</w:t>
            </w:r>
          </w:p>
        </w:tc>
        <w:tc>
          <w:tcPr>
            <w:tcW w:w="2619" w:type="dxa"/>
            <w:tcBorders>
              <w:top w:val="nil"/>
              <w:left w:val="nil"/>
              <w:bottom w:val="single" w:sz="8" w:space="0" w:color="FFFFFF"/>
              <w:right w:val="single" w:sz="8" w:space="0" w:color="FFFFFF"/>
            </w:tcBorders>
            <w:shd w:val="clear" w:color="000000" w:fill="E7EEEF"/>
            <w:vAlign w:val="center"/>
            <w:hideMark/>
          </w:tcPr>
          <w:p w14:paraId="0697BE07"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2,186</w:t>
            </w:r>
          </w:p>
        </w:tc>
        <w:tc>
          <w:tcPr>
            <w:tcW w:w="3159" w:type="dxa"/>
            <w:tcBorders>
              <w:top w:val="nil"/>
              <w:left w:val="nil"/>
              <w:bottom w:val="single" w:sz="8" w:space="0" w:color="FFFFFF"/>
              <w:right w:val="single" w:sz="8" w:space="0" w:color="FFFFFF"/>
            </w:tcBorders>
            <w:shd w:val="clear" w:color="000000" w:fill="E7EEEF"/>
            <w:vAlign w:val="center"/>
            <w:hideMark/>
          </w:tcPr>
          <w:p w14:paraId="0661B889"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2.18</w:t>
            </w:r>
          </w:p>
        </w:tc>
        <w:tc>
          <w:tcPr>
            <w:tcW w:w="2820" w:type="dxa"/>
            <w:tcBorders>
              <w:top w:val="nil"/>
              <w:left w:val="nil"/>
              <w:bottom w:val="single" w:sz="8" w:space="0" w:color="FFFFFF"/>
              <w:right w:val="single" w:sz="8" w:space="0" w:color="FFFFFF"/>
            </w:tcBorders>
            <w:shd w:val="clear" w:color="000000" w:fill="E7EEEF"/>
            <w:vAlign w:val="center"/>
            <w:hideMark/>
          </w:tcPr>
          <w:p w14:paraId="6DF116C4"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4,766</w:t>
            </w:r>
          </w:p>
        </w:tc>
      </w:tr>
      <w:tr w:rsidR="009B2AC2" w:rsidRPr="009B2AC2" w14:paraId="1B2C382E" w14:textId="77777777" w:rsidTr="009B2AC2">
        <w:trPr>
          <w:trHeight w:val="313"/>
        </w:trPr>
        <w:tc>
          <w:tcPr>
            <w:tcW w:w="865" w:type="dxa"/>
            <w:tcBorders>
              <w:top w:val="nil"/>
              <w:left w:val="single" w:sz="8" w:space="0" w:color="FFFFFF"/>
              <w:bottom w:val="single" w:sz="8" w:space="0" w:color="FFFFFF"/>
              <w:right w:val="single" w:sz="8" w:space="0" w:color="FFFFFF"/>
            </w:tcBorders>
            <w:shd w:val="clear" w:color="000000" w:fill="008C9B"/>
            <w:vAlign w:val="center"/>
            <w:hideMark/>
          </w:tcPr>
          <w:p w14:paraId="79409D46" w14:textId="77777777" w:rsidR="009B2AC2" w:rsidRPr="009B2AC2" w:rsidRDefault="009B2AC2" w:rsidP="009B2AC2">
            <w:pPr>
              <w:spacing w:after="0"/>
              <w:rPr>
                <w:rFonts w:ascii="Calibri" w:eastAsia="Times New Roman" w:hAnsi="Calibri"/>
                <w:color w:val="FFFFFF"/>
                <w:sz w:val="20"/>
                <w:lang w:eastAsia="en-GB"/>
              </w:rPr>
            </w:pPr>
            <w:r w:rsidRPr="009B2AC2">
              <w:rPr>
                <w:rFonts w:ascii="Calibri" w:eastAsia="Times New Roman" w:hAnsi="Calibri"/>
                <w:color w:val="FFFFFF"/>
                <w:sz w:val="20"/>
                <w:lang w:eastAsia="en-GB"/>
              </w:rPr>
              <w:t>2013</w:t>
            </w:r>
          </w:p>
        </w:tc>
        <w:tc>
          <w:tcPr>
            <w:tcW w:w="2619" w:type="dxa"/>
            <w:tcBorders>
              <w:top w:val="nil"/>
              <w:left w:val="nil"/>
              <w:bottom w:val="single" w:sz="8" w:space="0" w:color="FFFFFF"/>
              <w:right w:val="single" w:sz="8" w:space="0" w:color="FFFFFF"/>
            </w:tcBorders>
            <w:shd w:val="clear" w:color="000000" w:fill="D0CECE"/>
            <w:vAlign w:val="center"/>
            <w:hideMark/>
          </w:tcPr>
          <w:p w14:paraId="3EDE6D3B"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2,372</w:t>
            </w:r>
          </w:p>
        </w:tc>
        <w:tc>
          <w:tcPr>
            <w:tcW w:w="3159" w:type="dxa"/>
            <w:tcBorders>
              <w:top w:val="nil"/>
              <w:left w:val="nil"/>
              <w:bottom w:val="single" w:sz="8" w:space="0" w:color="FFFFFF"/>
              <w:right w:val="single" w:sz="8" w:space="0" w:color="FFFFFF"/>
            </w:tcBorders>
            <w:shd w:val="clear" w:color="000000" w:fill="D0CECE"/>
            <w:vAlign w:val="center"/>
            <w:hideMark/>
          </w:tcPr>
          <w:p w14:paraId="7611525D"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2.19</w:t>
            </w:r>
          </w:p>
        </w:tc>
        <w:tc>
          <w:tcPr>
            <w:tcW w:w="2820" w:type="dxa"/>
            <w:tcBorders>
              <w:top w:val="nil"/>
              <w:left w:val="nil"/>
              <w:bottom w:val="single" w:sz="8" w:space="0" w:color="FFFFFF"/>
              <w:right w:val="single" w:sz="8" w:space="0" w:color="FFFFFF"/>
            </w:tcBorders>
            <w:shd w:val="clear" w:color="000000" w:fill="D0CECE"/>
            <w:vAlign w:val="center"/>
            <w:hideMark/>
          </w:tcPr>
          <w:p w14:paraId="1191A323"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5,198</w:t>
            </w:r>
          </w:p>
        </w:tc>
      </w:tr>
      <w:tr w:rsidR="009B2AC2" w:rsidRPr="009B2AC2" w14:paraId="73B058A7" w14:textId="77777777" w:rsidTr="009B2AC2">
        <w:trPr>
          <w:trHeight w:val="313"/>
        </w:trPr>
        <w:tc>
          <w:tcPr>
            <w:tcW w:w="865" w:type="dxa"/>
            <w:tcBorders>
              <w:top w:val="nil"/>
              <w:left w:val="single" w:sz="8" w:space="0" w:color="FFFFFF"/>
              <w:bottom w:val="single" w:sz="8" w:space="0" w:color="FFFFFF"/>
              <w:right w:val="single" w:sz="8" w:space="0" w:color="FFFFFF"/>
            </w:tcBorders>
            <w:shd w:val="clear" w:color="000000" w:fill="008C9B"/>
            <w:vAlign w:val="center"/>
            <w:hideMark/>
          </w:tcPr>
          <w:p w14:paraId="0A73F49C" w14:textId="77777777" w:rsidR="009B2AC2" w:rsidRPr="009B2AC2" w:rsidRDefault="009B2AC2" w:rsidP="009B2AC2">
            <w:pPr>
              <w:spacing w:after="0"/>
              <w:rPr>
                <w:rFonts w:ascii="Calibri" w:eastAsia="Times New Roman" w:hAnsi="Calibri"/>
                <w:color w:val="FFFFFF"/>
                <w:sz w:val="20"/>
                <w:lang w:eastAsia="en-GB"/>
              </w:rPr>
            </w:pPr>
            <w:r w:rsidRPr="009B2AC2">
              <w:rPr>
                <w:rFonts w:ascii="Calibri" w:eastAsia="Times New Roman" w:hAnsi="Calibri"/>
                <w:color w:val="FFFFFF"/>
                <w:sz w:val="20"/>
                <w:lang w:eastAsia="en-GB"/>
              </w:rPr>
              <w:t>2014</w:t>
            </w:r>
          </w:p>
        </w:tc>
        <w:tc>
          <w:tcPr>
            <w:tcW w:w="2619" w:type="dxa"/>
            <w:tcBorders>
              <w:top w:val="nil"/>
              <w:left w:val="nil"/>
              <w:bottom w:val="single" w:sz="8" w:space="0" w:color="FFFFFF"/>
              <w:right w:val="single" w:sz="8" w:space="0" w:color="FFFFFF"/>
            </w:tcBorders>
            <w:shd w:val="clear" w:color="000000" w:fill="E7EEEF"/>
            <w:vAlign w:val="center"/>
            <w:hideMark/>
          </w:tcPr>
          <w:p w14:paraId="1D7BCB7B"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2,041</w:t>
            </w:r>
          </w:p>
        </w:tc>
        <w:tc>
          <w:tcPr>
            <w:tcW w:w="3159" w:type="dxa"/>
            <w:tcBorders>
              <w:top w:val="nil"/>
              <w:left w:val="nil"/>
              <w:bottom w:val="single" w:sz="8" w:space="0" w:color="FFFFFF"/>
              <w:right w:val="single" w:sz="8" w:space="0" w:color="FFFFFF"/>
            </w:tcBorders>
            <w:shd w:val="clear" w:color="000000" w:fill="E7EEEF"/>
            <w:vAlign w:val="center"/>
            <w:hideMark/>
          </w:tcPr>
          <w:p w14:paraId="3139FA1D"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2.20</w:t>
            </w:r>
          </w:p>
        </w:tc>
        <w:tc>
          <w:tcPr>
            <w:tcW w:w="2820" w:type="dxa"/>
            <w:tcBorders>
              <w:top w:val="nil"/>
              <w:left w:val="nil"/>
              <w:bottom w:val="single" w:sz="8" w:space="0" w:color="FFFFFF"/>
              <w:right w:val="single" w:sz="8" w:space="0" w:color="FFFFFF"/>
            </w:tcBorders>
            <w:shd w:val="clear" w:color="000000" w:fill="E7EEEF"/>
            <w:vAlign w:val="center"/>
            <w:hideMark/>
          </w:tcPr>
          <w:p w14:paraId="183CE881"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4,494</w:t>
            </w:r>
          </w:p>
        </w:tc>
      </w:tr>
      <w:tr w:rsidR="009B2AC2" w:rsidRPr="009B2AC2" w14:paraId="0C5B8C5E" w14:textId="77777777" w:rsidTr="009B2AC2">
        <w:trPr>
          <w:trHeight w:val="313"/>
        </w:trPr>
        <w:tc>
          <w:tcPr>
            <w:tcW w:w="865" w:type="dxa"/>
            <w:tcBorders>
              <w:top w:val="nil"/>
              <w:left w:val="single" w:sz="8" w:space="0" w:color="FFFFFF"/>
              <w:bottom w:val="single" w:sz="8" w:space="0" w:color="FFFFFF"/>
              <w:right w:val="single" w:sz="8" w:space="0" w:color="FFFFFF"/>
            </w:tcBorders>
            <w:shd w:val="clear" w:color="000000" w:fill="008C9B"/>
            <w:vAlign w:val="center"/>
            <w:hideMark/>
          </w:tcPr>
          <w:p w14:paraId="4F45FCEC" w14:textId="77777777" w:rsidR="009B2AC2" w:rsidRPr="009B2AC2" w:rsidRDefault="009B2AC2" w:rsidP="009B2AC2">
            <w:pPr>
              <w:spacing w:after="0"/>
              <w:rPr>
                <w:rFonts w:ascii="Calibri" w:eastAsia="Times New Roman" w:hAnsi="Calibri"/>
                <w:color w:val="FFFFFF"/>
                <w:sz w:val="20"/>
                <w:lang w:eastAsia="en-GB"/>
              </w:rPr>
            </w:pPr>
            <w:r w:rsidRPr="009B2AC2">
              <w:rPr>
                <w:rFonts w:ascii="Calibri" w:eastAsia="Times New Roman" w:hAnsi="Calibri"/>
                <w:color w:val="FFFFFF"/>
                <w:sz w:val="20"/>
                <w:lang w:eastAsia="en-GB"/>
              </w:rPr>
              <w:t>2015</w:t>
            </w:r>
          </w:p>
        </w:tc>
        <w:tc>
          <w:tcPr>
            <w:tcW w:w="2619" w:type="dxa"/>
            <w:tcBorders>
              <w:top w:val="nil"/>
              <w:left w:val="nil"/>
              <w:bottom w:val="single" w:sz="8" w:space="0" w:color="FFFFFF"/>
              <w:right w:val="single" w:sz="8" w:space="0" w:color="FFFFFF"/>
            </w:tcBorders>
            <w:shd w:val="clear" w:color="000000" w:fill="D0CECE"/>
            <w:vAlign w:val="center"/>
            <w:hideMark/>
          </w:tcPr>
          <w:p w14:paraId="4B04C61F"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2,424</w:t>
            </w:r>
          </w:p>
        </w:tc>
        <w:tc>
          <w:tcPr>
            <w:tcW w:w="3159" w:type="dxa"/>
            <w:tcBorders>
              <w:top w:val="nil"/>
              <w:left w:val="nil"/>
              <w:bottom w:val="single" w:sz="8" w:space="0" w:color="FFFFFF"/>
              <w:right w:val="single" w:sz="8" w:space="0" w:color="FFFFFF"/>
            </w:tcBorders>
            <w:shd w:val="clear" w:color="000000" w:fill="D0CECE"/>
            <w:vAlign w:val="center"/>
            <w:hideMark/>
          </w:tcPr>
          <w:p w14:paraId="11316BAE"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2.19</w:t>
            </w:r>
          </w:p>
        </w:tc>
        <w:tc>
          <w:tcPr>
            <w:tcW w:w="2820" w:type="dxa"/>
            <w:tcBorders>
              <w:top w:val="nil"/>
              <w:left w:val="nil"/>
              <w:bottom w:val="single" w:sz="8" w:space="0" w:color="FFFFFF"/>
              <w:right w:val="single" w:sz="8" w:space="0" w:color="FFFFFF"/>
            </w:tcBorders>
            <w:shd w:val="clear" w:color="000000" w:fill="D0CECE"/>
            <w:vAlign w:val="center"/>
            <w:hideMark/>
          </w:tcPr>
          <w:p w14:paraId="2FFCB293"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5,319</w:t>
            </w:r>
          </w:p>
        </w:tc>
      </w:tr>
      <w:tr w:rsidR="009B2AC2" w:rsidRPr="009B2AC2" w14:paraId="287F5127" w14:textId="77777777" w:rsidTr="009B2AC2">
        <w:trPr>
          <w:trHeight w:val="313"/>
        </w:trPr>
        <w:tc>
          <w:tcPr>
            <w:tcW w:w="865" w:type="dxa"/>
            <w:tcBorders>
              <w:top w:val="nil"/>
              <w:left w:val="single" w:sz="8" w:space="0" w:color="FFFFFF"/>
              <w:bottom w:val="single" w:sz="8" w:space="0" w:color="FFFFFF"/>
              <w:right w:val="single" w:sz="8" w:space="0" w:color="FFFFFF"/>
            </w:tcBorders>
            <w:shd w:val="clear" w:color="000000" w:fill="008C9B"/>
            <w:vAlign w:val="center"/>
            <w:hideMark/>
          </w:tcPr>
          <w:p w14:paraId="2F24B942" w14:textId="77777777" w:rsidR="009B2AC2" w:rsidRPr="009B2AC2" w:rsidRDefault="009B2AC2" w:rsidP="009B2AC2">
            <w:pPr>
              <w:spacing w:after="0"/>
              <w:rPr>
                <w:rFonts w:ascii="Calibri" w:eastAsia="Times New Roman" w:hAnsi="Calibri"/>
                <w:color w:val="FFFFFF"/>
                <w:sz w:val="20"/>
                <w:lang w:eastAsia="en-GB"/>
              </w:rPr>
            </w:pPr>
            <w:r w:rsidRPr="009B2AC2">
              <w:rPr>
                <w:rFonts w:ascii="Calibri" w:eastAsia="Times New Roman" w:hAnsi="Calibri"/>
                <w:color w:val="FFFFFF"/>
                <w:sz w:val="20"/>
                <w:lang w:eastAsia="en-GB"/>
              </w:rPr>
              <w:t>2016</w:t>
            </w:r>
          </w:p>
        </w:tc>
        <w:tc>
          <w:tcPr>
            <w:tcW w:w="2619" w:type="dxa"/>
            <w:tcBorders>
              <w:top w:val="nil"/>
              <w:left w:val="nil"/>
              <w:bottom w:val="single" w:sz="8" w:space="0" w:color="FFFFFF"/>
              <w:right w:val="single" w:sz="8" w:space="0" w:color="FFFFFF"/>
            </w:tcBorders>
            <w:shd w:val="clear" w:color="000000" w:fill="E7EEEF"/>
            <w:vAlign w:val="center"/>
            <w:hideMark/>
          </w:tcPr>
          <w:p w14:paraId="2EE3DAEA"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1,749</w:t>
            </w:r>
          </w:p>
        </w:tc>
        <w:tc>
          <w:tcPr>
            <w:tcW w:w="3159" w:type="dxa"/>
            <w:tcBorders>
              <w:top w:val="nil"/>
              <w:left w:val="nil"/>
              <w:bottom w:val="single" w:sz="8" w:space="0" w:color="FFFFFF"/>
              <w:right w:val="single" w:sz="8" w:space="0" w:color="FFFFFF"/>
            </w:tcBorders>
            <w:shd w:val="clear" w:color="000000" w:fill="E7EEEF"/>
            <w:vAlign w:val="center"/>
            <w:hideMark/>
          </w:tcPr>
          <w:p w14:paraId="765216D9"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2.23</w:t>
            </w:r>
          </w:p>
        </w:tc>
        <w:tc>
          <w:tcPr>
            <w:tcW w:w="2820" w:type="dxa"/>
            <w:tcBorders>
              <w:top w:val="nil"/>
              <w:left w:val="nil"/>
              <w:bottom w:val="single" w:sz="8" w:space="0" w:color="FFFFFF"/>
              <w:right w:val="single" w:sz="8" w:space="0" w:color="FFFFFF"/>
            </w:tcBorders>
            <w:shd w:val="clear" w:color="000000" w:fill="E7EEEF"/>
            <w:vAlign w:val="center"/>
            <w:hideMark/>
          </w:tcPr>
          <w:p w14:paraId="46438CDA"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3,893</w:t>
            </w:r>
          </w:p>
        </w:tc>
      </w:tr>
      <w:tr w:rsidR="009B2AC2" w:rsidRPr="009B2AC2" w14:paraId="2EF9FE2C" w14:textId="77777777" w:rsidTr="009B2AC2">
        <w:trPr>
          <w:trHeight w:val="313"/>
        </w:trPr>
        <w:tc>
          <w:tcPr>
            <w:tcW w:w="865" w:type="dxa"/>
            <w:tcBorders>
              <w:top w:val="nil"/>
              <w:left w:val="single" w:sz="8" w:space="0" w:color="FFFFFF"/>
              <w:bottom w:val="single" w:sz="8" w:space="0" w:color="FFFFFF"/>
              <w:right w:val="single" w:sz="8" w:space="0" w:color="FFFFFF"/>
            </w:tcBorders>
            <w:shd w:val="clear" w:color="000000" w:fill="008C9B"/>
            <w:vAlign w:val="center"/>
            <w:hideMark/>
          </w:tcPr>
          <w:p w14:paraId="3759035C" w14:textId="77777777" w:rsidR="009B2AC2" w:rsidRPr="009B2AC2" w:rsidRDefault="009B2AC2" w:rsidP="009B2AC2">
            <w:pPr>
              <w:spacing w:after="0"/>
              <w:rPr>
                <w:rFonts w:ascii="Calibri" w:eastAsia="Times New Roman" w:hAnsi="Calibri"/>
                <w:color w:val="FFFFFF"/>
                <w:sz w:val="20"/>
                <w:lang w:eastAsia="en-GB"/>
              </w:rPr>
            </w:pPr>
            <w:r w:rsidRPr="009B2AC2">
              <w:rPr>
                <w:rFonts w:ascii="Calibri" w:eastAsia="Times New Roman" w:hAnsi="Calibri"/>
                <w:color w:val="FFFFFF"/>
                <w:sz w:val="20"/>
                <w:lang w:eastAsia="en-GB"/>
              </w:rPr>
              <w:t>2017</w:t>
            </w:r>
          </w:p>
        </w:tc>
        <w:tc>
          <w:tcPr>
            <w:tcW w:w="2619" w:type="dxa"/>
            <w:tcBorders>
              <w:top w:val="nil"/>
              <w:left w:val="nil"/>
              <w:bottom w:val="single" w:sz="8" w:space="0" w:color="FFFFFF"/>
              <w:right w:val="single" w:sz="8" w:space="0" w:color="FFFFFF"/>
            </w:tcBorders>
            <w:shd w:val="clear" w:color="000000" w:fill="D0CECE"/>
            <w:vAlign w:val="center"/>
            <w:hideMark/>
          </w:tcPr>
          <w:p w14:paraId="6CE2B11E"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2,299</w:t>
            </w:r>
          </w:p>
        </w:tc>
        <w:tc>
          <w:tcPr>
            <w:tcW w:w="3159" w:type="dxa"/>
            <w:tcBorders>
              <w:top w:val="nil"/>
              <w:left w:val="nil"/>
              <w:bottom w:val="single" w:sz="8" w:space="0" w:color="FFFFFF"/>
              <w:right w:val="single" w:sz="8" w:space="0" w:color="FFFFFF"/>
            </w:tcBorders>
            <w:shd w:val="clear" w:color="000000" w:fill="D0CECE"/>
            <w:vAlign w:val="center"/>
            <w:hideMark/>
          </w:tcPr>
          <w:p w14:paraId="4FB1BDCA"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2.21</w:t>
            </w:r>
          </w:p>
        </w:tc>
        <w:tc>
          <w:tcPr>
            <w:tcW w:w="2820" w:type="dxa"/>
            <w:tcBorders>
              <w:top w:val="nil"/>
              <w:left w:val="nil"/>
              <w:bottom w:val="single" w:sz="8" w:space="0" w:color="FFFFFF"/>
              <w:right w:val="single" w:sz="8" w:space="0" w:color="FFFFFF"/>
            </w:tcBorders>
            <w:shd w:val="clear" w:color="000000" w:fill="D0CECE"/>
            <w:vAlign w:val="center"/>
            <w:hideMark/>
          </w:tcPr>
          <w:p w14:paraId="70CACBD1" w14:textId="77777777" w:rsidR="009B2AC2" w:rsidRPr="009B2AC2" w:rsidRDefault="009B2AC2" w:rsidP="009B2AC2">
            <w:pPr>
              <w:spacing w:after="0"/>
              <w:jc w:val="center"/>
              <w:rPr>
                <w:rFonts w:ascii="Calibri" w:eastAsia="Times New Roman" w:hAnsi="Calibri"/>
                <w:color w:val="000000"/>
                <w:sz w:val="20"/>
                <w:lang w:eastAsia="en-GB"/>
              </w:rPr>
            </w:pPr>
            <w:r w:rsidRPr="009B2AC2">
              <w:rPr>
                <w:rFonts w:ascii="Calibri" w:eastAsia="Times New Roman" w:hAnsi="Calibri"/>
                <w:color w:val="000000"/>
                <w:sz w:val="20"/>
                <w:lang w:eastAsia="en-GB"/>
              </w:rPr>
              <w:t>5,073</w:t>
            </w:r>
          </w:p>
        </w:tc>
      </w:tr>
    </w:tbl>
    <w:p w14:paraId="3FE23401" w14:textId="047219B4" w:rsidR="00141FD1" w:rsidRPr="00D0202B" w:rsidRDefault="00814B04" w:rsidP="00814B04">
      <w:pPr>
        <w:spacing w:before="60" w:after="120"/>
        <w:jc w:val="right"/>
        <w:rPr>
          <w:rStyle w:val="SubtleEmphasis"/>
          <w:color w:val="000000" w:themeColor="text1"/>
          <w:sz w:val="18"/>
        </w:rPr>
      </w:pPr>
      <w:r w:rsidRPr="00D0202B">
        <w:rPr>
          <w:rStyle w:val="SubtleEmphasis"/>
          <w:color w:val="000000" w:themeColor="text1"/>
          <w:sz w:val="18"/>
        </w:rPr>
        <w:t>Source: ONS, FAME, Cebr analysis</w:t>
      </w:r>
    </w:p>
    <w:p w14:paraId="2850B31B" w14:textId="77777777" w:rsidR="00141FD1" w:rsidRDefault="00141FD1">
      <w:pPr>
        <w:spacing w:after="0"/>
        <w:rPr>
          <w:rStyle w:val="SubtleEmphasis"/>
          <w:sz w:val="18"/>
        </w:rPr>
      </w:pPr>
      <w:r>
        <w:rPr>
          <w:rStyle w:val="SubtleEmphasis"/>
          <w:sz w:val="18"/>
        </w:rPr>
        <w:br w:type="page"/>
      </w:r>
    </w:p>
    <w:p w14:paraId="3E3B3020" w14:textId="60082044" w:rsidR="00471123" w:rsidRPr="00D8750F" w:rsidRDefault="00471123" w:rsidP="00471123">
      <w:pPr>
        <w:pStyle w:val="Heading1"/>
      </w:pPr>
      <w:bookmarkStart w:id="117" w:name="_Toc16175623"/>
      <w:bookmarkStart w:id="118" w:name="_Toc16768015"/>
      <w:r w:rsidRPr="00D8750F">
        <w:lastRenderedPageBreak/>
        <w:t>Maritime Sector</w:t>
      </w:r>
      <w:r>
        <w:t xml:space="preserve"> in Scotland</w:t>
      </w:r>
      <w:r w:rsidRPr="00D8750F">
        <w:t>: A Forward Look</w:t>
      </w:r>
      <w:bookmarkEnd w:id="117"/>
      <w:bookmarkEnd w:id="118"/>
    </w:p>
    <w:p w14:paraId="7FB2165C" w14:textId="77777777" w:rsidR="00471123" w:rsidRDefault="00471123" w:rsidP="00471123">
      <w:pPr>
        <w:rPr>
          <w:rFonts w:ascii="Calibri" w:eastAsia="Microsoft JhengHei" w:hAnsi="Calibri"/>
        </w:rPr>
      </w:pPr>
      <w:bookmarkStart w:id="119" w:name="_Toc11243625"/>
      <w:r w:rsidRPr="00D8750F">
        <w:rPr>
          <w:rFonts w:ascii="Calibri" w:eastAsia="Microsoft JhengHei" w:hAnsi="Calibri"/>
        </w:rPr>
        <w:t xml:space="preserve">In this final section of the report we present projections of the </w:t>
      </w:r>
      <w:r>
        <w:rPr>
          <w:rFonts w:ascii="Calibri" w:eastAsia="Microsoft JhengHei" w:hAnsi="Calibri"/>
        </w:rPr>
        <w:t>M</w:t>
      </w:r>
      <w:r w:rsidRPr="00334A14">
        <w:rPr>
          <w:rFonts w:ascii="Calibri" w:eastAsia="Microsoft JhengHei" w:hAnsi="Calibri"/>
        </w:rPr>
        <w:t xml:space="preserve">aritime </w:t>
      </w:r>
      <w:r>
        <w:rPr>
          <w:rFonts w:ascii="Calibri" w:eastAsia="Microsoft JhengHei" w:hAnsi="Calibri"/>
        </w:rPr>
        <w:t>Sector</w:t>
      </w:r>
      <w:r w:rsidRPr="00334A14">
        <w:rPr>
          <w:rFonts w:ascii="Calibri" w:eastAsia="Microsoft JhengHei" w:hAnsi="Calibri"/>
        </w:rPr>
        <w:t xml:space="preserve"> </w:t>
      </w:r>
      <w:r>
        <w:rPr>
          <w:rFonts w:ascii="Calibri" w:eastAsia="Microsoft JhengHei" w:hAnsi="Calibri"/>
        </w:rPr>
        <w:t>in Scotland</w:t>
      </w:r>
      <w:r w:rsidRPr="00D8750F">
        <w:rPr>
          <w:rFonts w:ascii="Calibri" w:eastAsia="Microsoft JhengHei" w:hAnsi="Calibri"/>
        </w:rPr>
        <w:t xml:space="preserve"> for the period 2019-2023. The section starts off by describ</w:t>
      </w:r>
      <w:r>
        <w:rPr>
          <w:rFonts w:ascii="Calibri" w:eastAsia="Microsoft JhengHei" w:hAnsi="Calibri"/>
        </w:rPr>
        <w:t>ing</w:t>
      </w:r>
      <w:r w:rsidRPr="00D8750F">
        <w:rPr>
          <w:rFonts w:ascii="Calibri" w:eastAsia="Microsoft JhengHei" w:hAnsi="Calibri"/>
        </w:rPr>
        <w:t xml:space="preserve"> the conceptual approach that we have developed to produce projections of the direct economic impacts after 2017</w:t>
      </w:r>
      <w:r>
        <w:rPr>
          <w:rFonts w:ascii="Calibri" w:eastAsia="Microsoft JhengHei" w:hAnsi="Calibri"/>
        </w:rPr>
        <w:t xml:space="preserve"> and then</w:t>
      </w:r>
      <w:r w:rsidRPr="00D8750F">
        <w:rPr>
          <w:rFonts w:ascii="Calibri" w:eastAsia="Microsoft JhengHei" w:hAnsi="Calibri"/>
        </w:rPr>
        <w:t xml:space="preserve"> present our forecasts of</w:t>
      </w:r>
      <w:r>
        <w:rPr>
          <w:rFonts w:ascii="Calibri" w:eastAsia="Microsoft JhengHei" w:hAnsi="Calibri"/>
        </w:rPr>
        <w:t xml:space="preserve"> Scottish-based </w:t>
      </w:r>
      <w:r w:rsidRPr="00D8750F">
        <w:rPr>
          <w:rFonts w:ascii="Calibri" w:eastAsia="Microsoft JhengHei" w:hAnsi="Calibri"/>
        </w:rPr>
        <w:t>Maritime turnover and GVA</w:t>
      </w:r>
      <w:r>
        <w:rPr>
          <w:rFonts w:ascii="Calibri" w:eastAsia="Microsoft JhengHei" w:hAnsi="Calibri"/>
        </w:rPr>
        <w:t xml:space="preserve"> </w:t>
      </w:r>
      <w:r w:rsidRPr="00D8750F">
        <w:rPr>
          <w:rFonts w:ascii="Calibri" w:eastAsia="Microsoft JhengHei" w:hAnsi="Calibri"/>
        </w:rPr>
        <w:t xml:space="preserve">over the period 2019-2023. </w:t>
      </w:r>
      <w:bookmarkStart w:id="120" w:name="_Toc16175625"/>
    </w:p>
    <w:p w14:paraId="6E10C659" w14:textId="77777777" w:rsidR="00471123" w:rsidRPr="00D8750F" w:rsidRDefault="00471123" w:rsidP="00471123">
      <w:pPr>
        <w:keepNext/>
        <w:keepLines/>
        <w:tabs>
          <w:tab w:val="left" w:pos="680"/>
        </w:tabs>
        <w:spacing w:after="120" w:line="340" w:lineRule="atLeast"/>
        <w:outlineLvl w:val="1"/>
        <w:rPr>
          <w:rFonts w:ascii="Calibri" w:eastAsia="Microsoft JhengHei" w:hAnsi="Calibri" w:cs="Arial"/>
          <w:b/>
          <w:bCs/>
          <w:color w:val="7F7F7F"/>
          <w:sz w:val="28"/>
          <w:szCs w:val="26"/>
        </w:rPr>
      </w:pPr>
      <w:r w:rsidRPr="00D8750F">
        <w:rPr>
          <w:rFonts w:ascii="Calibri" w:eastAsia="Microsoft JhengHei" w:hAnsi="Calibri" w:cs="Arial"/>
          <w:b/>
          <w:bCs/>
          <w:color w:val="7F7F7F"/>
          <w:sz w:val="28"/>
          <w:szCs w:val="26"/>
        </w:rPr>
        <w:t xml:space="preserve">The </w:t>
      </w:r>
      <w:r>
        <w:rPr>
          <w:rFonts w:ascii="Calibri" w:eastAsia="Microsoft JhengHei" w:hAnsi="Calibri" w:cs="Arial"/>
          <w:b/>
          <w:bCs/>
          <w:color w:val="7F7F7F"/>
          <w:sz w:val="28"/>
          <w:szCs w:val="26"/>
        </w:rPr>
        <w:t xml:space="preserve">Scottish-based </w:t>
      </w:r>
      <w:r w:rsidRPr="00D8750F">
        <w:rPr>
          <w:rFonts w:ascii="Calibri" w:eastAsia="Microsoft JhengHei" w:hAnsi="Calibri" w:cs="Arial"/>
          <w:b/>
          <w:bCs/>
          <w:color w:val="7F7F7F"/>
          <w:sz w:val="28"/>
          <w:szCs w:val="26"/>
        </w:rPr>
        <w:t>Maritime Sector Forecast (2019-2023)</w:t>
      </w:r>
      <w:bookmarkEnd w:id="120"/>
    </w:p>
    <w:p w14:paraId="14963926" w14:textId="77777777" w:rsidR="00471123" w:rsidRPr="00D8750F" w:rsidRDefault="00471123" w:rsidP="00B277F2">
      <w:pPr>
        <w:pStyle w:val="Heading3"/>
      </w:pPr>
      <w:r w:rsidRPr="00D8750F">
        <w:t>Modelling approach</w:t>
      </w:r>
    </w:p>
    <w:p w14:paraId="621B212C" w14:textId="77777777" w:rsidR="00471123" w:rsidRPr="00D8750F" w:rsidRDefault="00471123" w:rsidP="00471123">
      <w:pPr>
        <w:rPr>
          <w:rFonts w:ascii="Calibri" w:eastAsia="Microsoft JhengHei" w:hAnsi="Calibri"/>
        </w:rPr>
      </w:pPr>
      <w:r w:rsidRPr="00D8750F">
        <w:rPr>
          <w:rFonts w:ascii="Calibri" w:eastAsia="Microsoft JhengHei" w:hAnsi="Calibri"/>
        </w:rPr>
        <w:t xml:space="preserve">We investigate the relationship between the maritime economy </w:t>
      </w:r>
      <w:r>
        <w:rPr>
          <w:rFonts w:ascii="Calibri" w:eastAsia="Microsoft JhengHei" w:hAnsi="Calibri"/>
        </w:rPr>
        <w:t xml:space="preserve">in Scotland </w:t>
      </w:r>
      <w:r w:rsidRPr="00D8750F">
        <w:rPr>
          <w:rFonts w:ascii="Calibri" w:eastAsia="Microsoft JhengHei" w:hAnsi="Calibri"/>
        </w:rPr>
        <w:t xml:space="preserve">and a number </w:t>
      </w:r>
      <w:r>
        <w:rPr>
          <w:rFonts w:ascii="Calibri" w:eastAsia="Microsoft JhengHei" w:hAnsi="Calibri"/>
        </w:rPr>
        <w:t xml:space="preserve">of </w:t>
      </w:r>
      <w:r w:rsidRPr="00D8750F">
        <w:rPr>
          <w:rFonts w:ascii="Calibri" w:eastAsia="Microsoft JhengHei" w:hAnsi="Calibri"/>
        </w:rPr>
        <w:t xml:space="preserve">economic variables through an econometric approach. Our findings show that the </w:t>
      </w:r>
      <w:r>
        <w:rPr>
          <w:rFonts w:ascii="Calibri" w:eastAsia="Microsoft JhengHei" w:hAnsi="Calibri"/>
        </w:rPr>
        <w:t>m</w:t>
      </w:r>
      <w:r w:rsidRPr="00D8750F">
        <w:rPr>
          <w:rFonts w:ascii="Calibri" w:eastAsia="Microsoft JhengHei" w:hAnsi="Calibri"/>
        </w:rPr>
        <w:t xml:space="preserve">aritime </w:t>
      </w:r>
      <w:r>
        <w:rPr>
          <w:rFonts w:ascii="Calibri" w:eastAsia="Microsoft JhengHei" w:hAnsi="Calibri"/>
        </w:rPr>
        <w:t>economy</w:t>
      </w:r>
      <w:r w:rsidRPr="00D8750F">
        <w:rPr>
          <w:rFonts w:ascii="Calibri" w:eastAsia="Microsoft JhengHei" w:hAnsi="Calibri"/>
        </w:rPr>
        <w:t xml:space="preserve"> is primarily linked to </w:t>
      </w:r>
      <w:r>
        <w:rPr>
          <w:rFonts w:ascii="Calibri" w:eastAsia="Microsoft JhengHei" w:hAnsi="Calibri"/>
        </w:rPr>
        <w:t>Scottish GVA and UK energy (oil and gas) production</w:t>
      </w:r>
      <w:r w:rsidRPr="00D8750F">
        <w:rPr>
          <w:rFonts w:ascii="Calibri" w:eastAsia="Microsoft JhengHei" w:hAnsi="Calibri"/>
        </w:rPr>
        <w:t xml:space="preserve">. After having established </w:t>
      </w:r>
      <w:r>
        <w:rPr>
          <w:rFonts w:ascii="Calibri" w:eastAsia="Microsoft JhengHei" w:hAnsi="Calibri"/>
        </w:rPr>
        <w:t xml:space="preserve">the Scottish </w:t>
      </w:r>
      <w:r w:rsidRPr="00D8750F">
        <w:rPr>
          <w:rFonts w:ascii="Calibri" w:eastAsia="Microsoft JhengHei" w:hAnsi="Calibri"/>
        </w:rPr>
        <w:t>Maritime economy’s elasticities to GDP</w:t>
      </w:r>
      <w:r>
        <w:rPr>
          <w:rFonts w:ascii="Calibri" w:eastAsia="Microsoft JhengHei" w:hAnsi="Calibri"/>
        </w:rPr>
        <w:t xml:space="preserve"> and energy production</w:t>
      </w:r>
      <w:r w:rsidRPr="00D8750F">
        <w:rPr>
          <w:rFonts w:ascii="Calibri" w:eastAsia="Microsoft JhengHei" w:hAnsi="Calibri"/>
        </w:rPr>
        <w:t xml:space="preserve">, we project these historical relationships forward to produce a forecast of </w:t>
      </w:r>
      <w:r>
        <w:rPr>
          <w:rFonts w:ascii="Calibri" w:eastAsia="Microsoft JhengHei" w:hAnsi="Calibri"/>
        </w:rPr>
        <w:t xml:space="preserve">Scottish-based </w:t>
      </w:r>
      <w:r w:rsidRPr="00D8750F">
        <w:rPr>
          <w:rFonts w:ascii="Calibri" w:eastAsia="Microsoft JhengHei" w:hAnsi="Calibri"/>
        </w:rPr>
        <w:t xml:space="preserve">Maritime turnover and GVA. The output of this model constitutes our baseline forecast. </w:t>
      </w:r>
    </w:p>
    <w:p w14:paraId="45D481EE" w14:textId="0DC92A7F" w:rsidR="00471123" w:rsidRPr="00D8750F" w:rsidRDefault="00471123" w:rsidP="00471123">
      <w:pPr>
        <w:rPr>
          <w:rFonts w:ascii="Calibri" w:eastAsia="Microsoft JhengHei" w:hAnsi="Calibri"/>
        </w:rPr>
      </w:pPr>
      <w:r w:rsidRPr="00D8750F">
        <w:rPr>
          <w:rFonts w:ascii="Calibri" w:eastAsia="Microsoft JhengHei" w:hAnsi="Calibri"/>
        </w:rPr>
        <w:t>Forecast models rely on macroeconomic variables, for example, GDP, which are generally mo</w:t>
      </w:r>
      <w:r w:rsidR="00B277F2">
        <w:rPr>
          <w:rFonts w:ascii="Calibri" w:eastAsia="Microsoft JhengHei" w:hAnsi="Calibri"/>
        </w:rPr>
        <w:t>re suitable for long-</w:t>
      </w:r>
      <w:r w:rsidRPr="00D8750F">
        <w:rPr>
          <w:rFonts w:ascii="Calibri" w:eastAsia="Microsoft JhengHei" w:hAnsi="Calibri"/>
        </w:rPr>
        <w:t xml:space="preserve">term horizon while the focus of our analysis is in the short-medium term (5 years). For this reason, we build on the baseline forecast, introducing more sector-specific assumptions which are used to flex the relation to the drivers previously identified. This approach also enables us to address deterministic expectations about the sector. </w:t>
      </w:r>
    </w:p>
    <w:p w14:paraId="0489655A" w14:textId="77777777" w:rsidR="00471123" w:rsidRPr="00D8750F" w:rsidRDefault="00471123" w:rsidP="00471123">
      <w:pPr>
        <w:rPr>
          <w:rFonts w:ascii="Calibri" w:eastAsia="Microsoft JhengHei" w:hAnsi="Calibri"/>
        </w:rPr>
      </w:pPr>
      <w:r w:rsidRPr="00D8750F">
        <w:rPr>
          <w:rFonts w:ascii="Calibri" w:eastAsia="Microsoft JhengHei" w:hAnsi="Calibri"/>
        </w:rPr>
        <w:t xml:space="preserve">To identify the sector-specific assumptions, we drew on </w:t>
      </w:r>
      <w:r>
        <w:rPr>
          <w:rFonts w:ascii="Calibri" w:eastAsia="Microsoft JhengHei" w:hAnsi="Calibri"/>
        </w:rPr>
        <w:t xml:space="preserve">our knowledge of the sector composition and on UK-wide maritime trends and themes. </w:t>
      </w:r>
      <w:r w:rsidRPr="00D8750F">
        <w:rPr>
          <w:rFonts w:ascii="Calibri" w:eastAsia="Microsoft JhengHei" w:hAnsi="Calibri"/>
        </w:rPr>
        <w:t xml:space="preserve">Each assumption has been assigned a specific weight reflecting its relevance to the </w:t>
      </w:r>
      <w:r>
        <w:rPr>
          <w:rFonts w:ascii="Calibri" w:eastAsia="Microsoft JhengHei" w:hAnsi="Calibri"/>
        </w:rPr>
        <w:t>Scottish-based</w:t>
      </w:r>
      <w:r w:rsidRPr="00D8750F">
        <w:rPr>
          <w:rFonts w:ascii="Calibri" w:eastAsia="Microsoft JhengHei" w:hAnsi="Calibri"/>
        </w:rPr>
        <w:t xml:space="preserve"> Maritime sector and a set of adjustment factors have been produced.</w:t>
      </w:r>
    </w:p>
    <w:p w14:paraId="2601D1AA" w14:textId="77777777" w:rsidR="00471123" w:rsidRPr="00D8750F" w:rsidRDefault="00471123" w:rsidP="00471123">
      <w:pPr>
        <w:rPr>
          <w:rFonts w:ascii="Calibri" w:eastAsia="Microsoft JhengHei" w:hAnsi="Calibri"/>
        </w:rPr>
      </w:pPr>
      <w:r w:rsidRPr="00D8750F">
        <w:rPr>
          <w:rFonts w:ascii="Calibri" w:eastAsia="Microsoft JhengHei" w:hAnsi="Calibri"/>
        </w:rPr>
        <w:t xml:space="preserve">Applying the adjustments to the baseline forecast, we obtain our central forecast of the </w:t>
      </w:r>
      <w:r>
        <w:rPr>
          <w:rFonts w:ascii="Calibri" w:eastAsia="Microsoft JhengHei" w:hAnsi="Calibri"/>
        </w:rPr>
        <w:t xml:space="preserve">Scottish-based </w:t>
      </w:r>
      <w:r w:rsidRPr="00D8750F">
        <w:rPr>
          <w:rFonts w:ascii="Calibri" w:eastAsia="Microsoft JhengHei" w:hAnsi="Calibri"/>
        </w:rPr>
        <w:t xml:space="preserve">Maritime Sector turnover and GVA over the period 2019-2023. To note also that our historical analysis of maritime ends in 2017. This requires us to produce a “now-cast” for the first year (2018) for which we know the actual value of the drivers but not of </w:t>
      </w:r>
      <w:r>
        <w:rPr>
          <w:rFonts w:ascii="Calibri" w:eastAsia="Microsoft JhengHei" w:hAnsi="Calibri"/>
        </w:rPr>
        <w:t xml:space="preserve">Scottish-based </w:t>
      </w:r>
      <w:r w:rsidRPr="00D8750F">
        <w:rPr>
          <w:rFonts w:ascii="Calibri" w:eastAsia="Microsoft JhengHei" w:hAnsi="Calibri"/>
        </w:rPr>
        <w:t>Maritime Turnover and GVA and a forecast for the following period.</w:t>
      </w:r>
    </w:p>
    <w:p w14:paraId="2ED5216E" w14:textId="77777777" w:rsidR="00471123" w:rsidRPr="00D8750F" w:rsidRDefault="00471123" w:rsidP="00B277F2">
      <w:pPr>
        <w:pStyle w:val="Heading3"/>
      </w:pPr>
      <w:r w:rsidRPr="00D8750F">
        <w:t>Modelling Assumptions</w:t>
      </w:r>
    </w:p>
    <w:p w14:paraId="4170350E" w14:textId="77777777" w:rsidR="00471123" w:rsidRPr="00D8750F" w:rsidRDefault="00471123" w:rsidP="00471123">
      <w:pPr>
        <w:keepNext/>
        <w:keepLines/>
        <w:spacing w:line="320" w:lineRule="atLeast"/>
        <w:outlineLvl w:val="3"/>
        <w:rPr>
          <w:rFonts w:ascii="Calibri" w:eastAsia="Microsoft JhengHei" w:hAnsi="Calibri" w:cs="Arial"/>
          <w:bCs/>
          <w:iCs/>
          <w:color w:val="7F7F7F"/>
          <w:sz w:val="24"/>
        </w:rPr>
      </w:pPr>
      <w:r>
        <w:rPr>
          <w:rFonts w:ascii="Calibri" w:eastAsia="Microsoft JhengHei" w:hAnsi="Calibri" w:cs="Arial"/>
          <w:bCs/>
          <w:iCs/>
          <w:color w:val="7F7F7F"/>
          <w:sz w:val="24"/>
        </w:rPr>
        <w:t>Scottish GVA</w:t>
      </w:r>
    </w:p>
    <w:p w14:paraId="08B0277E" w14:textId="77777777" w:rsidR="00471123" w:rsidRDefault="00471123" w:rsidP="00471123">
      <w:pPr>
        <w:rPr>
          <w:rFonts w:ascii="Calibri" w:eastAsia="Microsoft JhengHei" w:hAnsi="Calibri"/>
        </w:rPr>
      </w:pPr>
      <w:r w:rsidRPr="00D8750F">
        <w:rPr>
          <w:rFonts w:ascii="Calibri" w:eastAsia="Microsoft JhengHei" w:hAnsi="Calibri"/>
        </w:rPr>
        <w:t>Cebr’s macroeconomics department produces regular forecasts of key economic indicators for the UK national</w:t>
      </w:r>
      <w:r>
        <w:rPr>
          <w:rFonts w:ascii="Calibri" w:eastAsia="Microsoft JhengHei" w:hAnsi="Calibri"/>
        </w:rPr>
        <w:t>,</w:t>
      </w:r>
      <w:r w:rsidRPr="00D8750F">
        <w:rPr>
          <w:rFonts w:ascii="Calibri" w:eastAsia="Microsoft JhengHei" w:hAnsi="Calibri"/>
        </w:rPr>
        <w:t xml:space="preserve"> regional </w:t>
      </w:r>
      <w:r>
        <w:rPr>
          <w:rFonts w:ascii="Calibri" w:eastAsia="Microsoft JhengHei" w:hAnsi="Calibri"/>
        </w:rPr>
        <w:t xml:space="preserve">and local </w:t>
      </w:r>
      <w:r w:rsidRPr="00D8750F">
        <w:rPr>
          <w:rFonts w:ascii="Calibri" w:eastAsia="Microsoft JhengHei" w:hAnsi="Calibri"/>
        </w:rPr>
        <w:t xml:space="preserve">economies which can directly inform our analysis. We therefore rely on our own </w:t>
      </w:r>
      <w:r>
        <w:rPr>
          <w:rFonts w:ascii="Calibri" w:eastAsia="Microsoft JhengHei" w:hAnsi="Calibri"/>
        </w:rPr>
        <w:t>projections</w:t>
      </w:r>
      <w:r w:rsidRPr="00D8750F">
        <w:rPr>
          <w:rFonts w:ascii="Calibri" w:eastAsia="Microsoft JhengHei" w:hAnsi="Calibri"/>
        </w:rPr>
        <w:t xml:space="preserve"> of </w:t>
      </w:r>
      <w:r>
        <w:rPr>
          <w:rFonts w:ascii="Calibri" w:eastAsia="Microsoft JhengHei" w:hAnsi="Calibri"/>
        </w:rPr>
        <w:t>the Scottish economy.</w:t>
      </w:r>
    </w:p>
    <w:p w14:paraId="68E7B23C" w14:textId="77777777" w:rsidR="00471123" w:rsidRPr="00D8750F" w:rsidRDefault="00471123" w:rsidP="00471123">
      <w:pPr>
        <w:rPr>
          <w:rFonts w:ascii="Calibri" w:eastAsia="Microsoft JhengHei" w:hAnsi="Calibri"/>
        </w:rPr>
      </w:pPr>
      <w:bookmarkStart w:id="121" w:name="_Toc11243631"/>
      <w:r w:rsidRPr="00D8750F">
        <w:rPr>
          <w:rFonts w:ascii="Calibri" w:eastAsia="Microsoft JhengHei" w:hAnsi="Calibri"/>
          <w:noProof/>
        </w:rPr>
        <w:t xml:space="preserve">Cebr expects </w:t>
      </w:r>
      <w:r>
        <w:rPr>
          <w:rFonts w:ascii="Calibri" w:eastAsia="Microsoft JhengHei" w:hAnsi="Calibri"/>
          <w:noProof/>
        </w:rPr>
        <w:t>Scotland regional</w:t>
      </w:r>
      <w:r w:rsidRPr="00D8750F">
        <w:rPr>
          <w:rFonts w:ascii="Calibri" w:eastAsia="Microsoft JhengHei" w:hAnsi="Calibri"/>
          <w:noProof/>
        </w:rPr>
        <w:t xml:space="preserve"> </w:t>
      </w:r>
      <w:r>
        <w:rPr>
          <w:rFonts w:ascii="Calibri" w:eastAsia="Microsoft JhengHei" w:hAnsi="Calibri"/>
          <w:noProof/>
        </w:rPr>
        <w:t>GVA</w:t>
      </w:r>
      <w:r w:rsidRPr="00D8750F">
        <w:rPr>
          <w:rFonts w:ascii="Calibri" w:eastAsia="Microsoft JhengHei" w:hAnsi="Calibri"/>
          <w:noProof/>
        </w:rPr>
        <w:t xml:space="preserve"> to grow at a </w:t>
      </w:r>
      <w:r w:rsidRPr="00D8750F">
        <w:rPr>
          <w:rFonts w:ascii="Calibri" w:eastAsia="Microsoft JhengHei" w:hAnsi="Calibri"/>
        </w:rPr>
        <w:t xml:space="preserve">Compounded Annual Growth rate (CAGR) of </w:t>
      </w:r>
      <w:r>
        <w:rPr>
          <w:rFonts w:ascii="Calibri" w:eastAsia="Microsoft JhengHei" w:hAnsi="Calibri"/>
        </w:rPr>
        <w:t>3.2</w:t>
      </w:r>
      <w:r w:rsidRPr="00D8750F">
        <w:rPr>
          <w:rFonts w:ascii="Calibri" w:eastAsia="Microsoft JhengHei" w:hAnsi="Calibri"/>
        </w:rPr>
        <w:t xml:space="preserve">% over 2018-2023 in </w:t>
      </w:r>
      <w:r>
        <w:rPr>
          <w:rFonts w:ascii="Calibri" w:eastAsia="Microsoft JhengHei" w:hAnsi="Calibri"/>
        </w:rPr>
        <w:t>nominal</w:t>
      </w:r>
      <w:r w:rsidRPr="00D8750F">
        <w:rPr>
          <w:rFonts w:ascii="Calibri" w:eastAsia="Microsoft JhengHei" w:hAnsi="Calibri"/>
        </w:rPr>
        <w:t xml:space="preserve"> terms. This rate is lower than the </w:t>
      </w:r>
      <w:r>
        <w:rPr>
          <w:rFonts w:ascii="Calibri" w:eastAsia="Microsoft JhengHei" w:hAnsi="Calibri"/>
        </w:rPr>
        <w:t>3.9</w:t>
      </w:r>
      <w:r w:rsidRPr="00D8750F">
        <w:rPr>
          <w:rFonts w:ascii="Calibri" w:eastAsia="Microsoft JhengHei" w:hAnsi="Calibri"/>
        </w:rPr>
        <w:t>% CAGR observed during the past 5 years. A high level of uncertainty characterises the forecast as the outcome of Brexit negotiations could easily shift the projections.</w:t>
      </w:r>
    </w:p>
    <w:p w14:paraId="1BADA11C" w14:textId="77777777" w:rsidR="00471123" w:rsidRPr="00862C1B" w:rsidRDefault="00471123" w:rsidP="00471123">
      <w:pPr>
        <w:pStyle w:val="Heading4"/>
      </w:pPr>
      <w:r w:rsidRPr="009A6627">
        <w:t>Production of energy: Oil &amp; Gas</w:t>
      </w:r>
    </w:p>
    <w:p w14:paraId="6F0A6591" w14:textId="58E85BA1" w:rsidR="00471123" w:rsidRPr="00381853" w:rsidRDefault="00471123" w:rsidP="00471123">
      <w:r w:rsidRPr="00A04E43">
        <w:rPr>
          <w:rFonts w:ascii="Calibri" w:hAnsi="Calibri" w:cs="Calibri"/>
        </w:rPr>
        <w:t>We</w:t>
      </w:r>
      <w:r>
        <w:rPr>
          <w:rFonts w:ascii="Calibri" w:hAnsi="Calibri" w:cs="Calibri"/>
        </w:rPr>
        <w:t xml:space="preserve"> rely upon</w:t>
      </w:r>
      <w:r w:rsidRPr="00A04E43">
        <w:rPr>
          <w:rFonts w:ascii="Calibri" w:hAnsi="Calibri" w:cs="Calibri"/>
        </w:rPr>
        <w:t xml:space="preserve"> </w:t>
      </w:r>
      <w:r>
        <w:rPr>
          <w:rFonts w:ascii="Calibri" w:hAnsi="Calibri" w:cs="Calibri"/>
        </w:rPr>
        <w:t>the Oil and Gas Authority (OGA)’s latest projections, which show a constant decline in oil and gas production for the period up to 2035. Energy production can have an ambiguous effect on the Maritime Sector. While it directly contributes to its direct economic impact through what we have defined as “</w:t>
      </w:r>
      <w:r w:rsidR="00B277F2">
        <w:rPr>
          <w:rFonts w:ascii="Calibri" w:hAnsi="Calibri" w:cs="Calibri"/>
        </w:rPr>
        <w:t>marine engineering and scientific</w:t>
      </w:r>
      <w:r>
        <w:rPr>
          <w:rFonts w:ascii="Calibri" w:hAnsi="Calibri" w:cs="Calibri"/>
        </w:rPr>
        <w:t xml:space="preserve">”, it can negatively affect trade. An increase in domestic production leads the country to relying less on imported energy, hence implying a reduction in total UK trade. Noting that </w:t>
      </w:r>
      <w:r>
        <w:lastRenderedPageBreak/>
        <w:t xml:space="preserve">25% of the country’s energy supply is imported by ship, a negative relationship between the Maritime economy and energy production can be explained. </w:t>
      </w:r>
    </w:p>
    <w:p w14:paraId="7CE766EE" w14:textId="77777777" w:rsidR="00471123" w:rsidRPr="00D8750F" w:rsidRDefault="00471123" w:rsidP="00471123">
      <w:pPr>
        <w:keepNext/>
        <w:keepLines/>
        <w:spacing w:line="320" w:lineRule="atLeast"/>
        <w:outlineLvl w:val="3"/>
        <w:rPr>
          <w:rFonts w:ascii="Calibri" w:eastAsia="Microsoft JhengHei" w:hAnsi="Calibri" w:cs="Arial"/>
          <w:bCs/>
          <w:iCs/>
          <w:color w:val="7F7F7F"/>
          <w:sz w:val="24"/>
        </w:rPr>
      </w:pPr>
      <w:r w:rsidRPr="00D8750F">
        <w:rPr>
          <w:rFonts w:ascii="Calibri" w:eastAsia="Microsoft JhengHei" w:hAnsi="Calibri" w:cs="Arial"/>
          <w:bCs/>
          <w:iCs/>
          <w:color w:val="7F7F7F"/>
          <w:sz w:val="24"/>
        </w:rPr>
        <w:t xml:space="preserve">Seaborne trade </w:t>
      </w:r>
      <w:bookmarkEnd w:id="121"/>
    </w:p>
    <w:p w14:paraId="5464B105" w14:textId="77777777" w:rsidR="00471123" w:rsidRPr="00D8750F" w:rsidRDefault="00471123" w:rsidP="00471123">
      <w:pPr>
        <w:rPr>
          <w:rFonts w:ascii="Calibri" w:eastAsia="Microsoft JhengHei" w:hAnsi="Calibri" w:cs="Calibri"/>
        </w:rPr>
      </w:pPr>
      <w:r>
        <w:rPr>
          <w:rFonts w:ascii="Calibri" w:eastAsia="Microsoft JhengHei" w:hAnsi="Calibri"/>
        </w:rPr>
        <w:t>S</w:t>
      </w:r>
      <w:r w:rsidRPr="00D8750F">
        <w:rPr>
          <w:rFonts w:ascii="Calibri" w:eastAsia="Microsoft JhengHei" w:hAnsi="Calibri"/>
        </w:rPr>
        <w:t xml:space="preserve">eaborne trade represents the main opportunity for the </w:t>
      </w:r>
      <w:r>
        <w:rPr>
          <w:rFonts w:ascii="Calibri" w:eastAsia="Microsoft JhengHei" w:hAnsi="Calibri"/>
        </w:rPr>
        <w:t xml:space="preserve">UK </w:t>
      </w:r>
      <w:r w:rsidRPr="00D8750F">
        <w:rPr>
          <w:rFonts w:ascii="Calibri" w:eastAsia="Microsoft JhengHei" w:hAnsi="Calibri"/>
        </w:rPr>
        <w:t xml:space="preserve">Maritime Sector over the near future. </w:t>
      </w:r>
      <w:r w:rsidRPr="00D8750F">
        <w:rPr>
          <w:rFonts w:ascii="Calibri" w:eastAsia="Microsoft JhengHei" w:hAnsi="Calibri" w:cs="Calibri"/>
        </w:rPr>
        <w:t>We consider both worldwide and UK-specific trade projections within our modelling framework.</w:t>
      </w:r>
      <w:r>
        <w:rPr>
          <w:rFonts w:ascii="Calibri" w:eastAsia="Microsoft JhengHei" w:hAnsi="Calibri" w:cs="Calibri"/>
        </w:rPr>
        <w:t xml:space="preserve"> </w:t>
      </w:r>
    </w:p>
    <w:p w14:paraId="35E7F0B2" w14:textId="77777777" w:rsidR="00471123" w:rsidRPr="00D8750F" w:rsidRDefault="00471123" w:rsidP="00471123">
      <w:pPr>
        <w:rPr>
          <w:rFonts w:ascii="Calibri" w:eastAsia="Microsoft JhengHei" w:hAnsi="Calibri"/>
        </w:rPr>
      </w:pPr>
      <w:r w:rsidRPr="00D8750F">
        <w:rPr>
          <w:rFonts w:ascii="Calibri" w:eastAsia="Microsoft JhengHei" w:hAnsi="Calibri"/>
        </w:rPr>
        <w:t>Worldwide trends indicate a sustained growth in trade. UNCTAD</w:t>
      </w:r>
      <w:r w:rsidRPr="00D8750F">
        <w:rPr>
          <w:rFonts w:ascii="Calibri" w:eastAsia="Microsoft JhengHei" w:hAnsi="Calibri"/>
          <w:position w:val="12"/>
          <w:sz w:val="18"/>
          <w:vertAlign w:val="superscript"/>
        </w:rPr>
        <w:footnoteReference w:id="14"/>
      </w:r>
      <w:r w:rsidRPr="00D8750F">
        <w:rPr>
          <w:rFonts w:ascii="Calibri" w:eastAsia="Microsoft JhengHei" w:hAnsi="Calibri"/>
        </w:rPr>
        <w:t xml:space="preserve"> sees positive prospects for world seaborne trade forecasting a 3.8% compound annual growth rate between 2018 and 2023 with strongest growth in volumes for containerized and dry bulk commodities. Seaborne trade projections are in line with recent trends showing an average growth rate of 3.5% between 2005 and 2017. These figures are broadly in line with forecasts published by other organisations. DNV GL (an internationally accredited registrar and classification society) projected a 39% increase in seaborne trade tonnage over 2016-2030</w:t>
      </w:r>
      <w:r w:rsidRPr="00D8750F">
        <w:rPr>
          <w:rFonts w:ascii="Calibri" w:eastAsia="Microsoft JhengHei" w:hAnsi="Calibri"/>
          <w:position w:val="12"/>
          <w:sz w:val="18"/>
          <w:vertAlign w:val="superscript"/>
        </w:rPr>
        <w:footnoteReference w:id="15"/>
      </w:r>
      <w:r w:rsidRPr="00D8750F">
        <w:rPr>
          <w:rFonts w:ascii="Calibri" w:eastAsia="Microsoft JhengHei" w:hAnsi="Calibri"/>
        </w:rPr>
        <w:t>. According to the OECD, global trade is forecast to grow at a higher rate than the economy and specifically a 1% increase in GDP is expected to correspond to a 1.1% growth in seaborne trade (tonnes)</w:t>
      </w:r>
      <w:r w:rsidRPr="00D8750F">
        <w:rPr>
          <w:rFonts w:ascii="Calibri" w:eastAsia="Microsoft JhengHei" w:hAnsi="Calibri"/>
          <w:position w:val="12"/>
          <w:sz w:val="18"/>
          <w:vertAlign w:val="superscript"/>
        </w:rPr>
        <w:footnoteReference w:id="16"/>
      </w:r>
      <w:r w:rsidRPr="00D8750F">
        <w:rPr>
          <w:rFonts w:ascii="Calibri" w:eastAsia="Microsoft JhengHei" w:hAnsi="Calibri"/>
          <w:sz w:val="24"/>
        </w:rPr>
        <w:t>.</w:t>
      </w:r>
      <w:r w:rsidRPr="00D8750F">
        <w:rPr>
          <w:rFonts w:ascii="Calibri" w:eastAsia="Microsoft JhengHei" w:hAnsi="Calibri"/>
        </w:rPr>
        <w:t xml:space="preserve">  </w:t>
      </w:r>
    </w:p>
    <w:p w14:paraId="1E09BB60" w14:textId="77777777" w:rsidR="00471123" w:rsidRDefault="00471123" w:rsidP="00471123">
      <w:pPr>
        <w:rPr>
          <w:rFonts w:ascii="Calibri" w:eastAsia="Microsoft JhengHei" w:hAnsi="Calibri" w:cs="Calibri"/>
        </w:rPr>
      </w:pPr>
      <w:r w:rsidRPr="00D8750F">
        <w:rPr>
          <w:rFonts w:ascii="Calibri" w:eastAsia="Microsoft JhengHei" w:hAnsi="Calibri" w:cs="Calibri"/>
        </w:rPr>
        <w:t xml:space="preserve">UK prospects are slightly less optimistic than the aforementioned forecasts, as demonstrated by the 2019 DfT’s projections of UK port freight traffic covering the years 2017 through to 2050. DfT reports that overall port traffic is forecast to remain relatively flat over the short term, but then grow over the long term, with tonnage 39% higher in 2050 compared to 2016. </w:t>
      </w:r>
    </w:p>
    <w:bookmarkEnd w:id="119"/>
    <w:p w14:paraId="76661C20" w14:textId="42157250" w:rsidR="00471123" w:rsidRDefault="00471123" w:rsidP="00471123">
      <w:pPr>
        <w:pStyle w:val="Heading4"/>
      </w:pPr>
      <w:r>
        <w:t xml:space="preserve">Sea passengers </w:t>
      </w:r>
    </w:p>
    <w:p w14:paraId="4651F80D" w14:textId="77777777" w:rsidR="00471123" w:rsidRDefault="00471123" w:rsidP="00471123">
      <w:pPr>
        <w:rPr>
          <w:rFonts w:ascii="Calibri" w:hAnsi="Calibri" w:cs="Calibri"/>
        </w:rPr>
      </w:pPr>
      <w:r>
        <w:rPr>
          <w:rFonts w:ascii="Calibri" w:hAnsi="Calibri" w:cs="Calibri"/>
        </w:rPr>
        <w:t>The Maritime Sector</w:t>
      </w:r>
      <w:r w:rsidRPr="00A42126">
        <w:rPr>
          <w:rFonts w:ascii="Calibri" w:hAnsi="Calibri" w:cs="Calibri"/>
        </w:rPr>
        <w:t xml:space="preserve"> </w:t>
      </w:r>
      <w:r>
        <w:rPr>
          <w:rFonts w:ascii="Calibri" w:hAnsi="Calibri" w:cs="Calibri"/>
        </w:rPr>
        <w:t xml:space="preserve">also </w:t>
      </w:r>
      <w:r w:rsidRPr="00A42126">
        <w:rPr>
          <w:rFonts w:ascii="Calibri" w:hAnsi="Calibri" w:cs="Calibri"/>
        </w:rPr>
        <w:t>plays a key role in tourism and leisure with nearly 2</w:t>
      </w:r>
      <w:r>
        <w:rPr>
          <w:rFonts w:ascii="Calibri" w:hAnsi="Calibri" w:cs="Calibri"/>
        </w:rPr>
        <w:t xml:space="preserve"> </w:t>
      </w:r>
      <w:r w:rsidRPr="00A42126">
        <w:rPr>
          <w:rFonts w:ascii="Calibri" w:hAnsi="Calibri" w:cs="Calibri"/>
        </w:rPr>
        <w:t>m</w:t>
      </w:r>
      <w:r>
        <w:rPr>
          <w:rFonts w:ascii="Calibri" w:hAnsi="Calibri" w:cs="Calibri"/>
        </w:rPr>
        <w:t>illion</w:t>
      </w:r>
      <w:r w:rsidRPr="00A42126">
        <w:rPr>
          <w:rFonts w:ascii="Calibri" w:hAnsi="Calibri" w:cs="Calibri"/>
        </w:rPr>
        <w:t xml:space="preserve"> cruise passengers passing through UK ports</w:t>
      </w:r>
      <w:r>
        <w:rPr>
          <w:rFonts w:ascii="Calibri" w:hAnsi="Calibri" w:cs="Calibri"/>
        </w:rPr>
        <w:t xml:space="preserve"> and more generally in sea transportation of passengers. In 2017, 20 million international ferry passengers travelled on UK short sea routes and 44 million domestic sea passengers.</w:t>
      </w:r>
    </w:p>
    <w:p w14:paraId="51A5F173" w14:textId="77777777" w:rsidR="00471123" w:rsidRPr="00EC6F7F" w:rsidRDefault="00471123" w:rsidP="00471123">
      <w:r>
        <w:t>Using UK GDP as main driver, we projected forward the number of sea passengers obtaining a cumulative growth of 1% over 2018-2023. This figure is in line with historical trends of this sector.</w:t>
      </w:r>
    </w:p>
    <w:p w14:paraId="662CA3BD" w14:textId="77777777" w:rsidR="00471123" w:rsidRPr="00D8750F" w:rsidRDefault="00471123" w:rsidP="00B277F2">
      <w:pPr>
        <w:pStyle w:val="Heading3"/>
      </w:pPr>
      <w:r w:rsidRPr="00D8750F">
        <w:t>The 2019-2023 forecast</w:t>
      </w:r>
      <w:r w:rsidRPr="00D8750F">
        <w:tab/>
      </w:r>
    </w:p>
    <w:p w14:paraId="59927721" w14:textId="26221D11" w:rsidR="00471123" w:rsidRPr="00D8750F" w:rsidRDefault="00471123" w:rsidP="00471123">
      <w:pPr>
        <w:rPr>
          <w:rFonts w:ascii="Calibri" w:eastAsia="Microsoft JhengHei" w:hAnsi="Calibri"/>
        </w:rPr>
      </w:pPr>
      <w:r w:rsidRPr="00D8750F">
        <w:rPr>
          <w:rFonts w:ascii="Calibri" w:eastAsia="Microsoft JhengHei" w:hAnsi="Calibri"/>
        </w:rPr>
        <w:fldChar w:fldCharType="begin"/>
      </w:r>
      <w:r w:rsidRPr="00D8750F">
        <w:rPr>
          <w:rFonts w:ascii="Calibri" w:eastAsia="Microsoft JhengHei" w:hAnsi="Calibri"/>
        </w:rPr>
        <w:instrText xml:space="preserve"> REF _Ref15912248 \h </w:instrText>
      </w:r>
      <w:r w:rsidRPr="00D8750F">
        <w:rPr>
          <w:rFonts w:ascii="Calibri" w:eastAsia="Microsoft JhengHei" w:hAnsi="Calibri"/>
        </w:rPr>
      </w:r>
      <w:r w:rsidRPr="00D8750F">
        <w:rPr>
          <w:rFonts w:ascii="Calibri" w:eastAsia="Microsoft JhengHei" w:hAnsi="Calibri"/>
        </w:rPr>
        <w:fldChar w:fldCharType="separate"/>
      </w:r>
      <w:r w:rsidRPr="00D8750F">
        <w:rPr>
          <w:rFonts w:ascii="Calibri" w:eastAsia="Microsoft JhengHei" w:hAnsi="Calibri"/>
        </w:rPr>
        <w:t xml:space="preserve">Figure </w:t>
      </w:r>
      <w:r w:rsidRPr="00D8750F">
        <w:rPr>
          <w:rFonts w:ascii="Calibri" w:eastAsia="Microsoft JhengHei" w:hAnsi="Calibri"/>
          <w:noProof/>
        </w:rPr>
        <w:t>23</w:t>
      </w:r>
      <w:r w:rsidRPr="00D8750F">
        <w:rPr>
          <w:rFonts w:ascii="Calibri" w:eastAsia="Microsoft JhengHei" w:hAnsi="Calibri"/>
        </w:rPr>
        <w:fldChar w:fldCharType="end"/>
      </w:r>
      <w:r w:rsidRPr="00D8750F">
        <w:rPr>
          <w:rFonts w:ascii="Calibri" w:eastAsia="Microsoft JhengHei" w:hAnsi="Calibri"/>
        </w:rPr>
        <w:t xml:space="preserve"> shows the </w:t>
      </w:r>
      <w:r>
        <w:rPr>
          <w:rFonts w:ascii="Calibri" w:eastAsia="Microsoft JhengHei" w:hAnsi="Calibri"/>
        </w:rPr>
        <w:t xml:space="preserve">Scottish-based </w:t>
      </w:r>
      <w:r w:rsidRPr="00D8750F">
        <w:rPr>
          <w:rFonts w:ascii="Calibri" w:eastAsia="Microsoft JhengHei" w:hAnsi="Calibri"/>
        </w:rPr>
        <w:t xml:space="preserve">Maritime sector experiencing steady growth over the five year horizon. Our forecast indicates that </w:t>
      </w:r>
      <w:r w:rsidR="007515A7">
        <w:rPr>
          <w:rFonts w:ascii="Calibri" w:eastAsia="Microsoft JhengHei" w:hAnsi="Calibri"/>
        </w:rPr>
        <w:t>Scottish</w:t>
      </w:r>
      <w:r>
        <w:rPr>
          <w:rFonts w:ascii="Calibri" w:eastAsia="Microsoft JhengHei" w:hAnsi="Calibri"/>
        </w:rPr>
        <w:t xml:space="preserve">-based </w:t>
      </w:r>
      <w:r w:rsidR="007515A7">
        <w:rPr>
          <w:rFonts w:ascii="Calibri" w:eastAsia="Microsoft JhengHei" w:hAnsi="Calibri"/>
        </w:rPr>
        <w:t>M</w:t>
      </w:r>
      <w:r w:rsidRPr="00D8750F">
        <w:rPr>
          <w:rFonts w:ascii="Calibri" w:eastAsia="Microsoft JhengHei" w:hAnsi="Calibri"/>
        </w:rPr>
        <w:t xml:space="preserve">aritime turnover and GVA are set to grow at a Compounded Annual Growth rate (CAGR) of </w:t>
      </w:r>
      <w:r>
        <w:rPr>
          <w:rFonts w:ascii="Calibri" w:eastAsia="Microsoft JhengHei" w:hAnsi="Calibri"/>
        </w:rPr>
        <w:t>2.6</w:t>
      </w:r>
      <w:r w:rsidRPr="00D8750F">
        <w:rPr>
          <w:rFonts w:ascii="Calibri" w:eastAsia="Microsoft JhengHei" w:hAnsi="Calibri"/>
        </w:rPr>
        <w:t xml:space="preserve">% over the considered period. This translates into a cumulative </w:t>
      </w:r>
      <w:r>
        <w:rPr>
          <w:rFonts w:ascii="Calibri" w:eastAsia="Microsoft JhengHei" w:hAnsi="Calibri"/>
        </w:rPr>
        <w:t xml:space="preserve">nominal </w:t>
      </w:r>
      <w:r w:rsidRPr="00D8750F">
        <w:rPr>
          <w:rFonts w:ascii="Calibri" w:eastAsia="Microsoft JhengHei" w:hAnsi="Calibri"/>
        </w:rPr>
        <w:t>growth of 1</w:t>
      </w:r>
      <w:r>
        <w:rPr>
          <w:rFonts w:ascii="Calibri" w:eastAsia="Microsoft JhengHei" w:hAnsi="Calibri"/>
        </w:rPr>
        <w:t>4</w:t>
      </w:r>
      <w:r w:rsidRPr="00D8750F">
        <w:rPr>
          <w:rFonts w:ascii="Calibri" w:eastAsia="Microsoft JhengHei" w:hAnsi="Calibri"/>
        </w:rPr>
        <w:t>% for 2019-2023</w:t>
      </w:r>
      <w:r>
        <w:rPr>
          <w:rFonts w:ascii="Calibri" w:eastAsia="Microsoft JhengHei" w:hAnsi="Calibri"/>
        </w:rPr>
        <w:t xml:space="preserve">, which, when </w:t>
      </w:r>
      <w:r w:rsidRPr="00D8750F">
        <w:rPr>
          <w:rFonts w:ascii="Calibri" w:eastAsia="Microsoft JhengHei" w:hAnsi="Calibri"/>
        </w:rPr>
        <w:t xml:space="preserve">considered alongside projected inflation, is about </w:t>
      </w:r>
      <w:r>
        <w:rPr>
          <w:rFonts w:ascii="Calibri" w:eastAsia="Microsoft JhengHei" w:hAnsi="Calibri"/>
        </w:rPr>
        <w:t>4</w:t>
      </w:r>
      <w:r w:rsidRPr="00D8750F">
        <w:rPr>
          <w:rFonts w:ascii="Calibri" w:eastAsia="Microsoft JhengHei" w:hAnsi="Calibri"/>
        </w:rPr>
        <w:t>%.</w:t>
      </w:r>
    </w:p>
    <w:p w14:paraId="62F11549" w14:textId="77777777" w:rsidR="00471123" w:rsidRDefault="00471123" w:rsidP="00471123">
      <w:pPr>
        <w:rPr>
          <w:rFonts w:ascii="Calibri" w:eastAsia="Microsoft JhengHei" w:hAnsi="Calibri"/>
        </w:rPr>
      </w:pPr>
      <w:r>
        <w:rPr>
          <w:rFonts w:ascii="Calibri" w:eastAsia="Microsoft JhengHei" w:hAnsi="Calibri"/>
        </w:rPr>
        <w:t xml:space="preserve">The projected growth is lower than what experienced over the period from 2010 to 2017. We note however that, after a period of sustained growth up to 2014, the Maritime Sector in Scotland has slowed down experiencing negative rates of growth in 2015 and 2016. </w:t>
      </w:r>
    </w:p>
    <w:p w14:paraId="55CA8BBA" w14:textId="77777777" w:rsidR="00471123" w:rsidRDefault="00471123" w:rsidP="00471123">
      <w:pPr>
        <w:rPr>
          <w:rFonts w:ascii="Calibri" w:eastAsia="Microsoft JhengHei" w:hAnsi="Calibri"/>
        </w:rPr>
      </w:pPr>
      <w:r>
        <w:rPr>
          <w:rFonts w:ascii="Calibri" w:eastAsia="Microsoft JhengHei" w:hAnsi="Calibri"/>
        </w:rPr>
        <w:t>Overall, the forecast for the Scottish-based Maritime Sector is in line with projections of the national Maritime economy.</w:t>
      </w:r>
    </w:p>
    <w:p w14:paraId="1FBFCDA6" w14:textId="77777777" w:rsidR="00B277F2" w:rsidRDefault="00B277F2" w:rsidP="00471123">
      <w:pPr>
        <w:rPr>
          <w:rFonts w:ascii="Calibri" w:eastAsia="Microsoft JhengHei" w:hAnsi="Calibri"/>
        </w:rPr>
      </w:pPr>
    </w:p>
    <w:p w14:paraId="0685C6FB" w14:textId="77777777" w:rsidR="00B277F2" w:rsidRDefault="00B277F2" w:rsidP="00471123">
      <w:pPr>
        <w:rPr>
          <w:rFonts w:ascii="Calibri" w:eastAsia="Microsoft JhengHei" w:hAnsi="Calibri"/>
        </w:rPr>
      </w:pPr>
    </w:p>
    <w:p w14:paraId="565F4239" w14:textId="77777777" w:rsidR="00471123" w:rsidRPr="00D8750F" w:rsidRDefault="00471123" w:rsidP="00471123">
      <w:pPr>
        <w:spacing w:after="200"/>
        <w:rPr>
          <w:rFonts w:ascii="Calibri" w:eastAsia="Microsoft JhengHei" w:hAnsi="Calibri"/>
          <w:i/>
          <w:iCs/>
          <w:color w:val="008C9B"/>
          <w:sz w:val="18"/>
          <w:szCs w:val="18"/>
        </w:rPr>
      </w:pPr>
      <w:bookmarkStart w:id="122" w:name="_Ref15912248"/>
      <w:r w:rsidRPr="00D8750F">
        <w:rPr>
          <w:rFonts w:ascii="Calibri" w:eastAsia="Microsoft JhengHei" w:hAnsi="Calibri"/>
          <w:i/>
          <w:iCs/>
          <w:color w:val="008C9B"/>
          <w:sz w:val="18"/>
          <w:szCs w:val="18"/>
        </w:rPr>
        <w:t xml:space="preserve">Figure </w:t>
      </w:r>
      <w:r w:rsidRPr="00D8750F">
        <w:rPr>
          <w:rFonts w:ascii="Calibri" w:eastAsia="Microsoft JhengHei" w:hAnsi="Calibri"/>
          <w:i/>
          <w:iCs/>
          <w:noProof/>
          <w:color w:val="008C9B"/>
          <w:sz w:val="18"/>
          <w:szCs w:val="18"/>
        </w:rPr>
        <w:fldChar w:fldCharType="begin"/>
      </w:r>
      <w:r w:rsidRPr="00D8750F">
        <w:rPr>
          <w:rFonts w:ascii="Calibri" w:eastAsia="Microsoft JhengHei" w:hAnsi="Calibri"/>
          <w:i/>
          <w:iCs/>
          <w:noProof/>
          <w:color w:val="008C9B"/>
          <w:sz w:val="18"/>
          <w:szCs w:val="18"/>
        </w:rPr>
        <w:instrText xml:space="preserve"> SEQ Figure \* ARABIC </w:instrText>
      </w:r>
      <w:r w:rsidRPr="00D8750F">
        <w:rPr>
          <w:rFonts w:ascii="Calibri" w:eastAsia="Microsoft JhengHei" w:hAnsi="Calibri"/>
          <w:i/>
          <w:iCs/>
          <w:noProof/>
          <w:color w:val="008C9B"/>
          <w:sz w:val="18"/>
          <w:szCs w:val="18"/>
        </w:rPr>
        <w:fldChar w:fldCharType="separate"/>
      </w:r>
      <w:r w:rsidRPr="00D8750F">
        <w:rPr>
          <w:rFonts w:ascii="Calibri" w:eastAsia="Microsoft JhengHei" w:hAnsi="Calibri"/>
          <w:i/>
          <w:iCs/>
          <w:noProof/>
          <w:color w:val="008C9B"/>
          <w:sz w:val="18"/>
          <w:szCs w:val="18"/>
        </w:rPr>
        <w:t>23</w:t>
      </w:r>
      <w:r w:rsidRPr="00D8750F">
        <w:rPr>
          <w:rFonts w:ascii="Calibri" w:eastAsia="Microsoft JhengHei" w:hAnsi="Calibri"/>
          <w:i/>
          <w:iCs/>
          <w:noProof/>
          <w:color w:val="008C9B"/>
          <w:sz w:val="18"/>
          <w:szCs w:val="18"/>
        </w:rPr>
        <w:fldChar w:fldCharType="end"/>
      </w:r>
      <w:bookmarkEnd w:id="122"/>
      <w:r w:rsidRPr="00D8750F">
        <w:rPr>
          <w:rFonts w:ascii="Calibri" w:eastAsia="Microsoft JhengHei" w:hAnsi="Calibri"/>
          <w:i/>
          <w:iCs/>
          <w:color w:val="008C9B"/>
          <w:sz w:val="18"/>
          <w:szCs w:val="18"/>
        </w:rPr>
        <w:t xml:space="preserve">: </w:t>
      </w:r>
      <w:r>
        <w:rPr>
          <w:rFonts w:ascii="Calibri" w:eastAsia="Microsoft JhengHei" w:hAnsi="Calibri"/>
          <w:i/>
          <w:iCs/>
          <w:color w:val="008C9B"/>
          <w:sz w:val="18"/>
          <w:szCs w:val="18"/>
        </w:rPr>
        <w:t>Scottish-based m</w:t>
      </w:r>
      <w:r w:rsidRPr="00D8750F">
        <w:rPr>
          <w:rFonts w:ascii="Calibri" w:eastAsia="Microsoft JhengHei" w:hAnsi="Calibri"/>
          <w:i/>
          <w:iCs/>
          <w:color w:val="008C9B"/>
          <w:sz w:val="18"/>
          <w:szCs w:val="18"/>
        </w:rPr>
        <w:t>aritime sector turnover and GVA trends and projections, £ million, 2015 to 2023</w:t>
      </w:r>
    </w:p>
    <w:p w14:paraId="1F7C74E1" w14:textId="77777777" w:rsidR="00471123" w:rsidRPr="00D8750F" w:rsidRDefault="00471123" w:rsidP="00471123">
      <w:pPr>
        <w:rPr>
          <w:rFonts w:ascii="Calibri" w:eastAsia="Microsoft JhengHei" w:hAnsi="Calibri"/>
        </w:rPr>
      </w:pPr>
      <w:r>
        <w:rPr>
          <w:noProof/>
          <w:lang w:eastAsia="en-GB"/>
        </w:rPr>
        <w:lastRenderedPageBreak/>
        <w:drawing>
          <wp:inline distT="0" distB="0" distL="0" distR="0" wp14:anchorId="04B36838" wp14:editId="694B999A">
            <wp:extent cx="5731510" cy="3863975"/>
            <wp:effectExtent l="0" t="0" r="2540" b="3175"/>
            <wp:docPr id="11" name="Chart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17C552-C399-42AB-BABF-C98ACD5F07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9C8BFF" w14:textId="77777777" w:rsidR="00471123" w:rsidRDefault="00471123" w:rsidP="00471123"/>
    <w:p w14:paraId="565CA8FF" w14:textId="32FED286" w:rsidR="002F5533" w:rsidRDefault="002F5533" w:rsidP="002F5533">
      <w:pPr>
        <w:pStyle w:val="Heading1"/>
      </w:pPr>
      <w:bookmarkStart w:id="123" w:name="_Toc16768016"/>
      <w:r w:rsidRPr="002F5533">
        <w:rPr>
          <w:iCs/>
        </w:rPr>
        <w:lastRenderedPageBreak/>
        <w:t xml:space="preserve">Case Study: </w:t>
      </w:r>
      <w:r w:rsidRPr="00272B6B">
        <w:t>Anglo Eastern and the Scottish Maritime Cluster</w:t>
      </w:r>
      <w:bookmarkEnd w:id="123"/>
    </w:p>
    <w:p w14:paraId="4B3B01A1" w14:textId="77777777" w:rsidR="002F5533" w:rsidRDefault="002F5533" w:rsidP="002F5533">
      <w:r>
        <w:t>Anglo Eastern is a maritime consultancy and global ship management company. Established in 1974 in Hong Kong, the company has expanded to become one of the world’s largest ship management companies with 25 offices worldwide.</w:t>
      </w:r>
      <w:r w:rsidRPr="00277547">
        <w:rPr>
          <w:rStyle w:val="FootnoteReference"/>
          <w:rFonts w:eastAsiaTheme="minorHAnsi" w:cstheme="minorBidi"/>
          <w:position w:val="0"/>
          <w:sz w:val="22"/>
          <w:szCs w:val="22"/>
          <w:lang w:eastAsia="en-US"/>
        </w:rPr>
        <w:footnoteReference w:id="17"/>
      </w:r>
      <w:r>
        <w:t xml:space="preserve"> Anglo Eastern’s current operations include complete third-party management of 600 vessels – 300 bulk carriers, 200 tankers and 100 container ships – and employ 27,000 seafarers and 1,700 shore staff.</w:t>
      </w:r>
      <w:r w:rsidRPr="00277547">
        <w:rPr>
          <w:rStyle w:val="FootnoteReference"/>
          <w:rFonts w:eastAsiaTheme="minorHAnsi" w:cstheme="minorBidi"/>
          <w:position w:val="0"/>
          <w:sz w:val="22"/>
          <w:szCs w:val="22"/>
          <w:lang w:eastAsia="en-US"/>
        </w:rPr>
        <w:footnoteReference w:id="18"/>
      </w:r>
    </w:p>
    <w:p w14:paraId="31BA62B8" w14:textId="77777777" w:rsidR="002F5533" w:rsidRDefault="002F5533" w:rsidP="002F5533">
      <w:r>
        <w:t>Anglo Eastern is globally renowned for its training and commitment to the career goals of seafarers. It operates dedicated training centres in India, the Philippines, China and Ukraine which offer courses such as cadet training, cargo operations, engineering, nautical institute accreditations and environmental management.</w:t>
      </w:r>
      <w:r w:rsidRPr="00277547">
        <w:rPr>
          <w:rStyle w:val="FootnoteReference"/>
          <w:rFonts w:eastAsiaTheme="minorHAnsi" w:cstheme="minorBidi"/>
          <w:position w:val="0"/>
          <w:sz w:val="22"/>
          <w:szCs w:val="22"/>
          <w:lang w:eastAsia="en-US"/>
        </w:rPr>
        <w:footnoteReference w:id="19"/>
      </w:r>
      <w:r>
        <w:t xml:space="preserve"> In addition to this, Anglo Eastern also offer over 50 courses for experienced officers to upgrade their skills beyond the mandatory requirements with the intention to maintain Anglo Eastern as one of the front runners of ship management.</w:t>
      </w:r>
      <w:r w:rsidRPr="00277547">
        <w:rPr>
          <w:rStyle w:val="FootnoteReference"/>
          <w:rFonts w:eastAsiaTheme="minorHAnsi" w:cstheme="minorBidi"/>
          <w:position w:val="0"/>
          <w:sz w:val="22"/>
          <w:szCs w:val="22"/>
          <w:lang w:eastAsia="en-US"/>
        </w:rPr>
        <w:footnoteReference w:id="20"/>
      </w:r>
    </w:p>
    <w:p w14:paraId="5669EF87" w14:textId="77777777" w:rsidR="002F5533" w:rsidRDefault="002F5533" w:rsidP="002F5533">
      <w:r>
        <w:t>Anglo Eastern’s services are significant, they provide third party management of bulk carriers, container ships, tankers, offshore vessels and semi-submersibles. In addition to this, they also deliver technical services such as conceptual design and new build supervision.</w:t>
      </w:r>
      <w:r w:rsidRPr="00277547">
        <w:rPr>
          <w:rStyle w:val="FootnoteReference"/>
          <w:rFonts w:eastAsiaTheme="minorHAnsi" w:cstheme="minorBidi"/>
          <w:position w:val="0"/>
          <w:sz w:val="22"/>
          <w:szCs w:val="22"/>
          <w:lang w:eastAsia="en-US"/>
        </w:rPr>
        <w:footnoteReference w:id="21"/>
      </w:r>
      <w:r w:rsidRPr="00277547">
        <w:rPr>
          <w:rStyle w:val="FootnoteReference"/>
          <w:rFonts w:eastAsiaTheme="minorHAnsi" w:cstheme="minorBidi"/>
          <w:position w:val="0"/>
          <w:sz w:val="22"/>
          <w:szCs w:val="22"/>
          <w:lang w:eastAsia="en-US"/>
        </w:rPr>
        <w:t xml:space="preserve"> </w:t>
      </w:r>
      <w:r>
        <w:t>However, Anglo Eastern is not solely a business operator, but also provides services within the Leisure Marine sector focusing on yacht management. This emphasises that Anglo Eastern is a broad maritime company encompassing Shipping, Leisure Marine and Marine Engineering and Scientific industry and Maritime Business Services.</w:t>
      </w:r>
    </w:p>
    <w:p w14:paraId="39170135" w14:textId="77777777" w:rsidR="002F5533" w:rsidRDefault="002F5533" w:rsidP="002F5533">
      <w:r>
        <w:t>Anglo Eastern’s UK office is based in Glasgow and is slightly differentiated from the parent company in that it is ‘Anglo Eastern Offshore’. Anglo Eastern Offshore’s operations includes the broad ship management the company is renowned for, but also offers services in consultancy in offshore markets.</w:t>
      </w:r>
      <w:r w:rsidRPr="00277547">
        <w:rPr>
          <w:rStyle w:val="FootnoteReference"/>
          <w:rFonts w:eastAsiaTheme="minorHAnsi" w:cstheme="minorBidi"/>
          <w:position w:val="0"/>
          <w:sz w:val="22"/>
          <w:szCs w:val="22"/>
          <w:lang w:eastAsia="en-US"/>
        </w:rPr>
        <w:footnoteReference w:id="22"/>
      </w:r>
      <w:r>
        <w:t xml:space="preserve"> This additional consultancy focuses on the oil and gas industry and renewable energies. </w:t>
      </w:r>
    </w:p>
    <w:p w14:paraId="42962F10" w14:textId="77777777" w:rsidR="002F5533" w:rsidRPr="00323EB5" w:rsidRDefault="002F5533" w:rsidP="002F5533">
      <w:r>
        <w:t>Anglo Eastern’s UK office, focusing on the additional consultancy of oil, gas and renewables, is well suited within Scotland. In 2017, 89% of the UKs support activities in Oil and Gas were situated within Scotland. Moreover, a 2013 governmental study on the low carbon economy found that 15% of offshore wind employees and 32% of marine renewables employees were located in Scotland,</w:t>
      </w:r>
      <w:r w:rsidRPr="00277547">
        <w:rPr>
          <w:rStyle w:val="FootnoteReference"/>
          <w:rFonts w:eastAsiaTheme="minorHAnsi" w:cstheme="minorBidi"/>
          <w:position w:val="0"/>
          <w:sz w:val="22"/>
          <w:szCs w:val="22"/>
          <w:lang w:eastAsia="en-US"/>
        </w:rPr>
        <w:footnoteReference w:id="23"/>
      </w:r>
      <w:r w:rsidRPr="00277547">
        <w:rPr>
          <w:rStyle w:val="FootnoteReference"/>
          <w:rFonts w:eastAsiaTheme="minorHAnsi" w:cstheme="minorBidi"/>
          <w:position w:val="0"/>
          <w:sz w:val="22"/>
          <w:szCs w:val="22"/>
          <w:lang w:eastAsia="en-US"/>
        </w:rPr>
        <w:t xml:space="preserve"> </w:t>
      </w:r>
      <w:r>
        <w:t xml:space="preserve">emphasising the regions importance to the renewables sector. </w:t>
      </w:r>
    </w:p>
    <w:p w14:paraId="1698465E" w14:textId="77777777" w:rsidR="002F5533" w:rsidRDefault="002F5533" w:rsidP="002F5533">
      <w:r>
        <w:t>More recently, the Managing Director of Anglo Eastern Offshore in Glasgow has, along with a range of other maritime companies, formed the Scottish Maritime Cluster. This organisation currently has over 40 members within the maritime sector and its aim is to enhance Scotland’s global maritime market share.</w:t>
      </w:r>
      <w:r w:rsidRPr="00277547">
        <w:rPr>
          <w:rStyle w:val="FootnoteReference"/>
          <w:rFonts w:eastAsiaTheme="minorHAnsi" w:cstheme="minorBidi"/>
          <w:position w:val="0"/>
          <w:sz w:val="22"/>
          <w:szCs w:val="22"/>
          <w:lang w:eastAsia="en-US"/>
        </w:rPr>
        <w:footnoteReference w:id="24"/>
      </w:r>
      <w:r w:rsidRPr="00277547">
        <w:rPr>
          <w:rStyle w:val="FootnoteReference"/>
          <w:rFonts w:eastAsiaTheme="minorHAnsi" w:cstheme="minorBidi"/>
          <w:position w:val="0"/>
          <w:sz w:val="22"/>
          <w:szCs w:val="22"/>
          <w:lang w:eastAsia="en-US"/>
        </w:rPr>
        <w:t xml:space="preserve"> </w:t>
      </w:r>
      <w:r>
        <w:t xml:space="preserve">The focus of this organisation is on commercial shipping, military contracts, maritime business services, legislation and training. </w:t>
      </w:r>
    </w:p>
    <w:p w14:paraId="6AD0378C" w14:textId="77777777" w:rsidR="002F5533" w:rsidRDefault="002F5533" w:rsidP="002F5533">
      <w:r>
        <w:t xml:space="preserve">Scotland is currently the UKs second largest maritime cluster, providing significant resources to the UK maritime industry. The Scottish Maritime Cluster organisation is hoping to provide a way to enhance opportunities for the region and drive economic growth for the industry as a whole. A key objective for the </w:t>
      </w:r>
      <w:r>
        <w:lastRenderedPageBreak/>
        <w:t>Scottish Maritime Cluster is to expand membership to beyond traditional maritime companies so as to bring in new expertise and skills to the sector.</w:t>
      </w:r>
      <w:r w:rsidRPr="00277547">
        <w:rPr>
          <w:rStyle w:val="FootnoteReference"/>
          <w:rFonts w:eastAsiaTheme="minorHAnsi" w:cstheme="minorBidi"/>
          <w:position w:val="0"/>
          <w:sz w:val="22"/>
          <w:szCs w:val="22"/>
          <w:lang w:eastAsia="en-US"/>
        </w:rPr>
        <w:footnoteReference w:id="25"/>
      </w:r>
    </w:p>
    <w:p w14:paraId="50EFE6ED" w14:textId="77777777" w:rsidR="002F5533" w:rsidRDefault="002F5533" w:rsidP="002F5533">
      <w:r>
        <w:t>The Scottish Maritime Cluster’s objectives align with the government’s broader Maritime 2050 goals. The government is particularly keen on maintaining the UK’s competitive advantage within the maritime sector in terms of training, its fiscal regime and the business services it provides.</w:t>
      </w:r>
      <w:r w:rsidRPr="00277547">
        <w:rPr>
          <w:rStyle w:val="FootnoteReference"/>
          <w:rFonts w:eastAsiaTheme="minorHAnsi" w:cstheme="minorBidi"/>
          <w:position w:val="0"/>
          <w:sz w:val="22"/>
          <w:szCs w:val="22"/>
          <w:lang w:eastAsia="en-US"/>
        </w:rPr>
        <w:footnoteReference w:id="26"/>
      </w:r>
      <w:r w:rsidRPr="00277547">
        <w:rPr>
          <w:rStyle w:val="FootnoteReference"/>
          <w:rFonts w:eastAsiaTheme="minorHAnsi" w:cstheme="minorBidi"/>
          <w:position w:val="0"/>
          <w:sz w:val="22"/>
          <w:szCs w:val="22"/>
          <w:lang w:eastAsia="en-US"/>
        </w:rPr>
        <w:t xml:space="preserve"> </w:t>
      </w:r>
      <w:r>
        <w:t xml:space="preserve">Institutions like the Scottish Maritime Cluster and Anglo Eastern who are stimulating these areas will be key players in the UKs objective to maintain its position as one of the strongest maritime hubs globally. </w:t>
      </w:r>
    </w:p>
    <w:p w14:paraId="74DF3691" w14:textId="77777777" w:rsidR="002F5533" w:rsidRPr="002F5533" w:rsidRDefault="002F5533" w:rsidP="002F5533"/>
    <w:p w14:paraId="3BCC2404" w14:textId="77777777" w:rsidR="002F5533" w:rsidRDefault="002F5533">
      <w:pPr>
        <w:spacing w:after="0"/>
        <w:rPr>
          <w:rStyle w:val="SubtleEmphasis"/>
          <w:sz w:val="18"/>
        </w:rPr>
      </w:pPr>
    </w:p>
    <w:p w14:paraId="0325844F" w14:textId="40B27B62" w:rsidR="001810AE" w:rsidRPr="002F5533" w:rsidRDefault="001810AE" w:rsidP="001810AE">
      <w:pPr>
        <w:pStyle w:val="Heading1"/>
      </w:pPr>
      <w:bookmarkStart w:id="124" w:name="_Toc16768017"/>
      <w:r w:rsidRPr="002F5533">
        <w:lastRenderedPageBreak/>
        <w:t>Annex: List of Scottish ports</w:t>
      </w:r>
      <w:bookmarkEnd w:id="124"/>
    </w:p>
    <w:p w14:paraId="23CF79EE" w14:textId="2F74819C" w:rsidR="00B9466C" w:rsidRDefault="00B9466C" w:rsidP="00B9466C">
      <w:pPr>
        <w:pStyle w:val="Caption"/>
        <w:keepNext/>
        <w:spacing w:after="120"/>
      </w:pPr>
      <w:r>
        <w:t xml:space="preserve">Table A.1: </w:t>
      </w:r>
      <w:r w:rsidR="00A553F4">
        <w:t>List of major and minor ports in Scotland considered as part of the study</w:t>
      </w:r>
    </w:p>
    <w:tbl>
      <w:tblPr>
        <w:tblW w:w="9629" w:type="dxa"/>
        <w:tblLook w:val="04A0" w:firstRow="1" w:lastRow="0" w:firstColumn="1" w:lastColumn="0" w:noHBand="0" w:noVBand="1"/>
      </w:tblPr>
      <w:tblGrid>
        <w:gridCol w:w="2292"/>
        <w:gridCol w:w="5778"/>
        <w:gridCol w:w="1559"/>
      </w:tblGrid>
      <w:tr w:rsidR="0028719B" w:rsidRPr="0028719B" w14:paraId="62A5ACB0" w14:textId="77777777" w:rsidTr="0028719B">
        <w:trPr>
          <w:trHeight w:val="315"/>
        </w:trPr>
        <w:tc>
          <w:tcPr>
            <w:tcW w:w="2292" w:type="dxa"/>
            <w:tcBorders>
              <w:top w:val="nil"/>
              <w:left w:val="single" w:sz="8" w:space="0" w:color="FFFFFF"/>
              <w:bottom w:val="single" w:sz="8" w:space="0" w:color="FFFFFF"/>
              <w:right w:val="single" w:sz="8" w:space="0" w:color="FFFFFF"/>
            </w:tcBorders>
            <w:shd w:val="clear" w:color="000000" w:fill="008C9B"/>
            <w:vAlign w:val="center"/>
            <w:hideMark/>
          </w:tcPr>
          <w:p w14:paraId="6F78336E" w14:textId="77777777" w:rsidR="0028719B" w:rsidRPr="0028719B" w:rsidRDefault="0028719B" w:rsidP="0028719B">
            <w:pPr>
              <w:spacing w:after="0"/>
              <w:rPr>
                <w:rFonts w:ascii="Calibri" w:eastAsia="Times New Roman" w:hAnsi="Calibri"/>
                <w:b/>
                <w:color w:val="FFFFFF"/>
                <w:sz w:val="20"/>
                <w:lang w:eastAsia="en-GB"/>
              </w:rPr>
            </w:pPr>
            <w:r w:rsidRPr="0028719B">
              <w:rPr>
                <w:rFonts w:ascii="Calibri" w:eastAsia="Times New Roman" w:hAnsi="Calibri"/>
                <w:b/>
                <w:color w:val="FFFFFF"/>
                <w:sz w:val="20"/>
                <w:lang w:eastAsia="en-GB"/>
              </w:rPr>
              <w:t>Port</w:t>
            </w:r>
          </w:p>
        </w:tc>
        <w:tc>
          <w:tcPr>
            <w:tcW w:w="5778" w:type="dxa"/>
            <w:tcBorders>
              <w:top w:val="nil"/>
              <w:left w:val="nil"/>
              <w:bottom w:val="single" w:sz="8" w:space="0" w:color="FFFFFF"/>
              <w:right w:val="single" w:sz="8" w:space="0" w:color="FFFFFF"/>
            </w:tcBorders>
            <w:shd w:val="clear" w:color="000000" w:fill="008C9B"/>
            <w:vAlign w:val="center"/>
            <w:hideMark/>
          </w:tcPr>
          <w:p w14:paraId="7159FDD7" w14:textId="77777777" w:rsidR="0028719B" w:rsidRPr="0028719B" w:rsidRDefault="0028719B" w:rsidP="0028719B">
            <w:pPr>
              <w:spacing w:after="0"/>
              <w:rPr>
                <w:rFonts w:ascii="Calibri" w:eastAsia="Times New Roman" w:hAnsi="Calibri"/>
                <w:b/>
                <w:color w:val="FFFFFF"/>
                <w:sz w:val="20"/>
                <w:lang w:eastAsia="en-GB"/>
              </w:rPr>
            </w:pPr>
            <w:r w:rsidRPr="0028719B">
              <w:rPr>
                <w:rFonts w:ascii="Calibri" w:eastAsia="Times New Roman" w:hAnsi="Calibri"/>
                <w:b/>
                <w:color w:val="FFFFFF"/>
                <w:sz w:val="20"/>
                <w:lang w:eastAsia="en-GB"/>
              </w:rPr>
              <w:t>Council Ward</w:t>
            </w:r>
          </w:p>
        </w:tc>
        <w:tc>
          <w:tcPr>
            <w:tcW w:w="1559" w:type="dxa"/>
            <w:tcBorders>
              <w:top w:val="nil"/>
              <w:left w:val="nil"/>
              <w:bottom w:val="single" w:sz="8" w:space="0" w:color="FFFFFF"/>
              <w:right w:val="single" w:sz="8" w:space="0" w:color="FFFFFF"/>
            </w:tcBorders>
            <w:shd w:val="clear" w:color="000000" w:fill="008C9B"/>
            <w:vAlign w:val="center"/>
            <w:hideMark/>
          </w:tcPr>
          <w:p w14:paraId="246C1D1D" w14:textId="77777777" w:rsidR="0028719B" w:rsidRPr="0028719B" w:rsidRDefault="0028719B" w:rsidP="0028719B">
            <w:pPr>
              <w:spacing w:after="0"/>
              <w:rPr>
                <w:rFonts w:ascii="Calibri" w:eastAsia="Times New Roman" w:hAnsi="Calibri"/>
                <w:b/>
                <w:color w:val="FFFFFF"/>
                <w:sz w:val="20"/>
                <w:lang w:eastAsia="en-GB"/>
              </w:rPr>
            </w:pPr>
            <w:r w:rsidRPr="0028719B">
              <w:rPr>
                <w:rFonts w:ascii="Calibri" w:eastAsia="Times New Roman" w:hAnsi="Calibri"/>
                <w:b/>
                <w:color w:val="FFFFFF"/>
                <w:sz w:val="20"/>
                <w:lang w:eastAsia="en-GB"/>
              </w:rPr>
              <w:t>Postcode</w:t>
            </w:r>
          </w:p>
        </w:tc>
      </w:tr>
      <w:tr w:rsidR="0028719B" w:rsidRPr="0028719B" w14:paraId="60E103BF"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08DEBCE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Aberdeen</w:t>
            </w:r>
          </w:p>
        </w:tc>
        <w:tc>
          <w:tcPr>
            <w:tcW w:w="5778" w:type="dxa"/>
            <w:tcBorders>
              <w:top w:val="nil"/>
              <w:left w:val="nil"/>
              <w:bottom w:val="single" w:sz="8" w:space="0" w:color="FFFFFF"/>
              <w:right w:val="single" w:sz="8" w:space="0" w:color="FFFFFF"/>
            </w:tcBorders>
            <w:shd w:val="clear" w:color="auto" w:fill="D0CECE"/>
            <w:vAlign w:val="center"/>
            <w:hideMark/>
          </w:tcPr>
          <w:p w14:paraId="640178A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George St / Harbour</w:t>
            </w:r>
          </w:p>
        </w:tc>
        <w:tc>
          <w:tcPr>
            <w:tcW w:w="1559" w:type="dxa"/>
            <w:tcBorders>
              <w:top w:val="nil"/>
              <w:left w:val="nil"/>
              <w:bottom w:val="single" w:sz="8" w:space="0" w:color="FFFFFF"/>
              <w:right w:val="single" w:sz="8" w:space="0" w:color="FFFFFF"/>
            </w:tcBorders>
            <w:shd w:val="clear" w:color="auto" w:fill="D0CECE"/>
            <w:vAlign w:val="center"/>
            <w:hideMark/>
          </w:tcPr>
          <w:p w14:paraId="277F7CBC"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AB11 5SS</w:t>
            </w:r>
          </w:p>
        </w:tc>
      </w:tr>
      <w:tr w:rsidR="0028719B" w:rsidRPr="0028719B" w14:paraId="6B9EAB6C"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3359B338"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Ardrishaig</w:t>
            </w:r>
          </w:p>
        </w:tc>
        <w:tc>
          <w:tcPr>
            <w:tcW w:w="5778" w:type="dxa"/>
            <w:tcBorders>
              <w:top w:val="nil"/>
              <w:left w:val="nil"/>
              <w:bottom w:val="single" w:sz="8" w:space="0" w:color="FFFFFF"/>
              <w:right w:val="single" w:sz="8" w:space="0" w:color="FFFFFF"/>
            </w:tcBorders>
            <w:shd w:val="clear" w:color="auto" w:fill="E7EEEF"/>
            <w:vAlign w:val="center"/>
            <w:hideMark/>
          </w:tcPr>
          <w:p w14:paraId="133D365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Mid Argyll</w:t>
            </w:r>
          </w:p>
        </w:tc>
        <w:tc>
          <w:tcPr>
            <w:tcW w:w="1559" w:type="dxa"/>
            <w:tcBorders>
              <w:top w:val="nil"/>
              <w:left w:val="nil"/>
              <w:bottom w:val="single" w:sz="8" w:space="0" w:color="FFFFFF"/>
              <w:right w:val="single" w:sz="8" w:space="0" w:color="FFFFFF"/>
            </w:tcBorders>
            <w:shd w:val="clear" w:color="auto" w:fill="E7EEEF"/>
            <w:vAlign w:val="center"/>
            <w:hideMark/>
          </w:tcPr>
          <w:p w14:paraId="2E5AC75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PA30 8DZ</w:t>
            </w:r>
          </w:p>
        </w:tc>
      </w:tr>
      <w:tr w:rsidR="0028719B" w:rsidRPr="0028719B" w14:paraId="64F02F09"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4123455F"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Ayr</w:t>
            </w:r>
          </w:p>
        </w:tc>
        <w:tc>
          <w:tcPr>
            <w:tcW w:w="5778" w:type="dxa"/>
            <w:tcBorders>
              <w:top w:val="nil"/>
              <w:left w:val="nil"/>
              <w:bottom w:val="single" w:sz="8" w:space="0" w:color="FFFFFF"/>
              <w:right w:val="single" w:sz="8" w:space="0" w:color="FFFFFF"/>
            </w:tcBorders>
            <w:shd w:val="clear" w:color="auto" w:fill="D0CECE"/>
            <w:vAlign w:val="center"/>
            <w:hideMark/>
          </w:tcPr>
          <w:p w14:paraId="01292029"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Ayr North</w:t>
            </w:r>
          </w:p>
        </w:tc>
        <w:tc>
          <w:tcPr>
            <w:tcW w:w="1559" w:type="dxa"/>
            <w:tcBorders>
              <w:top w:val="nil"/>
              <w:left w:val="nil"/>
              <w:bottom w:val="single" w:sz="8" w:space="0" w:color="FFFFFF"/>
              <w:right w:val="single" w:sz="8" w:space="0" w:color="FFFFFF"/>
            </w:tcBorders>
            <w:shd w:val="clear" w:color="auto" w:fill="D0CECE"/>
            <w:vAlign w:val="center"/>
            <w:hideMark/>
          </w:tcPr>
          <w:p w14:paraId="21C385C9"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KA8 8AH</w:t>
            </w:r>
          </w:p>
        </w:tc>
      </w:tr>
      <w:tr w:rsidR="0028719B" w:rsidRPr="0028719B" w14:paraId="3DEF9321"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6D494864"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Barra Castlebay</w:t>
            </w:r>
          </w:p>
        </w:tc>
        <w:tc>
          <w:tcPr>
            <w:tcW w:w="5778" w:type="dxa"/>
            <w:tcBorders>
              <w:top w:val="nil"/>
              <w:left w:val="nil"/>
              <w:bottom w:val="single" w:sz="8" w:space="0" w:color="FFFFFF"/>
              <w:right w:val="single" w:sz="8" w:space="0" w:color="FFFFFF"/>
            </w:tcBorders>
            <w:shd w:val="clear" w:color="auto" w:fill="E7EEEF"/>
            <w:vAlign w:val="center"/>
            <w:hideMark/>
          </w:tcPr>
          <w:p w14:paraId="2F6B1DD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Barraigh, Bhatarsaigh, Eirisgeigh agus Uibhist a Deas</w:t>
            </w:r>
          </w:p>
        </w:tc>
        <w:tc>
          <w:tcPr>
            <w:tcW w:w="1559" w:type="dxa"/>
            <w:tcBorders>
              <w:top w:val="nil"/>
              <w:left w:val="nil"/>
              <w:bottom w:val="single" w:sz="8" w:space="0" w:color="FFFFFF"/>
              <w:right w:val="single" w:sz="8" w:space="0" w:color="FFFFFF"/>
            </w:tcBorders>
            <w:shd w:val="clear" w:color="auto" w:fill="E7EEEF"/>
            <w:vAlign w:val="center"/>
            <w:hideMark/>
          </w:tcPr>
          <w:p w14:paraId="3B6572B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HS9 5XD</w:t>
            </w:r>
          </w:p>
        </w:tc>
      </w:tr>
      <w:tr w:rsidR="0028719B" w:rsidRPr="0028719B" w14:paraId="7C35D197"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2AEC23F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Buckie</w:t>
            </w:r>
          </w:p>
        </w:tc>
        <w:tc>
          <w:tcPr>
            <w:tcW w:w="5778" w:type="dxa"/>
            <w:tcBorders>
              <w:top w:val="nil"/>
              <w:left w:val="nil"/>
              <w:bottom w:val="single" w:sz="8" w:space="0" w:color="FFFFFF"/>
              <w:right w:val="single" w:sz="8" w:space="0" w:color="FFFFFF"/>
            </w:tcBorders>
            <w:shd w:val="clear" w:color="auto" w:fill="D0CECE"/>
            <w:vAlign w:val="center"/>
            <w:hideMark/>
          </w:tcPr>
          <w:p w14:paraId="402D9A4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Buckie</w:t>
            </w:r>
          </w:p>
        </w:tc>
        <w:tc>
          <w:tcPr>
            <w:tcW w:w="1559" w:type="dxa"/>
            <w:tcBorders>
              <w:top w:val="nil"/>
              <w:left w:val="nil"/>
              <w:bottom w:val="single" w:sz="8" w:space="0" w:color="FFFFFF"/>
              <w:right w:val="single" w:sz="8" w:space="0" w:color="FFFFFF"/>
            </w:tcBorders>
            <w:shd w:val="clear" w:color="auto" w:fill="D0CECE"/>
            <w:vAlign w:val="center"/>
            <w:hideMark/>
          </w:tcPr>
          <w:p w14:paraId="308512F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AB56 1UN</w:t>
            </w:r>
          </w:p>
        </w:tc>
      </w:tr>
      <w:tr w:rsidR="0028719B" w:rsidRPr="0028719B" w14:paraId="01266FEB"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37B686B7"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Burghead</w:t>
            </w:r>
          </w:p>
        </w:tc>
        <w:tc>
          <w:tcPr>
            <w:tcW w:w="5778" w:type="dxa"/>
            <w:tcBorders>
              <w:top w:val="nil"/>
              <w:left w:val="nil"/>
              <w:bottom w:val="single" w:sz="8" w:space="0" w:color="FFFFFF"/>
              <w:right w:val="single" w:sz="8" w:space="0" w:color="FFFFFF"/>
            </w:tcBorders>
            <w:shd w:val="clear" w:color="auto" w:fill="E7EEEF"/>
            <w:vAlign w:val="center"/>
            <w:hideMark/>
          </w:tcPr>
          <w:p w14:paraId="705AF3D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Heldon and Laich</w:t>
            </w:r>
          </w:p>
        </w:tc>
        <w:tc>
          <w:tcPr>
            <w:tcW w:w="1559" w:type="dxa"/>
            <w:tcBorders>
              <w:top w:val="nil"/>
              <w:left w:val="nil"/>
              <w:bottom w:val="single" w:sz="8" w:space="0" w:color="FFFFFF"/>
              <w:right w:val="single" w:sz="8" w:space="0" w:color="FFFFFF"/>
            </w:tcBorders>
            <w:shd w:val="clear" w:color="auto" w:fill="E7EEEF"/>
            <w:vAlign w:val="center"/>
            <w:hideMark/>
          </w:tcPr>
          <w:p w14:paraId="6C4A803C"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IV30 5UA</w:t>
            </w:r>
          </w:p>
        </w:tc>
      </w:tr>
      <w:tr w:rsidR="0028719B" w:rsidRPr="0028719B" w14:paraId="74591FBD"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3AA0301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Burntisland</w:t>
            </w:r>
          </w:p>
        </w:tc>
        <w:tc>
          <w:tcPr>
            <w:tcW w:w="5778" w:type="dxa"/>
            <w:tcBorders>
              <w:top w:val="nil"/>
              <w:left w:val="nil"/>
              <w:bottom w:val="single" w:sz="8" w:space="0" w:color="FFFFFF"/>
              <w:right w:val="single" w:sz="8" w:space="0" w:color="FFFFFF"/>
            </w:tcBorders>
            <w:shd w:val="clear" w:color="auto" w:fill="D0CECE"/>
            <w:vAlign w:val="center"/>
            <w:hideMark/>
          </w:tcPr>
          <w:p w14:paraId="2E60974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Rosyth</w:t>
            </w:r>
          </w:p>
        </w:tc>
        <w:tc>
          <w:tcPr>
            <w:tcW w:w="1559" w:type="dxa"/>
            <w:tcBorders>
              <w:top w:val="nil"/>
              <w:left w:val="nil"/>
              <w:bottom w:val="single" w:sz="8" w:space="0" w:color="FFFFFF"/>
              <w:right w:val="single" w:sz="8" w:space="0" w:color="FFFFFF"/>
            </w:tcBorders>
            <w:shd w:val="clear" w:color="auto" w:fill="D0CECE"/>
            <w:vAlign w:val="center"/>
            <w:hideMark/>
          </w:tcPr>
          <w:p w14:paraId="4A9940D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KY11 2XP</w:t>
            </w:r>
          </w:p>
        </w:tc>
      </w:tr>
      <w:tr w:rsidR="0028719B" w:rsidRPr="0028719B" w14:paraId="1B84EA0B"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1A23993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Cairnryan</w:t>
            </w:r>
          </w:p>
        </w:tc>
        <w:tc>
          <w:tcPr>
            <w:tcW w:w="5778" w:type="dxa"/>
            <w:tcBorders>
              <w:top w:val="nil"/>
              <w:left w:val="nil"/>
              <w:bottom w:val="single" w:sz="8" w:space="0" w:color="FFFFFF"/>
              <w:right w:val="single" w:sz="8" w:space="0" w:color="FFFFFF"/>
            </w:tcBorders>
            <w:shd w:val="clear" w:color="auto" w:fill="E7EEEF"/>
            <w:vAlign w:val="center"/>
            <w:hideMark/>
          </w:tcPr>
          <w:p w14:paraId="62BA6B2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Wigtown West</w:t>
            </w:r>
          </w:p>
        </w:tc>
        <w:tc>
          <w:tcPr>
            <w:tcW w:w="1559" w:type="dxa"/>
            <w:tcBorders>
              <w:top w:val="nil"/>
              <w:left w:val="nil"/>
              <w:bottom w:val="single" w:sz="8" w:space="0" w:color="FFFFFF"/>
              <w:right w:val="single" w:sz="8" w:space="0" w:color="FFFFFF"/>
            </w:tcBorders>
            <w:shd w:val="clear" w:color="auto" w:fill="E7EEEF"/>
            <w:vAlign w:val="center"/>
            <w:hideMark/>
          </w:tcPr>
          <w:p w14:paraId="24ACFD7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DG9 8RF</w:t>
            </w:r>
          </w:p>
        </w:tc>
      </w:tr>
      <w:tr w:rsidR="0028719B" w:rsidRPr="0028719B" w14:paraId="7F5C1112"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55136EB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Castlebay</w:t>
            </w:r>
          </w:p>
        </w:tc>
        <w:tc>
          <w:tcPr>
            <w:tcW w:w="5778" w:type="dxa"/>
            <w:tcBorders>
              <w:top w:val="nil"/>
              <w:left w:val="nil"/>
              <w:bottom w:val="single" w:sz="8" w:space="0" w:color="FFFFFF"/>
              <w:right w:val="single" w:sz="8" w:space="0" w:color="FFFFFF"/>
            </w:tcBorders>
            <w:shd w:val="clear" w:color="auto" w:fill="D0CECE"/>
            <w:vAlign w:val="center"/>
            <w:hideMark/>
          </w:tcPr>
          <w:p w14:paraId="658BC164"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Barraigh, Bhatarsaigh, Eirisgeigh agus Uibhist a Deas</w:t>
            </w:r>
          </w:p>
        </w:tc>
        <w:tc>
          <w:tcPr>
            <w:tcW w:w="1559" w:type="dxa"/>
            <w:tcBorders>
              <w:top w:val="nil"/>
              <w:left w:val="nil"/>
              <w:bottom w:val="single" w:sz="8" w:space="0" w:color="FFFFFF"/>
              <w:right w:val="single" w:sz="8" w:space="0" w:color="FFFFFF"/>
            </w:tcBorders>
            <w:shd w:val="clear" w:color="auto" w:fill="D0CECE"/>
            <w:vAlign w:val="center"/>
            <w:hideMark/>
          </w:tcPr>
          <w:p w14:paraId="3D8701C7"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HS9 5XD</w:t>
            </w:r>
          </w:p>
        </w:tc>
      </w:tr>
      <w:tr w:rsidR="0028719B" w:rsidRPr="0028719B" w14:paraId="45FD9EB8"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0A07E152"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Clyde</w:t>
            </w:r>
          </w:p>
        </w:tc>
        <w:tc>
          <w:tcPr>
            <w:tcW w:w="5778" w:type="dxa"/>
            <w:tcBorders>
              <w:top w:val="nil"/>
              <w:left w:val="nil"/>
              <w:bottom w:val="single" w:sz="8" w:space="0" w:color="FFFFFF"/>
              <w:right w:val="single" w:sz="8" w:space="0" w:color="FFFFFF"/>
            </w:tcBorders>
            <w:shd w:val="clear" w:color="auto" w:fill="E7EEEF"/>
            <w:vAlign w:val="center"/>
            <w:hideMark/>
          </w:tcPr>
          <w:p w14:paraId="6B5BAAF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Anderston/City</w:t>
            </w:r>
          </w:p>
        </w:tc>
        <w:tc>
          <w:tcPr>
            <w:tcW w:w="1559" w:type="dxa"/>
            <w:tcBorders>
              <w:top w:val="nil"/>
              <w:left w:val="nil"/>
              <w:bottom w:val="single" w:sz="8" w:space="0" w:color="FFFFFF"/>
              <w:right w:val="single" w:sz="8" w:space="0" w:color="FFFFFF"/>
            </w:tcBorders>
            <w:shd w:val="clear" w:color="auto" w:fill="E7EEEF"/>
            <w:vAlign w:val="center"/>
            <w:hideMark/>
          </w:tcPr>
          <w:p w14:paraId="36BB2EC2"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G2 8DS</w:t>
            </w:r>
          </w:p>
        </w:tc>
      </w:tr>
      <w:tr w:rsidR="0028719B" w:rsidRPr="0028719B" w14:paraId="1D2C081E"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2DBED54F"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Corpach</w:t>
            </w:r>
          </w:p>
        </w:tc>
        <w:tc>
          <w:tcPr>
            <w:tcW w:w="5778" w:type="dxa"/>
            <w:tcBorders>
              <w:top w:val="nil"/>
              <w:left w:val="nil"/>
              <w:bottom w:val="single" w:sz="8" w:space="0" w:color="FFFFFF"/>
              <w:right w:val="single" w:sz="8" w:space="0" w:color="FFFFFF"/>
            </w:tcBorders>
            <w:shd w:val="clear" w:color="auto" w:fill="D0CECE"/>
            <w:vAlign w:val="center"/>
            <w:hideMark/>
          </w:tcPr>
          <w:p w14:paraId="0D09F0B9"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Caol and Mallaig</w:t>
            </w:r>
          </w:p>
        </w:tc>
        <w:tc>
          <w:tcPr>
            <w:tcW w:w="1559" w:type="dxa"/>
            <w:tcBorders>
              <w:top w:val="nil"/>
              <w:left w:val="nil"/>
              <w:bottom w:val="single" w:sz="8" w:space="0" w:color="FFFFFF"/>
              <w:right w:val="single" w:sz="8" w:space="0" w:color="FFFFFF"/>
            </w:tcBorders>
            <w:shd w:val="clear" w:color="auto" w:fill="D0CECE"/>
            <w:vAlign w:val="center"/>
            <w:hideMark/>
          </w:tcPr>
          <w:p w14:paraId="5164A57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PH33 7NN</w:t>
            </w:r>
          </w:p>
        </w:tc>
      </w:tr>
      <w:tr w:rsidR="0028719B" w:rsidRPr="0028719B" w14:paraId="1F401B12"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3D402A7C"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Craignure</w:t>
            </w:r>
          </w:p>
        </w:tc>
        <w:tc>
          <w:tcPr>
            <w:tcW w:w="5778" w:type="dxa"/>
            <w:tcBorders>
              <w:top w:val="nil"/>
              <w:left w:val="nil"/>
              <w:bottom w:val="single" w:sz="8" w:space="0" w:color="FFFFFF"/>
              <w:right w:val="single" w:sz="8" w:space="0" w:color="FFFFFF"/>
            </w:tcBorders>
            <w:shd w:val="clear" w:color="auto" w:fill="E7EEEF"/>
            <w:vAlign w:val="center"/>
            <w:hideMark/>
          </w:tcPr>
          <w:p w14:paraId="61AAAAB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Oban South and the Isles</w:t>
            </w:r>
          </w:p>
        </w:tc>
        <w:tc>
          <w:tcPr>
            <w:tcW w:w="1559" w:type="dxa"/>
            <w:tcBorders>
              <w:top w:val="nil"/>
              <w:left w:val="nil"/>
              <w:bottom w:val="single" w:sz="8" w:space="0" w:color="FFFFFF"/>
              <w:right w:val="single" w:sz="8" w:space="0" w:color="FFFFFF"/>
            </w:tcBorders>
            <w:shd w:val="clear" w:color="auto" w:fill="E7EEEF"/>
            <w:vAlign w:val="center"/>
            <w:hideMark/>
          </w:tcPr>
          <w:p w14:paraId="6B6510B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PA34 4PF</w:t>
            </w:r>
          </w:p>
        </w:tc>
      </w:tr>
      <w:tr w:rsidR="0028719B" w:rsidRPr="0028719B" w14:paraId="45D241B1"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795B577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Cromarty Firth</w:t>
            </w:r>
          </w:p>
        </w:tc>
        <w:tc>
          <w:tcPr>
            <w:tcW w:w="5778" w:type="dxa"/>
            <w:tcBorders>
              <w:top w:val="nil"/>
              <w:left w:val="nil"/>
              <w:bottom w:val="single" w:sz="8" w:space="0" w:color="FFFFFF"/>
              <w:right w:val="single" w:sz="8" w:space="0" w:color="FFFFFF"/>
            </w:tcBorders>
            <w:shd w:val="clear" w:color="auto" w:fill="D0CECE"/>
            <w:vAlign w:val="center"/>
            <w:hideMark/>
          </w:tcPr>
          <w:p w14:paraId="4037F0A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Cromarty Firth</w:t>
            </w:r>
          </w:p>
        </w:tc>
        <w:tc>
          <w:tcPr>
            <w:tcW w:w="1559" w:type="dxa"/>
            <w:tcBorders>
              <w:top w:val="nil"/>
              <w:left w:val="nil"/>
              <w:bottom w:val="single" w:sz="8" w:space="0" w:color="FFFFFF"/>
              <w:right w:val="single" w:sz="8" w:space="0" w:color="FFFFFF"/>
            </w:tcBorders>
            <w:shd w:val="clear" w:color="auto" w:fill="D0CECE"/>
            <w:vAlign w:val="center"/>
            <w:hideMark/>
          </w:tcPr>
          <w:p w14:paraId="3D1766DF"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IV18 0HD</w:t>
            </w:r>
          </w:p>
        </w:tc>
      </w:tr>
      <w:tr w:rsidR="0028719B" w:rsidRPr="0028719B" w14:paraId="0ABF012E"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2E2F047C"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Cullivoe (Yell)</w:t>
            </w:r>
          </w:p>
        </w:tc>
        <w:tc>
          <w:tcPr>
            <w:tcW w:w="5778" w:type="dxa"/>
            <w:tcBorders>
              <w:top w:val="nil"/>
              <w:left w:val="nil"/>
              <w:bottom w:val="single" w:sz="8" w:space="0" w:color="FFFFFF"/>
              <w:right w:val="single" w:sz="8" w:space="0" w:color="FFFFFF"/>
            </w:tcBorders>
            <w:shd w:val="clear" w:color="auto" w:fill="E7EEEF"/>
            <w:vAlign w:val="center"/>
            <w:hideMark/>
          </w:tcPr>
          <w:p w14:paraId="5CCBD31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Shetland North</w:t>
            </w:r>
          </w:p>
        </w:tc>
        <w:tc>
          <w:tcPr>
            <w:tcW w:w="1559" w:type="dxa"/>
            <w:tcBorders>
              <w:top w:val="nil"/>
              <w:left w:val="nil"/>
              <w:bottom w:val="single" w:sz="8" w:space="0" w:color="FFFFFF"/>
              <w:right w:val="single" w:sz="8" w:space="0" w:color="FFFFFF"/>
            </w:tcBorders>
            <w:shd w:val="clear" w:color="auto" w:fill="E7EEEF"/>
            <w:vAlign w:val="center"/>
            <w:hideMark/>
          </w:tcPr>
          <w:p w14:paraId="126D6B6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ZE2 9QR</w:t>
            </w:r>
          </w:p>
        </w:tc>
      </w:tr>
      <w:tr w:rsidR="0028719B" w:rsidRPr="0028719B" w14:paraId="35E93FD3"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5C9CE74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Dundee</w:t>
            </w:r>
          </w:p>
        </w:tc>
        <w:tc>
          <w:tcPr>
            <w:tcW w:w="5778" w:type="dxa"/>
            <w:tcBorders>
              <w:top w:val="nil"/>
              <w:left w:val="nil"/>
              <w:bottom w:val="single" w:sz="8" w:space="0" w:color="FFFFFF"/>
              <w:right w:val="single" w:sz="8" w:space="0" w:color="FFFFFF"/>
            </w:tcBorders>
            <w:shd w:val="clear" w:color="auto" w:fill="D0CECE"/>
            <w:vAlign w:val="center"/>
            <w:hideMark/>
          </w:tcPr>
          <w:p w14:paraId="0A605C2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Maryfield</w:t>
            </w:r>
          </w:p>
        </w:tc>
        <w:tc>
          <w:tcPr>
            <w:tcW w:w="1559" w:type="dxa"/>
            <w:tcBorders>
              <w:top w:val="nil"/>
              <w:left w:val="nil"/>
              <w:bottom w:val="single" w:sz="8" w:space="0" w:color="FFFFFF"/>
              <w:right w:val="single" w:sz="8" w:space="0" w:color="FFFFFF"/>
            </w:tcBorders>
            <w:shd w:val="clear" w:color="auto" w:fill="D0CECE"/>
            <w:vAlign w:val="center"/>
            <w:hideMark/>
          </w:tcPr>
          <w:p w14:paraId="2DBC8FE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DD1 3HW</w:t>
            </w:r>
          </w:p>
        </w:tc>
      </w:tr>
      <w:tr w:rsidR="0028719B" w:rsidRPr="0028719B" w14:paraId="211676A6"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5042504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Fairlie Quay</w:t>
            </w:r>
          </w:p>
        </w:tc>
        <w:tc>
          <w:tcPr>
            <w:tcW w:w="5778" w:type="dxa"/>
            <w:tcBorders>
              <w:top w:val="nil"/>
              <w:left w:val="nil"/>
              <w:bottom w:val="single" w:sz="8" w:space="0" w:color="FFFFFF"/>
              <w:right w:val="single" w:sz="8" w:space="0" w:color="FFFFFF"/>
            </w:tcBorders>
            <w:shd w:val="clear" w:color="auto" w:fill="E7EEEF"/>
            <w:vAlign w:val="center"/>
            <w:hideMark/>
          </w:tcPr>
          <w:p w14:paraId="1B0D95D9"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North Coast and Cumbraes</w:t>
            </w:r>
          </w:p>
        </w:tc>
        <w:tc>
          <w:tcPr>
            <w:tcW w:w="1559" w:type="dxa"/>
            <w:tcBorders>
              <w:top w:val="nil"/>
              <w:left w:val="nil"/>
              <w:bottom w:val="single" w:sz="8" w:space="0" w:color="FFFFFF"/>
              <w:right w:val="single" w:sz="8" w:space="0" w:color="FFFFFF"/>
            </w:tcBorders>
            <w:shd w:val="clear" w:color="auto" w:fill="E7EEEF"/>
            <w:vAlign w:val="center"/>
            <w:hideMark/>
          </w:tcPr>
          <w:p w14:paraId="733A5D34"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KA29 0AS</w:t>
            </w:r>
          </w:p>
        </w:tc>
      </w:tr>
      <w:tr w:rsidR="0028719B" w:rsidRPr="0028719B" w14:paraId="620C9E6C"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75D2815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Forth</w:t>
            </w:r>
          </w:p>
        </w:tc>
        <w:tc>
          <w:tcPr>
            <w:tcW w:w="5778" w:type="dxa"/>
            <w:tcBorders>
              <w:top w:val="nil"/>
              <w:left w:val="nil"/>
              <w:bottom w:val="single" w:sz="8" w:space="0" w:color="FFFFFF"/>
              <w:right w:val="single" w:sz="8" w:space="0" w:color="FFFFFF"/>
            </w:tcBorders>
            <w:shd w:val="clear" w:color="auto" w:fill="D0CECE"/>
            <w:vAlign w:val="center"/>
            <w:hideMark/>
          </w:tcPr>
          <w:p w14:paraId="27B9BC6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w:t>
            </w:r>
          </w:p>
        </w:tc>
        <w:tc>
          <w:tcPr>
            <w:tcW w:w="1559" w:type="dxa"/>
            <w:tcBorders>
              <w:top w:val="nil"/>
              <w:left w:val="nil"/>
              <w:bottom w:val="single" w:sz="8" w:space="0" w:color="FFFFFF"/>
              <w:right w:val="single" w:sz="8" w:space="0" w:color="FFFFFF"/>
            </w:tcBorders>
            <w:shd w:val="clear" w:color="auto" w:fill="D0CECE"/>
            <w:vAlign w:val="center"/>
            <w:hideMark/>
          </w:tcPr>
          <w:p w14:paraId="1B7E9451"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w:t>
            </w:r>
          </w:p>
        </w:tc>
      </w:tr>
      <w:tr w:rsidR="0028719B" w:rsidRPr="0028719B" w14:paraId="6ED940B4"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19267B84"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Fraserburgh Harbour</w:t>
            </w:r>
          </w:p>
        </w:tc>
        <w:tc>
          <w:tcPr>
            <w:tcW w:w="5778" w:type="dxa"/>
            <w:tcBorders>
              <w:top w:val="nil"/>
              <w:left w:val="nil"/>
              <w:bottom w:val="single" w:sz="8" w:space="0" w:color="FFFFFF"/>
              <w:right w:val="single" w:sz="8" w:space="0" w:color="FFFFFF"/>
            </w:tcBorders>
            <w:shd w:val="clear" w:color="auto" w:fill="E7EEEF"/>
            <w:vAlign w:val="center"/>
            <w:hideMark/>
          </w:tcPr>
          <w:p w14:paraId="745D281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Fraserburgh and District</w:t>
            </w:r>
          </w:p>
        </w:tc>
        <w:tc>
          <w:tcPr>
            <w:tcW w:w="1559" w:type="dxa"/>
            <w:tcBorders>
              <w:top w:val="nil"/>
              <w:left w:val="nil"/>
              <w:bottom w:val="single" w:sz="8" w:space="0" w:color="FFFFFF"/>
              <w:right w:val="single" w:sz="8" w:space="0" w:color="FFFFFF"/>
            </w:tcBorders>
            <w:shd w:val="clear" w:color="auto" w:fill="E7EEEF"/>
            <w:vAlign w:val="center"/>
            <w:hideMark/>
          </w:tcPr>
          <w:p w14:paraId="34D873A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AB43 9BR</w:t>
            </w:r>
          </w:p>
        </w:tc>
      </w:tr>
      <w:tr w:rsidR="0028719B" w:rsidRPr="0028719B" w14:paraId="6A35F359"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1F94295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Gairloch</w:t>
            </w:r>
          </w:p>
        </w:tc>
        <w:tc>
          <w:tcPr>
            <w:tcW w:w="5778" w:type="dxa"/>
            <w:tcBorders>
              <w:top w:val="nil"/>
              <w:left w:val="nil"/>
              <w:bottom w:val="single" w:sz="8" w:space="0" w:color="FFFFFF"/>
              <w:right w:val="single" w:sz="8" w:space="0" w:color="FFFFFF"/>
            </w:tcBorders>
            <w:shd w:val="clear" w:color="auto" w:fill="D0CECE"/>
            <w:vAlign w:val="center"/>
            <w:hideMark/>
          </w:tcPr>
          <w:p w14:paraId="12028A1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Wester Ross, Strathpeffer and Lochalsh</w:t>
            </w:r>
          </w:p>
        </w:tc>
        <w:tc>
          <w:tcPr>
            <w:tcW w:w="1559" w:type="dxa"/>
            <w:tcBorders>
              <w:top w:val="nil"/>
              <w:left w:val="nil"/>
              <w:bottom w:val="single" w:sz="8" w:space="0" w:color="FFFFFF"/>
              <w:right w:val="single" w:sz="8" w:space="0" w:color="FFFFFF"/>
            </w:tcBorders>
            <w:shd w:val="clear" w:color="auto" w:fill="D0CECE"/>
            <w:vAlign w:val="center"/>
            <w:hideMark/>
          </w:tcPr>
          <w:p w14:paraId="0678FAB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IV21 2BQ</w:t>
            </w:r>
          </w:p>
        </w:tc>
      </w:tr>
      <w:tr w:rsidR="0028719B" w:rsidRPr="0028719B" w14:paraId="28BEBADF"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32C58D2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Garlieston</w:t>
            </w:r>
          </w:p>
        </w:tc>
        <w:tc>
          <w:tcPr>
            <w:tcW w:w="5778" w:type="dxa"/>
            <w:tcBorders>
              <w:top w:val="nil"/>
              <w:left w:val="nil"/>
              <w:bottom w:val="single" w:sz="8" w:space="0" w:color="FFFFFF"/>
              <w:right w:val="single" w:sz="8" w:space="0" w:color="FFFFFF"/>
            </w:tcBorders>
            <w:shd w:val="clear" w:color="auto" w:fill="E7EEEF"/>
            <w:vAlign w:val="center"/>
            <w:hideMark/>
          </w:tcPr>
          <w:p w14:paraId="5FC3DEC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Mid Galloway</w:t>
            </w:r>
          </w:p>
        </w:tc>
        <w:tc>
          <w:tcPr>
            <w:tcW w:w="1559" w:type="dxa"/>
            <w:tcBorders>
              <w:top w:val="nil"/>
              <w:left w:val="nil"/>
              <w:bottom w:val="single" w:sz="8" w:space="0" w:color="FFFFFF"/>
              <w:right w:val="single" w:sz="8" w:space="0" w:color="FFFFFF"/>
            </w:tcBorders>
            <w:shd w:val="clear" w:color="auto" w:fill="E7EEEF"/>
            <w:vAlign w:val="center"/>
            <w:hideMark/>
          </w:tcPr>
          <w:p w14:paraId="7845CC62"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DG8 8BQ</w:t>
            </w:r>
          </w:p>
        </w:tc>
      </w:tr>
      <w:tr w:rsidR="0028719B" w:rsidRPr="0028719B" w14:paraId="0226C2B1"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3813CCD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Gill's Bay Scotland</w:t>
            </w:r>
          </w:p>
        </w:tc>
        <w:tc>
          <w:tcPr>
            <w:tcW w:w="5778" w:type="dxa"/>
            <w:tcBorders>
              <w:top w:val="nil"/>
              <w:left w:val="nil"/>
              <w:bottom w:val="single" w:sz="8" w:space="0" w:color="FFFFFF"/>
              <w:right w:val="single" w:sz="8" w:space="0" w:color="FFFFFF"/>
            </w:tcBorders>
            <w:shd w:val="clear" w:color="auto" w:fill="D0CECE"/>
            <w:vAlign w:val="center"/>
            <w:hideMark/>
          </w:tcPr>
          <w:p w14:paraId="6AA50C32"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Landward Caithness</w:t>
            </w:r>
          </w:p>
        </w:tc>
        <w:tc>
          <w:tcPr>
            <w:tcW w:w="1559" w:type="dxa"/>
            <w:tcBorders>
              <w:top w:val="nil"/>
              <w:left w:val="nil"/>
              <w:bottom w:val="single" w:sz="8" w:space="0" w:color="FFFFFF"/>
              <w:right w:val="single" w:sz="8" w:space="0" w:color="FFFFFF"/>
            </w:tcBorders>
            <w:shd w:val="clear" w:color="auto" w:fill="D0CECE"/>
            <w:vAlign w:val="center"/>
            <w:hideMark/>
          </w:tcPr>
          <w:p w14:paraId="58D1C2B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KW1 4YB</w:t>
            </w:r>
          </w:p>
        </w:tc>
      </w:tr>
      <w:tr w:rsidR="0028719B" w:rsidRPr="0028719B" w14:paraId="231C07E4"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2407B13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Girvan</w:t>
            </w:r>
          </w:p>
        </w:tc>
        <w:tc>
          <w:tcPr>
            <w:tcW w:w="5778" w:type="dxa"/>
            <w:tcBorders>
              <w:top w:val="nil"/>
              <w:left w:val="nil"/>
              <w:bottom w:val="single" w:sz="8" w:space="0" w:color="FFFFFF"/>
              <w:right w:val="single" w:sz="8" w:space="0" w:color="FFFFFF"/>
            </w:tcBorders>
            <w:shd w:val="clear" w:color="auto" w:fill="E7EEEF"/>
            <w:vAlign w:val="center"/>
            <w:hideMark/>
          </w:tcPr>
          <w:p w14:paraId="5626EF5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Ayr West</w:t>
            </w:r>
          </w:p>
        </w:tc>
        <w:tc>
          <w:tcPr>
            <w:tcW w:w="1559" w:type="dxa"/>
            <w:tcBorders>
              <w:top w:val="nil"/>
              <w:left w:val="nil"/>
              <w:bottom w:val="single" w:sz="8" w:space="0" w:color="FFFFFF"/>
              <w:right w:val="single" w:sz="8" w:space="0" w:color="FFFFFF"/>
            </w:tcBorders>
            <w:shd w:val="clear" w:color="auto" w:fill="E7EEEF"/>
            <w:vAlign w:val="center"/>
            <w:hideMark/>
          </w:tcPr>
          <w:p w14:paraId="2EB9A5D7"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KA7 1EA</w:t>
            </w:r>
          </w:p>
        </w:tc>
      </w:tr>
      <w:tr w:rsidR="0028719B" w:rsidRPr="0028719B" w14:paraId="4C199AC5"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0567870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Glensanda</w:t>
            </w:r>
          </w:p>
        </w:tc>
        <w:tc>
          <w:tcPr>
            <w:tcW w:w="5778" w:type="dxa"/>
            <w:tcBorders>
              <w:top w:val="nil"/>
              <w:left w:val="nil"/>
              <w:bottom w:val="single" w:sz="8" w:space="0" w:color="FFFFFF"/>
              <w:right w:val="single" w:sz="8" w:space="0" w:color="FFFFFF"/>
            </w:tcBorders>
            <w:shd w:val="clear" w:color="auto" w:fill="D0CECE"/>
            <w:vAlign w:val="center"/>
            <w:hideMark/>
          </w:tcPr>
          <w:p w14:paraId="6FB4D3A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Oban North and Lorn</w:t>
            </w:r>
          </w:p>
        </w:tc>
        <w:tc>
          <w:tcPr>
            <w:tcW w:w="1559" w:type="dxa"/>
            <w:tcBorders>
              <w:top w:val="nil"/>
              <w:left w:val="nil"/>
              <w:bottom w:val="single" w:sz="8" w:space="0" w:color="FFFFFF"/>
              <w:right w:val="single" w:sz="8" w:space="0" w:color="FFFFFF"/>
            </w:tcBorders>
            <w:shd w:val="clear" w:color="auto" w:fill="D0CECE"/>
            <w:vAlign w:val="center"/>
            <w:hideMark/>
          </w:tcPr>
          <w:p w14:paraId="072907B7"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PA37 1SL</w:t>
            </w:r>
          </w:p>
        </w:tc>
      </w:tr>
      <w:tr w:rsidR="0028719B" w:rsidRPr="0028719B" w14:paraId="4E7BBC04"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0D53669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Grangemouth</w:t>
            </w:r>
          </w:p>
        </w:tc>
        <w:tc>
          <w:tcPr>
            <w:tcW w:w="5778" w:type="dxa"/>
            <w:tcBorders>
              <w:top w:val="nil"/>
              <w:left w:val="nil"/>
              <w:bottom w:val="single" w:sz="8" w:space="0" w:color="FFFFFF"/>
              <w:right w:val="single" w:sz="8" w:space="0" w:color="FFFFFF"/>
            </w:tcBorders>
            <w:shd w:val="clear" w:color="auto" w:fill="E7EEEF"/>
            <w:vAlign w:val="center"/>
            <w:hideMark/>
          </w:tcPr>
          <w:p w14:paraId="53944FD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Grangemouth</w:t>
            </w:r>
          </w:p>
        </w:tc>
        <w:tc>
          <w:tcPr>
            <w:tcW w:w="1559" w:type="dxa"/>
            <w:tcBorders>
              <w:top w:val="nil"/>
              <w:left w:val="nil"/>
              <w:bottom w:val="single" w:sz="8" w:space="0" w:color="FFFFFF"/>
              <w:right w:val="single" w:sz="8" w:space="0" w:color="FFFFFF"/>
            </w:tcBorders>
            <w:shd w:val="clear" w:color="auto" w:fill="E7EEEF"/>
            <w:vAlign w:val="center"/>
            <w:hideMark/>
          </w:tcPr>
          <w:p w14:paraId="7BC84E9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FK3 8UE</w:t>
            </w:r>
          </w:p>
        </w:tc>
      </w:tr>
      <w:tr w:rsidR="0028719B" w:rsidRPr="0028719B" w14:paraId="018B2C20"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7BE8B21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Helmsdale</w:t>
            </w:r>
          </w:p>
        </w:tc>
        <w:tc>
          <w:tcPr>
            <w:tcW w:w="5778" w:type="dxa"/>
            <w:tcBorders>
              <w:top w:val="nil"/>
              <w:left w:val="nil"/>
              <w:bottom w:val="single" w:sz="8" w:space="0" w:color="FFFFFF"/>
              <w:right w:val="single" w:sz="8" w:space="0" w:color="FFFFFF"/>
            </w:tcBorders>
            <w:shd w:val="clear" w:color="auto" w:fill="D0CECE"/>
            <w:vAlign w:val="center"/>
            <w:hideMark/>
          </w:tcPr>
          <w:p w14:paraId="290588A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East Sutherland and Edderton</w:t>
            </w:r>
          </w:p>
        </w:tc>
        <w:tc>
          <w:tcPr>
            <w:tcW w:w="1559" w:type="dxa"/>
            <w:tcBorders>
              <w:top w:val="nil"/>
              <w:left w:val="nil"/>
              <w:bottom w:val="single" w:sz="8" w:space="0" w:color="FFFFFF"/>
              <w:right w:val="single" w:sz="8" w:space="0" w:color="FFFFFF"/>
            </w:tcBorders>
            <w:shd w:val="clear" w:color="auto" w:fill="D0CECE"/>
            <w:vAlign w:val="center"/>
            <w:hideMark/>
          </w:tcPr>
          <w:p w14:paraId="54595127"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KW8 6JZ</w:t>
            </w:r>
          </w:p>
        </w:tc>
      </w:tr>
      <w:tr w:rsidR="0028719B" w:rsidRPr="0028719B" w14:paraId="774D731D"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53286AC4"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Inverkeithing</w:t>
            </w:r>
          </w:p>
        </w:tc>
        <w:tc>
          <w:tcPr>
            <w:tcW w:w="5778" w:type="dxa"/>
            <w:tcBorders>
              <w:top w:val="nil"/>
              <w:left w:val="nil"/>
              <w:bottom w:val="single" w:sz="8" w:space="0" w:color="FFFFFF"/>
              <w:right w:val="single" w:sz="8" w:space="0" w:color="FFFFFF"/>
            </w:tcBorders>
            <w:shd w:val="clear" w:color="auto" w:fill="E7EEEF"/>
            <w:vAlign w:val="center"/>
            <w:hideMark/>
          </w:tcPr>
          <w:p w14:paraId="5094C25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Dunfermline Central</w:t>
            </w:r>
          </w:p>
        </w:tc>
        <w:tc>
          <w:tcPr>
            <w:tcW w:w="1559" w:type="dxa"/>
            <w:tcBorders>
              <w:top w:val="nil"/>
              <w:left w:val="nil"/>
              <w:bottom w:val="single" w:sz="8" w:space="0" w:color="FFFFFF"/>
              <w:right w:val="single" w:sz="8" w:space="0" w:color="FFFFFF"/>
            </w:tcBorders>
            <w:shd w:val="clear" w:color="auto" w:fill="E7EEEF"/>
            <w:vAlign w:val="center"/>
            <w:hideMark/>
          </w:tcPr>
          <w:p w14:paraId="75EF459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KY11 1HR</w:t>
            </w:r>
          </w:p>
        </w:tc>
      </w:tr>
      <w:tr w:rsidR="0028719B" w:rsidRPr="0028719B" w14:paraId="2C99A1F4"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714627D4"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Inverness</w:t>
            </w:r>
          </w:p>
        </w:tc>
        <w:tc>
          <w:tcPr>
            <w:tcW w:w="5778" w:type="dxa"/>
            <w:tcBorders>
              <w:top w:val="nil"/>
              <w:left w:val="nil"/>
              <w:bottom w:val="single" w:sz="8" w:space="0" w:color="FFFFFF"/>
              <w:right w:val="single" w:sz="8" w:space="0" w:color="FFFFFF"/>
            </w:tcBorders>
            <w:shd w:val="clear" w:color="auto" w:fill="D0CECE"/>
            <w:vAlign w:val="center"/>
            <w:hideMark/>
          </w:tcPr>
          <w:p w14:paraId="2B72D971"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Inverness Millburn</w:t>
            </w:r>
          </w:p>
        </w:tc>
        <w:tc>
          <w:tcPr>
            <w:tcW w:w="1559" w:type="dxa"/>
            <w:tcBorders>
              <w:top w:val="nil"/>
              <w:left w:val="nil"/>
              <w:bottom w:val="single" w:sz="8" w:space="0" w:color="FFFFFF"/>
              <w:right w:val="single" w:sz="8" w:space="0" w:color="FFFFFF"/>
            </w:tcBorders>
            <w:shd w:val="clear" w:color="auto" w:fill="D0CECE"/>
            <w:vAlign w:val="center"/>
            <w:hideMark/>
          </w:tcPr>
          <w:p w14:paraId="700C8D67"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IV1 1SU</w:t>
            </w:r>
          </w:p>
        </w:tc>
      </w:tr>
      <w:tr w:rsidR="0028719B" w:rsidRPr="0028719B" w14:paraId="60ACB212"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1CE6D919"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Irvine</w:t>
            </w:r>
          </w:p>
        </w:tc>
        <w:tc>
          <w:tcPr>
            <w:tcW w:w="5778" w:type="dxa"/>
            <w:tcBorders>
              <w:top w:val="nil"/>
              <w:left w:val="nil"/>
              <w:bottom w:val="single" w:sz="8" w:space="0" w:color="FFFFFF"/>
              <w:right w:val="single" w:sz="8" w:space="0" w:color="FFFFFF"/>
            </w:tcBorders>
            <w:shd w:val="clear" w:color="auto" w:fill="E7EEEF"/>
            <w:vAlign w:val="center"/>
            <w:hideMark/>
          </w:tcPr>
          <w:p w14:paraId="5F23442F"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Irvine West</w:t>
            </w:r>
          </w:p>
        </w:tc>
        <w:tc>
          <w:tcPr>
            <w:tcW w:w="1559" w:type="dxa"/>
            <w:tcBorders>
              <w:top w:val="nil"/>
              <w:left w:val="nil"/>
              <w:bottom w:val="single" w:sz="8" w:space="0" w:color="FFFFFF"/>
              <w:right w:val="single" w:sz="8" w:space="0" w:color="FFFFFF"/>
            </w:tcBorders>
            <w:shd w:val="clear" w:color="auto" w:fill="E7EEEF"/>
            <w:vAlign w:val="center"/>
            <w:hideMark/>
          </w:tcPr>
          <w:p w14:paraId="66FBB07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KA12 8PZ</w:t>
            </w:r>
          </w:p>
        </w:tc>
      </w:tr>
      <w:tr w:rsidR="0028719B" w:rsidRPr="0028719B" w14:paraId="1F0E6E56"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5C384044"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Isle of Whithorn</w:t>
            </w:r>
          </w:p>
        </w:tc>
        <w:tc>
          <w:tcPr>
            <w:tcW w:w="5778" w:type="dxa"/>
            <w:tcBorders>
              <w:top w:val="nil"/>
              <w:left w:val="nil"/>
              <w:bottom w:val="single" w:sz="8" w:space="0" w:color="FFFFFF"/>
              <w:right w:val="single" w:sz="8" w:space="0" w:color="FFFFFF"/>
            </w:tcBorders>
            <w:shd w:val="clear" w:color="auto" w:fill="D0CECE"/>
            <w:vAlign w:val="center"/>
            <w:hideMark/>
          </w:tcPr>
          <w:p w14:paraId="750667D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Mid Galloway</w:t>
            </w:r>
          </w:p>
        </w:tc>
        <w:tc>
          <w:tcPr>
            <w:tcW w:w="1559" w:type="dxa"/>
            <w:tcBorders>
              <w:top w:val="nil"/>
              <w:left w:val="nil"/>
              <w:bottom w:val="single" w:sz="8" w:space="0" w:color="FFFFFF"/>
              <w:right w:val="single" w:sz="8" w:space="0" w:color="FFFFFF"/>
            </w:tcBorders>
            <w:shd w:val="clear" w:color="auto" w:fill="D0CECE"/>
            <w:vAlign w:val="center"/>
            <w:hideMark/>
          </w:tcPr>
          <w:p w14:paraId="11CA759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DG8 8LL</w:t>
            </w:r>
          </w:p>
        </w:tc>
      </w:tr>
      <w:tr w:rsidR="0028719B" w:rsidRPr="0028719B" w14:paraId="378A9395"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07ABA779"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Kinlochbervie</w:t>
            </w:r>
          </w:p>
        </w:tc>
        <w:tc>
          <w:tcPr>
            <w:tcW w:w="5778" w:type="dxa"/>
            <w:tcBorders>
              <w:top w:val="nil"/>
              <w:left w:val="nil"/>
              <w:bottom w:val="single" w:sz="8" w:space="0" w:color="FFFFFF"/>
              <w:right w:val="single" w:sz="8" w:space="0" w:color="FFFFFF"/>
            </w:tcBorders>
            <w:shd w:val="clear" w:color="auto" w:fill="E7EEEF"/>
            <w:vAlign w:val="center"/>
            <w:hideMark/>
          </w:tcPr>
          <w:p w14:paraId="5F447258"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North, West and Central Sutherland</w:t>
            </w:r>
          </w:p>
        </w:tc>
        <w:tc>
          <w:tcPr>
            <w:tcW w:w="1559" w:type="dxa"/>
            <w:tcBorders>
              <w:top w:val="nil"/>
              <w:left w:val="nil"/>
              <w:bottom w:val="single" w:sz="8" w:space="0" w:color="FFFFFF"/>
              <w:right w:val="single" w:sz="8" w:space="0" w:color="FFFFFF"/>
            </w:tcBorders>
            <w:shd w:val="clear" w:color="auto" w:fill="E7EEEF"/>
            <w:vAlign w:val="center"/>
            <w:hideMark/>
          </w:tcPr>
          <w:p w14:paraId="5FE38C4F"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IV27 4RR</w:t>
            </w:r>
          </w:p>
        </w:tc>
      </w:tr>
      <w:tr w:rsidR="0028719B" w:rsidRPr="0028719B" w14:paraId="6C4BA60C"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5A4C8FA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Kirkcaldy</w:t>
            </w:r>
          </w:p>
        </w:tc>
        <w:tc>
          <w:tcPr>
            <w:tcW w:w="5778" w:type="dxa"/>
            <w:tcBorders>
              <w:top w:val="nil"/>
              <w:left w:val="nil"/>
              <w:bottom w:val="single" w:sz="8" w:space="0" w:color="FFFFFF"/>
              <w:right w:val="single" w:sz="8" w:space="0" w:color="FFFFFF"/>
            </w:tcBorders>
            <w:shd w:val="clear" w:color="auto" w:fill="D0CECE"/>
            <w:vAlign w:val="center"/>
            <w:hideMark/>
          </w:tcPr>
          <w:p w14:paraId="462FA8F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Kirkcaldy East</w:t>
            </w:r>
          </w:p>
        </w:tc>
        <w:tc>
          <w:tcPr>
            <w:tcW w:w="1559" w:type="dxa"/>
            <w:tcBorders>
              <w:top w:val="nil"/>
              <w:left w:val="nil"/>
              <w:bottom w:val="single" w:sz="8" w:space="0" w:color="FFFFFF"/>
              <w:right w:val="single" w:sz="8" w:space="0" w:color="FFFFFF"/>
            </w:tcBorders>
            <w:shd w:val="clear" w:color="auto" w:fill="D0CECE"/>
            <w:vAlign w:val="center"/>
            <w:hideMark/>
          </w:tcPr>
          <w:p w14:paraId="2D713D5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KY1 2TD</w:t>
            </w:r>
          </w:p>
        </w:tc>
      </w:tr>
      <w:tr w:rsidR="0028719B" w:rsidRPr="0028719B" w14:paraId="46D7F836"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2D2DF9F8"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Kirkcudbright</w:t>
            </w:r>
          </w:p>
        </w:tc>
        <w:tc>
          <w:tcPr>
            <w:tcW w:w="5778" w:type="dxa"/>
            <w:tcBorders>
              <w:top w:val="nil"/>
              <w:left w:val="nil"/>
              <w:bottom w:val="single" w:sz="8" w:space="0" w:color="FFFFFF"/>
              <w:right w:val="single" w:sz="8" w:space="0" w:color="FFFFFF"/>
            </w:tcBorders>
            <w:shd w:val="clear" w:color="auto" w:fill="E7EEEF"/>
            <w:vAlign w:val="center"/>
            <w:hideMark/>
          </w:tcPr>
          <w:p w14:paraId="57DB703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Dee</w:t>
            </w:r>
          </w:p>
        </w:tc>
        <w:tc>
          <w:tcPr>
            <w:tcW w:w="1559" w:type="dxa"/>
            <w:tcBorders>
              <w:top w:val="nil"/>
              <w:left w:val="nil"/>
              <w:bottom w:val="single" w:sz="8" w:space="0" w:color="FFFFFF"/>
              <w:right w:val="single" w:sz="8" w:space="0" w:color="FFFFFF"/>
            </w:tcBorders>
            <w:shd w:val="clear" w:color="auto" w:fill="E7EEEF"/>
            <w:vAlign w:val="center"/>
            <w:hideMark/>
          </w:tcPr>
          <w:p w14:paraId="186DC98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DG6 4HY</w:t>
            </w:r>
          </w:p>
        </w:tc>
      </w:tr>
      <w:tr w:rsidR="0028719B" w:rsidRPr="0028719B" w14:paraId="1547F5AC"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6659F8BF"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Kishorn Quay</w:t>
            </w:r>
          </w:p>
        </w:tc>
        <w:tc>
          <w:tcPr>
            <w:tcW w:w="5778" w:type="dxa"/>
            <w:tcBorders>
              <w:top w:val="nil"/>
              <w:left w:val="nil"/>
              <w:bottom w:val="single" w:sz="8" w:space="0" w:color="FFFFFF"/>
              <w:right w:val="single" w:sz="8" w:space="0" w:color="FFFFFF"/>
            </w:tcBorders>
            <w:shd w:val="clear" w:color="auto" w:fill="D0CECE"/>
            <w:vAlign w:val="center"/>
            <w:hideMark/>
          </w:tcPr>
          <w:p w14:paraId="24A89C04"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Caol and Mallaig</w:t>
            </w:r>
          </w:p>
        </w:tc>
        <w:tc>
          <w:tcPr>
            <w:tcW w:w="1559" w:type="dxa"/>
            <w:tcBorders>
              <w:top w:val="nil"/>
              <w:left w:val="nil"/>
              <w:bottom w:val="single" w:sz="8" w:space="0" w:color="FFFFFF"/>
              <w:right w:val="single" w:sz="8" w:space="0" w:color="FFFFFF"/>
            </w:tcBorders>
            <w:shd w:val="clear" w:color="auto" w:fill="D0CECE"/>
            <w:vAlign w:val="center"/>
            <w:hideMark/>
          </w:tcPr>
          <w:p w14:paraId="73761D1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PH33 7NN</w:t>
            </w:r>
          </w:p>
        </w:tc>
      </w:tr>
      <w:tr w:rsidR="0028719B" w:rsidRPr="0028719B" w14:paraId="2062BD5B"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04A87F0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Kyle of Lochalsh</w:t>
            </w:r>
          </w:p>
        </w:tc>
        <w:tc>
          <w:tcPr>
            <w:tcW w:w="5778" w:type="dxa"/>
            <w:tcBorders>
              <w:top w:val="nil"/>
              <w:left w:val="nil"/>
              <w:bottom w:val="single" w:sz="8" w:space="0" w:color="FFFFFF"/>
              <w:right w:val="single" w:sz="8" w:space="0" w:color="FFFFFF"/>
            </w:tcBorders>
            <w:shd w:val="clear" w:color="auto" w:fill="E7EEEF"/>
            <w:vAlign w:val="center"/>
            <w:hideMark/>
          </w:tcPr>
          <w:p w14:paraId="4F1D3A0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Wester Ross, Strathpeffer and Lochalsh</w:t>
            </w:r>
          </w:p>
        </w:tc>
        <w:tc>
          <w:tcPr>
            <w:tcW w:w="1559" w:type="dxa"/>
            <w:tcBorders>
              <w:top w:val="nil"/>
              <w:left w:val="nil"/>
              <w:bottom w:val="single" w:sz="8" w:space="0" w:color="FFFFFF"/>
              <w:right w:val="single" w:sz="8" w:space="0" w:color="FFFFFF"/>
            </w:tcBorders>
            <w:shd w:val="clear" w:color="auto" w:fill="E7EEEF"/>
            <w:vAlign w:val="center"/>
            <w:hideMark/>
          </w:tcPr>
          <w:p w14:paraId="2F490C1F"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IV40 8AQ</w:t>
            </w:r>
          </w:p>
        </w:tc>
      </w:tr>
      <w:tr w:rsidR="0028719B" w:rsidRPr="0028719B" w14:paraId="7002A76E"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07071977"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Leith</w:t>
            </w:r>
          </w:p>
        </w:tc>
        <w:tc>
          <w:tcPr>
            <w:tcW w:w="5778" w:type="dxa"/>
            <w:tcBorders>
              <w:top w:val="nil"/>
              <w:left w:val="nil"/>
              <w:bottom w:val="single" w:sz="8" w:space="0" w:color="FFFFFF"/>
              <w:right w:val="single" w:sz="8" w:space="0" w:color="FFFFFF"/>
            </w:tcBorders>
            <w:shd w:val="clear" w:color="auto" w:fill="D0CECE"/>
            <w:vAlign w:val="center"/>
            <w:hideMark/>
          </w:tcPr>
          <w:p w14:paraId="36688FB2"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Leith</w:t>
            </w:r>
          </w:p>
        </w:tc>
        <w:tc>
          <w:tcPr>
            <w:tcW w:w="1559" w:type="dxa"/>
            <w:tcBorders>
              <w:top w:val="nil"/>
              <w:left w:val="nil"/>
              <w:bottom w:val="single" w:sz="8" w:space="0" w:color="FFFFFF"/>
              <w:right w:val="single" w:sz="8" w:space="0" w:color="FFFFFF"/>
            </w:tcBorders>
            <w:shd w:val="clear" w:color="auto" w:fill="D0CECE"/>
            <w:vAlign w:val="center"/>
            <w:hideMark/>
          </w:tcPr>
          <w:p w14:paraId="645D729C"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EH6 7DX</w:t>
            </w:r>
          </w:p>
        </w:tc>
      </w:tr>
      <w:tr w:rsidR="0028719B" w:rsidRPr="0028719B" w14:paraId="2D548BEE" w14:textId="77777777" w:rsidTr="002D5D78">
        <w:trPr>
          <w:trHeight w:val="315"/>
        </w:trPr>
        <w:tc>
          <w:tcPr>
            <w:tcW w:w="2292" w:type="dxa"/>
            <w:tcBorders>
              <w:top w:val="nil"/>
              <w:left w:val="nil"/>
              <w:bottom w:val="single" w:sz="8" w:space="0" w:color="FFFFFF"/>
              <w:right w:val="single" w:sz="8" w:space="0" w:color="FFFFFF"/>
            </w:tcBorders>
            <w:shd w:val="clear" w:color="auto" w:fill="E7EEEF"/>
            <w:vAlign w:val="center"/>
            <w:hideMark/>
          </w:tcPr>
          <w:p w14:paraId="30DE2238"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Lerwick</w:t>
            </w:r>
          </w:p>
        </w:tc>
        <w:tc>
          <w:tcPr>
            <w:tcW w:w="5778" w:type="dxa"/>
            <w:tcBorders>
              <w:top w:val="nil"/>
              <w:left w:val="nil"/>
              <w:bottom w:val="single" w:sz="8" w:space="0" w:color="FFFFFF"/>
              <w:right w:val="single" w:sz="8" w:space="0" w:color="FFFFFF"/>
            </w:tcBorders>
            <w:shd w:val="clear" w:color="auto" w:fill="E7EEEF"/>
            <w:vAlign w:val="center"/>
            <w:hideMark/>
          </w:tcPr>
          <w:p w14:paraId="54D3908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Lerwick North</w:t>
            </w:r>
          </w:p>
        </w:tc>
        <w:tc>
          <w:tcPr>
            <w:tcW w:w="1559" w:type="dxa"/>
            <w:tcBorders>
              <w:top w:val="nil"/>
              <w:left w:val="nil"/>
              <w:bottom w:val="single" w:sz="8" w:space="0" w:color="FFFFFF"/>
              <w:right w:val="single" w:sz="8" w:space="0" w:color="FFFFFF"/>
            </w:tcBorders>
            <w:shd w:val="clear" w:color="auto" w:fill="E7EEEF"/>
            <w:vAlign w:val="center"/>
            <w:hideMark/>
          </w:tcPr>
          <w:p w14:paraId="535CE1F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ZE1 0LL</w:t>
            </w:r>
          </w:p>
        </w:tc>
      </w:tr>
      <w:tr w:rsidR="0028719B" w:rsidRPr="0028719B" w14:paraId="5A498514" w14:textId="77777777" w:rsidTr="002D5D78">
        <w:trPr>
          <w:trHeight w:val="315"/>
        </w:trPr>
        <w:tc>
          <w:tcPr>
            <w:tcW w:w="2292" w:type="dxa"/>
            <w:tcBorders>
              <w:top w:val="nil"/>
              <w:left w:val="nil"/>
              <w:bottom w:val="single" w:sz="8" w:space="0" w:color="FFFFFF"/>
              <w:right w:val="single" w:sz="8" w:space="0" w:color="FFFFFF"/>
            </w:tcBorders>
            <w:shd w:val="clear" w:color="auto" w:fill="D0CECE"/>
            <w:vAlign w:val="center"/>
            <w:hideMark/>
          </w:tcPr>
          <w:p w14:paraId="1F88F7D7"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Lochaline</w:t>
            </w:r>
          </w:p>
        </w:tc>
        <w:tc>
          <w:tcPr>
            <w:tcW w:w="5778" w:type="dxa"/>
            <w:tcBorders>
              <w:top w:val="nil"/>
              <w:left w:val="nil"/>
              <w:bottom w:val="single" w:sz="8" w:space="0" w:color="FFFFFF"/>
              <w:right w:val="single" w:sz="8" w:space="0" w:color="FFFFFF"/>
            </w:tcBorders>
            <w:shd w:val="clear" w:color="auto" w:fill="D0CECE"/>
            <w:vAlign w:val="center"/>
            <w:hideMark/>
          </w:tcPr>
          <w:p w14:paraId="6498A66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Oban South and the Isles</w:t>
            </w:r>
          </w:p>
        </w:tc>
        <w:tc>
          <w:tcPr>
            <w:tcW w:w="1559" w:type="dxa"/>
            <w:tcBorders>
              <w:top w:val="nil"/>
              <w:left w:val="nil"/>
              <w:bottom w:val="single" w:sz="8" w:space="0" w:color="FFFFFF"/>
              <w:right w:val="single" w:sz="8" w:space="0" w:color="FFFFFF"/>
            </w:tcBorders>
            <w:shd w:val="clear" w:color="auto" w:fill="D0CECE"/>
            <w:vAlign w:val="center"/>
            <w:hideMark/>
          </w:tcPr>
          <w:p w14:paraId="4F35B40F"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PA65 6BA</w:t>
            </w:r>
          </w:p>
        </w:tc>
      </w:tr>
    </w:tbl>
    <w:p w14:paraId="18B08839" w14:textId="77777777" w:rsidR="0028719B" w:rsidRDefault="0028719B" w:rsidP="00B9466C">
      <w:pPr>
        <w:spacing w:before="60" w:after="120"/>
        <w:jc w:val="right"/>
      </w:pPr>
    </w:p>
    <w:p w14:paraId="4A103314" w14:textId="6A846CC4" w:rsidR="0028719B" w:rsidRDefault="0028719B" w:rsidP="0028719B">
      <w:pPr>
        <w:pStyle w:val="Caption"/>
        <w:keepNext/>
        <w:spacing w:after="120"/>
      </w:pPr>
      <w:r>
        <w:lastRenderedPageBreak/>
        <w:t>Table A.1: List of Scottish ports considered as part of the study (cont.)</w:t>
      </w:r>
    </w:p>
    <w:tbl>
      <w:tblPr>
        <w:tblW w:w="9629" w:type="dxa"/>
        <w:tblLook w:val="04A0" w:firstRow="1" w:lastRow="0" w:firstColumn="1" w:lastColumn="0" w:noHBand="0" w:noVBand="1"/>
      </w:tblPr>
      <w:tblGrid>
        <w:gridCol w:w="2258"/>
        <w:gridCol w:w="5812"/>
        <w:gridCol w:w="1559"/>
      </w:tblGrid>
      <w:tr w:rsidR="0028719B" w:rsidRPr="0028719B" w14:paraId="3DF81939" w14:textId="77777777" w:rsidTr="0028719B">
        <w:trPr>
          <w:trHeight w:val="315"/>
        </w:trPr>
        <w:tc>
          <w:tcPr>
            <w:tcW w:w="2258" w:type="dxa"/>
            <w:tcBorders>
              <w:top w:val="nil"/>
              <w:left w:val="single" w:sz="8" w:space="0" w:color="FFFFFF"/>
              <w:bottom w:val="single" w:sz="8" w:space="0" w:color="FFFFFF"/>
              <w:right w:val="single" w:sz="8" w:space="0" w:color="FFFFFF"/>
            </w:tcBorders>
            <w:shd w:val="clear" w:color="000000" w:fill="008C9B"/>
            <w:vAlign w:val="center"/>
            <w:hideMark/>
          </w:tcPr>
          <w:p w14:paraId="3CD981D4" w14:textId="77777777" w:rsidR="0028719B" w:rsidRPr="0028719B" w:rsidRDefault="0028719B" w:rsidP="0028719B">
            <w:pPr>
              <w:spacing w:after="0"/>
              <w:rPr>
                <w:rFonts w:ascii="Calibri" w:eastAsia="Times New Roman" w:hAnsi="Calibri"/>
                <w:b/>
                <w:color w:val="FFFFFF"/>
                <w:sz w:val="20"/>
                <w:lang w:eastAsia="en-GB"/>
              </w:rPr>
            </w:pPr>
            <w:r w:rsidRPr="0028719B">
              <w:rPr>
                <w:rFonts w:ascii="Calibri" w:eastAsia="Times New Roman" w:hAnsi="Calibri"/>
                <w:b/>
                <w:color w:val="FFFFFF"/>
                <w:sz w:val="20"/>
                <w:lang w:eastAsia="en-GB"/>
              </w:rPr>
              <w:t>Port</w:t>
            </w:r>
          </w:p>
        </w:tc>
        <w:tc>
          <w:tcPr>
            <w:tcW w:w="5812" w:type="dxa"/>
            <w:tcBorders>
              <w:top w:val="nil"/>
              <w:left w:val="nil"/>
              <w:bottom w:val="single" w:sz="8" w:space="0" w:color="FFFFFF"/>
              <w:right w:val="single" w:sz="8" w:space="0" w:color="FFFFFF"/>
            </w:tcBorders>
            <w:shd w:val="clear" w:color="000000" w:fill="008C9B"/>
            <w:vAlign w:val="center"/>
            <w:hideMark/>
          </w:tcPr>
          <w:p w14:paraId="7F567D0D" w14:textId="77777777" w:rsidR="0028719B" w:rsidRPr="0028719B" w:rsidRDefault="0028719B" w:rsidP="0028719B">
            <w:pPr>
              <w:spacing w:after="0"/>
              <w:rPr>
                <w:rFonts w:ascii="Calibri" w:eastAsia="Times New Roman" w:hAnsi="Calibri"/>
                <w:b/>
                <w:color w:val="FFFFFF"/>
                <w:sz w:val="20"/>
                <w:lang w:eastAsia="en-GB"/>
              </w:rPr>
            </w:pPr>
            <w:r w:rsidRPr="0028719B">
              <w:rPr>
                <w:rFonts w:ascii="Calibri" w:eastAsia="Times New Roman" w:hAnsi="Calibri"/>
                <w:b/>
                <w:color w:val="FFFFFF"/>
                <w:sz w:val="20"/>
                <w:lang w:eastAsia="en-GB"/>
              </w:rPr>
              <w:t>Council Ward</w:t>
            </w:r>
          </w:p>
        </w:tc>
        <w:tc>
          <w:tcPr>
            <w:tcW w:w="1559" w:type="dxa"/>
            <w:tcBorders>
              <w:top w:val="nil"/>
              <w:left w:val="nil"/>
              <w:bottom w:val="single" w:sz="8" w:space="0" w:color="FFFFFF"/>
              <w:right w:val="single" w:sz="8" w:space="0" w:color="FFFFFF"/>
            </w:tcBorders>
            <w:shd w:val="clear" w:color="000000" w:fill="008C9B"/>
            <w:vAlign w:val="center"/>
            <w:hideMark/>
          </w:tcPr>
          <w:p w14:paraId="3408502A" w14:textId="77777777" w:rsidR="0028719B" w:rsidRPr="0028719B" w:rsidRDefault="0028719B" w:rsidP="0028719B">
            <w:pPr>
              <w:spacing w:after="0"/>
              <w:rPr>
                <w:rFonts w:ascii="Calibri" w:eastAsia="Times New Roman" w:hAnsi="Calibri"/>
                <w:b/>
                <w:color w:val="FFFFFF"/>
                <w:sz w:val="20"/>
                <w:lang w:eastAsia="en-GB"/>
              </w:rPr>
            </w:pPr>
            <w:r w:rsidRPr="0028719B">
              <w:rPr>
                <w:rFonts w:ascii="Calibri" w:eastAsia="Times New Roman" w:hAnsi="Calibri"/>
                <w:b/>
                <w:color w:val="FFFFFF"/>
                <w:sz w:val="20"/>
                <w:lang w:eastAsia="en-GB"/>
              </w:rPr>
              <w:t>Postcode</w:t>
            </w:r>
          </w:p>
        </w:tc>
      </w:tr>
      <w:tr w:rsidR="0028719B" w:rsidRPr="0028719B" w14:paraId="7B3EA1B5"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71EC81DC"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Lochboisdale</w:t>
            </w:r>
          </w:p>
        </w:tc>
        <w:tc>
          <w:tcPr>
            <w:tcW w:w="5812" w:type="dxa"/>
            <w:tcBorders>
              <w:top w:val="nil"/>
              <w:left w:val="nil"/>
              <w:bottom w:val="single" w:sz="8" w:space="0" w:color="FFFFFF"/>
              <w:right w:val="single" w:sz="8" w:space="0" w:color="FFFFFF"/>
            </w:tcBorders>
            <w:shd w:val="clear" w:color="auto" w:fill="E7EEEF"/>
            <w:vAlign w:val="center"/>
            <w:hideMark/>
          </w:tcPr>
          <w:p w14:paraId="193ED32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Barraigh, Bhatarsaigh, Eirisgeigh agus Uibhist a Deas</w:t>
            </w:r>
          </w:p>
        </w:tc>
        <w:tc>
          <w:tcPr>
            <w:tcW w:w="1559" w:type="dxa"/>
            <w:tcBorders>
              <w:top w:val="nil"/>
              <w:left w:val="nil"/>
              <w:bottom w:val="single" w:sz="8" w:space="0" w:color="FFFFFF"/>
              <w:right w:val="single" w:sz="8" w:space="0" w:color="FFFFFF"/>
            </w:tcBorders>
            <w:shd w:val="clear" w:color="auto" w:fill="E7EEEF"/>
            <w:vAlign w:val="center"/>
            <w:hideMark/>
          </w:tcPr>
          <w:p w14:paraId="1A3841B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HS8 5TP</w:t>
            </w:r>
          </w:p>
        </w:tc>
      </w:tr>
      <w:tr w:rsidR="0028719B" w:rsidRPr="0028719B" w14:paraId="20510127"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2CCEA9D8"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Lochinver</w:t>
            </w:r>
          </w:p>
        </w:tc>
        <w:tc>
          <w:tcPr>
            <w:tcW w:w="5812" w:type="dxa"/>
            <w:tcBorders>
              <w:top w:val="nil"/>
              <w:left w:val="nil"/>
              <w:bottom w:val="single" w:sz="8" w:space="0" w:color="FFFFFF"/>
              <w:right w:val="single" w:sz="8" w:space="0" w:color="FFFFFF"/>
            </w:tcBorders>
            <w:shd w:val="clear" w:color="auto" w:fill="D0CECE"/>
            <w:vAlign w:val="center"/>
            <w:hideMark/>
          </w:tcPr>
          <w:p w14:paraId="0F569E8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 xml:space="preserve">North, West and Central Sutherland </w:t>
            </w:r>
          </w:p>
        </w:tc>
        <w:tc>
          <w:tcPr>
            <w:tcW w:w="1559" w:type="dxa"/>
            <w:tcBorders>
              <w:top w:val="nil"/>
              <w:left w:val="nil"/>
              <w:bottom w:val="single" w:sz="8" w:space="0" w:color="FFFFFF"/>
              <w:right w:val="single" w:sz="8" w:space="0" w:color="FFFFFF"/>
            </w:tcBorders>
            <w:shd w:val="clear" w:color="auto" w:fill="D0CECE"/>
            <w:vAlign w:val="center"/>
            <w:hideMark/>
          </w:tcPr>
          <w:p w14:paraId="090BAF4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IV27 4JP</w:t>
            </w:r>
          </w:p>
        </w:tc>
      </w:tr>
      <w:tr w:rsidR="0028719B" w:rsidRPr="0028719B" w14:paraId="6A6F976E"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5EA6096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Lochmaddy</w:t>
            </w:r>
          </w:p>
        </w:tc>
        <w:tc>
          <w:tcPr>
            <w:tcW w:w="5812" w:type="dxa"/>
            <w:tcBorders>
              <w:top w:val="nil"/>
              <w:left w:val="nil"/>
              <w:bottom w:val="single" w:sz="8" w:space="0" w:color="FFFFFF"/>
              <w:right w:val="single" w:sz="8" w:space="0" w:color="FFFFFF"/>
            </w:tcBorders>
            <w:shd w:val="clear" w:color="auto" w:fill="E7EEEF"/>
            <w:vAlign w:val="center"/>
            <w:hideMark/>
          </w:tcPr>
          <w:p w14:paraId="22C2FB1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Beinn na Foghla agus Uibhist a Tuath</w:t>
            </w:r>
          </w:p>
        </w:tc>
        <w:tc>
          <w:tcPr>
            <w:tcW w:w="1559" w:type="dxa"/>
            <w:tcBorders>
              <w:top w:val="nil"/>
              <w:left w:val="nil"/>
              <w:bottom w:val="single" w:sz="8" w:space="0" w:color="FFFFFF"/>
              <w:right w:val="single" w:sz="8" w:space="0" w:color="FFFFFF"/>
            </w:tcBorders>
            <w:shd w:val="clear" w:color="auto" w:fill="E7EEEF"/>
            <w:vAlign w:val="center"/>
            <w:hideMark/>
          </w:tcPr>
          <w:p w14:paraId="2D27C9A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HS7 5LA</w:t>
            </w:r>
          </w:p>
        </w:tc>
      </w:tr>
      <w:tr w:rsidR="0028719B" w:rsidRPr="0028719B" w14:paraId="31995D7D"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561144A8"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Lossiemouth</w:t>
            </w:r>
          </w:p>
        </w:tc>
        <w:tc>
          <w:tcPr>
            <w:tcW w:w="5812" w:type="dxa"/>
            <w:tcBorders>
              <w:top w:val="nil"/>
              <w:left w:val="nil"/>
              <w:bottom w:val="single" w:sz="8" w:space="0" w:color="FFFFFF"/>
              <w:right w:val="single" w:sz="8" w:space="0" w:color="FFFFFF"/>
            </w:tcBorders>
            <w:shd w:val="clear" w:color="auto" w:fill="D0CECE"/>
            <w:vAlign w:val="center"/>
            <w:hideMark/>
          </w:tcPr>
          <w:p w14:paraId="6F83B7DF"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Heldon and Laich</w:t>
            </w:r>
          </w:p>
        </w:tc>
        <w:tc>
          <w:tcPr>
            <w:tcW w:w="1559" w:type="dxa"/>
            <w:tcBorders>
              <w:top w:val="nil"/>
              <w:left w:val="nil"/>
              <w:bottom w:val="single" w:sz="8" w:space="0" w:color="FFFFFF"/>
              <w:right w:val="single" w:sz="8" w:space="0" w:color="FFFFFF"/>
            </w:tcBorders>
            <w:shd w:val="clear" w:color="auto" w:fill="D0CECE"/>
            <w:vAlign w:val="center"/>
            <w:hideMark/>
          </w:tcPr>
          <w:p w14:paraId="2B31D3DC"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IV31 6TW</w:t>
            </w:r>
          </w:p>
        </w:tc>
      </w:tr>
      <w:tr w:rsidR="0028719B" w:rsidRPr="0028719B" w14:paraId="33642095"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63A4519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Macduff</w:t>
            </w:r>
          </w:p>
        </w:tc>
        <w:tc>
          <w:tcPr>
            <w:tcW w:w="5812" w:type="dxa"/>
            <w:tcBorders>
              <w:top w:val="nil"/>
              <w:left w:val="nil"/>
              <w:bottom w:val="single" w:sz="8" w:space="0" w:color="FFFFFF"/>
              <w:right w:val="single" w:sz="8" w:space="0" w:color="FFFFFF"/>
            </w:tcBorders>
            <w:shd w:val="clear" w:color="auto" w:fill="E7EEEF"/>
            <w:vAlign w:val="center"/>
            <w:hideMark/>
          </w:tcPr>
          <w:p w14:paraId="31DAC4C7"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Troup</w:t>
            </w:r>
          </w:p>
        </w:tc>
        <w:tc>
          <w:tcPr>
            <w:tcW w:w="1559" w:type="dxa"/>
            <w:tcBorders>
              <w:top w:val="nil"/>
              <w:left w:val="nil"/>
              <w:bottom w:val="single" w:sz="8" w:space="0" w:color="FFFFFF"/>
              <w:right w:val="single" w:sz="8" w:space="0" w:color="FFFFFF"/>
            </w:tcBorders>
            <w:shd w:val="clear" w:color="auto" w:fill="E7EEEF"/>
            <w:vAlign w:val="center"/>
            <w:hideMark/>
          </w:tcPr>
          <w:p w14:paraId="30BBE59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AB44 1TX</w:t>
            </w:r>
          </w:p>
        </w:tc>
      </w:tr>
      <w:tr w:rsidR="0028719B" w:rsidRPr="0028719B" w14:paraId="122880A8"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2342D397"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Marine Resource Centre</w:t>
            </w:r>
          </w:p>
        </w:tc>
        <w:tc>
          <w:tcPr>
            <w:tcW w:w="5812" w:type="dxa"/>
            <w:tcBorders>
              <w:top w:val="nil"/>
              <w:left w:val="nil"/>
              <w:bottom w:val="single" w:sz="8" w:space="0" w:color="FFFFFF"/>
              <w:right w:val="single" w:sz="8" w:space="0" w:color="FFFFFF"/>
            </w:tcBorders>
            <w:shd w:val="clear" w:color="auto" w:fill="D0CECE"/>
            <w:vAlign w:val="center"/>
            <w:hideMark/>
          </w:tcPr>
          <w:p w14:paraId="55BC0B11"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Oban North and Lorn</w:t>
            </w:r>
          </w:p>
        </w:tc>
        <w:tc>
          <w:tcPr>
            <w:tcW w:w="1559" w:type="dxa"/>
            <w:tcBorders>
              <w:top w:val="nil"/>
              <w:left w:val="nil"/>
              <w:bottom w:val="single" w:sz="8" w:space="0" w:color="FFFFFF"/>
              <w:right w:val="single" w:sz="8" w:space="0" w:color="FFFFFF"/>
            </w:tcBorders>
            <w:shd w:val="clear" w:color="auto" w:fill="D0CECE"/>
            <w:vAlign w:val="center"/>
            <w:hideMark/>
          </w:tcPr>
          <w:p w14:paraId="2A01626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PA37 1SE</w:t>
            </w:r>
          </w:p>
        </w:tc>
      </w:tr>
      <w:tr w:rsidR="0028719B" w:rsidRPr="0028719B" w14:paraId="0D9243FC"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36DC56D8"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Methil</w:t>
            </w:r>
          </w:p>
        </w:tc>
        <w:tc>
          <w:tcPr>
            <w:tcW w:w="5812" w:type="dxa"/>
            <w:tcBorders>
              <w:top w:val="nil"/>
              <w:left w:val="nil"/>
              <w:bottom w:val="single" w:sz="8" w:space="0" w:color="FFFFFF"/>
              <w:right w:val="single" w:sz="8" w:space="0" w:color="FFFFFF"/>
            </w:tcBorders>
            <w:shd w:val="clear" w:color="auto" w:fill="E7EEEF"/>
            <w:vAlign w:val="center"/>
            <w:hideMark/>
          </w:tcPr>
          <w:p w14:paraId="3DFC5D9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Buckhaven, Methil and Wemyss Villages</w:t>
            </w:r>
          </w:p>
        </w:tc>
        <w:tc>
          <w:tcPr>
            <w:tcW w:w="1559" w:type="dxa"/>
            <w:tcBorders>
              <w:top w:val="nil"/>
              <w:left w:val="nil"/>
              <w:bottom w:val="single" w:sz="8" w:space="0" w:color="FFFFFF"/>
              <w:right w:val="single" w:sz="8" w:space="0" w:color="FFFFFF"/>
            </w:tcBorders>
            <w:shd w:val="clear" w:color="auto" w:fill="E7EEEF"/>
            <w:vAlign w:val="center"/>
            <w:hideMark/>
          </w:tcPr>
          <w:p w14:paraId="159EF10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KY8 3RE</w:t>
            </w:r>
          </w:p>
        </w:tc>
      </w:tr>
      <w:tr w:rsidR="0028719B" w:rsidRPr="0028719B" w14:paraId="1BE612FE"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3F46E03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Montrose</w:t>
            </w:r>
          </w:p>
        </w:tc>
        <w:tc>
          <w:tcPr>
            <w:tcW w:w="5812" w:type="dxa"/>
            <w:tcBorders>
              <w:top w:val="nil"/>
              <w:left w:val="nil"/>
              <w:bottom w:val="single" w:sz="8" w:space="0" w:color="FFFFFF"/>
              <w:right w:val="single" w:sz="8" w:space="0" w:color="FFFFFF"/>
            </w:tcBorders>
            <w:shd w:val="clear" w:color="auto" w:fill="D0CECE"/>
            <w:vAlign w:val="center"/>
            <w:hideMark/>
          </w:tcPr>
          <w:p w14:paraId="1D150E6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Montrose and District</w:t>
            </w:r>
          </w:p>
        </w:tc>
        <w:tc>
          <w:tcPr>
            <w:tcW w:w="1559" w:type="dxa"/>
            <w:tcBorders>
              <w:top w:val="nil"/>
              <w:left w:val="nil"/>
              <w:bottom w:val="single" w:sz="8" w:space="0" w:color="FFFFFF"/>
              <w:right w:val="single" w:sz="8" w:space="0" w:color="FFFFFF"/>
            </w:tcBorders>
            <w:shd w:val="clear" w:color="auto" w:fill="D0CECE"/>
            <w:vAlign w:val="center"/>
            <w:hideMark/>
          </w:tcPr>
          <w:p w14:paraId="4BD74104"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DD10 9SL</w:t>
            </w:r>
          </w:p>
        </w:tc>
      </w:tr>
      <w:tr w:rsidR="0028719B" w:rsidRPr="0028719B" w14:paraId="1D341237"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64735A4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Oban</w:t>
            </w:r>
          </w:p>
        </w:tc>
        <w:tc>
          <w:tcPr>
            <w:tcW w:w="5812" w:type="dxa"/>
            <w:tcBorders>
              <w:top w:val="nil"/>
              <w:left w:val="nil"/>
              <w:bottom w:val="single" w:sz="8" w:space="0" w:color="FFFFFF"/>
              <w:right w:val="single" w:sz="8" w:space="0" w:color="FFFFFF"/>
            </w:tcBorders>
            <w:shd w:val="clear" w:color="auto" w:fill="E7EEEF"/>
            <w:vAlign w:val="center"/>
            <w:hideMark/>
          </w:tcPr>
          <w:p w14:paraId="385A9AD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Oban South and the Isles</w:t>
            </w:r>
          </w:p>
        </w:tc>
        <w:tc>
          <w:tcPr>
            <w:tcW w:w="1559" w:type="dxa"/>
            <w:tcBorders>
              <w:top w:val="nil"/>
              <w:left w:val="nil"/>
              <w:bottom w:val="single" w:sz="8" w:space="0" w:color="FFFFFF"/>
              <w:right w:val="single" w:sz="8" w:space="0" w:color="FFFFFF"/>
            </w:tcBorders>
            <w:shd w:val="clear" w:color="auto" w:fill="E7EEEF"/>
            <w:vAlign w:val="center"/>
            <w:hideMark/>
          </w:tcPr>
          <w:p w14:paraId="06F26C5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 xml:space="preserve">PA3 LS </w:t>
            </w:r>
          </w:p>
        </w:tc>
      </w:tr>
      <w:tr w:rsidR="0028719B" w:rsidRPr="0028719B" w14:paraId="43A07C2F"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71AB8711"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Orkney Islands Council</w:t>
            </w:r>
          </w:p>
        </w:tc>
        <w:tc>
          <w:tcPr>
            <w:tcW w:w="5812" w:type="dxa"/>
            <w:tcBorders>
              <w:top w:val="nil"/>
              <w:left w:val="nil"/>
              <w:bottom w:val="single" w:sz="8" w:space="0" w:color="FFFFFF"/>
              <w:right w:val="single" w:sz="8" w:space="0" w:color="FFFFFF"/>
            </w:tcBorders>
            <w:shd w:val="clear" w:color="auto" w:fill="D0CECE"/>
            <w:vAlign w:val="center"/>
            <w:hideMark/>
          </w:tcPr>
          <w:p w14:paraId="5C699521"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Kirkwall West and Orphir</w:t>
            </w:r>
          </w:p>
        </w:tc>
        <w:tc>
          <w:tcPr>
            <w:tcW w:w="1559" w:type="dxa"/>
            <w:tcBorders>
              <w:top w:val="nil"/>
              <w:left w:val="nil"/>
              <w:bottom w:val="single" w:sz="8" w:space="0" w:color="FFFFFF"/>
              <w:right w:val="single" w:sz="8" w:space="0" w:color="FFFFFF"/>
            </w:tcBorders>
            <w:shd w:val="clear" w:color="auto" w:fill="D0CECE"/>
            <w:vAlign w:val="center"/>
            <w:hideMark/>
          </w:tcPr>
          <w:p w14:paraId="598AF9D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KW15 1SD</w:t>
            </w:r>
          </w:p>
        </w:tc>
      </w:tr>
      <w:tr w:rsidR="0028719B" w:rsidRPr="0028719B" w14:paraId="4A841ECF"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7EC8FC4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Perth Harbour</w:t>
            </w:r>
          </w:p>
        </w:tc>
        <w:tc>
          <w:tcPr>
            <w:tcW w:w="5812" w:type="dxa"/>
            <w:tcBorders>
              <w:top w:val="nil"/>
              <w:left w:val="nil"/>
              <w:bottom w:val="single" w:sz="8" w:space="0" w:color="FFFFFF"/>
              <w:right w:val="single" w:sz="8" w:space="0" w:color="FFFFFF"/>
            </w:tcBorders>
            <w:shd w:val="clear" w:color="auto" w:fill="E7EEEF"/>
            <w:vAlign w:val="center"/>
            <w:hideMark/>
          </w:tcPr>
          <w:p w14:paraId="7F83FF0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Perth City Centre</w:t>
            </w:r>
          </w:p>
        </w:tc>
        <w:tc>
          <w:tcPr>
            <w:tcW w:w="1559" w:type="dxa"/>
            <w:tcBorders>
              <w:top w:val="nil"/>
              <w:left w:val="nil"/>
              <w:bottom w:val="single" w:sz="8" w:space="0" w:color="FFFFFF"/>
              <w:right w:val="single" w:sz="8" w:space="0" w:color="FFFFFF"/>
            </w:tcBorders>
            <w:shd w:val="clear" w:color="auto" w:fill="E7EEEF"/>
            <w:vAlign w:val="center"/>
            <w:hideMark/>
          </w:tcPr>
          <w:p w14:paraId="05DB562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PH2 8BB</w:t>
            </w:r>
          </w:p>
        </w:tc>
      </w:tr>
      <w:tr w:rsidR="0028719B" w:rsidRPr="0028719B" w14:paraId="5A803018"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499EB77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Peterhead</w:t>
            </w:r>
          </w:p>
        </w:tc>
        <w:tc>
          <w:tcPr>
            <w:tcW w:w="5812" w:type="dxa"/>
            <w:tcBorders>
              <w:top w:val="nil"/>
              <w:left w:val="nil"/>
              <w:bottom w:val="single" w:sz="8" w:space="0" w:color="FFFFFF"/>
              <w:right w:val="single" w:sz="8" w:space="0" w:color="FFFFFF"/>
            </w:tcBorders>
            <w:shd w:val="clear" w:color="auto" w:fill="D0CECE"/>
            <w:vAlign w:val="center"/>
            <w:hideMark/>
          </w:tcPr>
          <w:p w14:paraId="68F199B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Peterhead North and Rattray</w:t>
            </w:r>
          </w:p>
        </w:tc>
        <w:tc>
          <w:tcPr>
            <w:tcW w:w="1559" w:type="dxa"/>
            <w:tcBorders>
              <w:top w:val="nil"/>
              <w:left w:val="nil"/>
              <w:bottom w:val="single" w:sz="8" w:space="0" w:color="FFFFFF"/>
              <w:right w:val="single" w:sz="8" w:space="0" w:color="FFFFFF"/>
            </w:tcBorders>
            <w:shd w:val="clear" w:color="auto" w:fill="D0CECE"/>
            <w:vAlign w:val="center"/>
            <w:hideMark/>
          </w:tcPr>
          <w:p w14:paraId="17A2C58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AB42 1DX</w:t>
            </w:r>
          </w:p>
        </w:tc>
      </w:tr>
      <w:tr w:rsidR="0028719B" w:rsidRPr="0028719B" w14:paraId="6FAF4125"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02C1EC14"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Port Askaig</w:t>
            </w:r>
          </w:p>
        </w:tc>
        <w:tc>
          <w:tcPr>
            <w:tcW w:w="5812" w:type="dxa"/>
            <w:tcBorders>
              <w:top w:val="nil"/>
              <w:left w:val="nil"/>
              <w:bottom w:val="single" w:sz="8" w:space="0" w:color="FFFFFF"/>
              <w:right w:val="single" w:sz="8" w:space="0" w:color="FFFFFF"/>
            </w:tcBorders>
            <w:shd w:val="clear" w:color="auto" w:fill="E7EEEF"/>
            <w:vAlign w:val="center"/>
            <w:hideMark/>
          </w:tcPr>
          <w:p w14:paraId="648A6932"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Mid Argyll</w:t>
            </w:r>
          </w:p>
        </w:tc>
        <w:tc>
          <w:tcPr>
            <w:tcW w:w="1559" w:type="dxa"/>
            <w:tcBorders>
              <w:top w:val="nil"/>
              <w:left w:val="nil"/>
              <w:bottom w:val="single" w:sz="8" w:space="0" w:color="FFFFFF"/>
              <w:right w:val="single" w:sz="8" w:space="0" w:color="FFFFFF"/>
            </w:tcBorders>
            <w:shd w:val="clear" w:color="auto" w:fill="E7EEEF"/>
            <w:vAlign w:val="center"/>
            <w:hideMark/>
          </w:tcPr>
          <w:p w14:paraId="2CF28A4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PA31 8RT</w:t>
            </w:r>
          </w:p>
        </w:tc>
      </w:tr>
      <w:tr w:rsidR="0028719B" w:rsidRPr="0028719B" w14:paraId="35315D8B"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31631E9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Port William</w:t>
            </w:r>
          </w:p>
        </w:tc>
        <w:tc>
          <w:tcPr>
            <w:tcW w:w="5812" w:type="dxa"/>
            <w:tcBorders>
              <w:top w:val="nil"/>
              <w:left w:val="nil"/>
              <w:bottom w:val="single" w:sz="8" w:space="0" w:color="FFFFFF"/>
              <w:right w:val="single" w:sz="8" w:space="0" w:color="FFFFFF"/>
            </w:tcBorders>
            <w:shd w:val="clear" w:color="auto" w:fill="D0CECE"/>
            <w:vAlign w:val="center"/>
            <w:hideMark/>
          </w:tcPr>
          <w:p w14:paraId="4299E50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Wigtown West</w:t>
            </w:r>
          </w:p>
        </w:tc>
        <w:tc>
          <w:tcPr>
            <w:tcW w:w="1559" w:type="dxa"/>
            <w:tcBorders>
              <w:top w:val="nil"/>
              <w:left w:val="nil"/>
              <w:bottom w:val="single" w:sz="8" w:space="0" w:color="FFFFFF"/>
              <w:right w:val="single" w:sz="8" w:space="0" w:color="FFFFFF"/>
            </w:tcBorders>
            <w:shd w:val="clear" w:color="auto" w:fill="D0CECE"/>
            <w:vAlign w:val="center"/>
            <w:hideMark/>
          </w:tcPr>
          <w:p w14:paraId="24F3B9F3"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DG8 9SE</w:t>
            </w:r>
          </w:p>
        </w:tc>
      </w:tr>
      <w:tr w:rsidR="0028719B" w:rsidRPr="0028719B" w14:paraId="70FDAA66"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41DE752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Portree</w:t>
            </w:r>
          </w:p>
        </w:tc>
        <w:tc>
          <w:tcPr>
            <w:tcW w:w="5812" w:type="dxa"/>
            <w:tcBorders>
              <w:top w:val="nil"/>
              <w:left w:val="nil"/>
              <w:bottom w:val="single" w:sz="8" w:space="0" w:color="FFFFFF"/>
              <w:right w:val="single" w:sz="8" w:space="0" w:color="FFFFFF"/>
            </w:tcBorders>
            <w:shd w:val="clear" w:color="auto" w:fill="E7EEEF"/>
            <w:vAlign w:val="center"/>
            <w:hideMark/>
          </w:tcPr>
          <w:p w14:paraId="0E4193A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Eilean a' Chèo</w:t>
            </w:r>
          </w:p>
        </w:tc>
        <w:tc>
          <w:tcPr>
            <w:tcW w:w="1559" w:type="dxa"/>
            <w:tcBorders>
              <w:top w:val="nil"/>
              <w:left w:val="nil"/>
              <w:bottom w:val="single" w:sz="8" w:space="0" w:color="FFFFFF"/>
              <w:right w:val="single" w:sz="8" w:space="0" w:color="FFFFFF"/>
            </w:tcBorders>
            <w:shd w:val="clear" w:color="auto" w:fill="E7EEEF"/>
            <w:vAlign w:val="center"/>
            <w:hideMark/>
          </w:tcPr>
          <w:p w14:paraId="04CABE92"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IV51 9DE</w:t>
            </w:r>
          </w:p>
        </w:tc>
      </w:tr>
      <w:tr w:rsidR="0028719B" w:rsidRPr="0028719B" w14:paraId="34C9BE9F"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4E7EF03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Rosyth</w:t>
            </w:r>
          </w:p>
        </w:tc>
        <w:tc>
          <w:tcPr>
            <w:tcW w:w="5812" w:type="dxa"/>
            <w:tcBorders>
              <w:top w:val="nil"/>
              <w:left w:val="nil"/>
              <w:bottom w:val="single" w:sz="8" w:space="0" w:color="FFFFFF"/>
              <w:right w:val="single" w:sz="8" w:space="0" w:color="FFFFFF"/>
            </w:tcBorders>
            <w:shd w:val="clear" w:color="auto" w:fill="D0CECE"/>
            <w:vAlign w:val="center"/>
            <w:hideMark/>
          </w:tcPr>
          <w:p w14:paraId="76D2037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Rosyth</w:t>
            </w:r>
          </w:p>
        </w:tc>
        <w:tc>
          <w:tcPr>
            <w:tcW w:w="1559" w:type="dxa"/>
            <w:tcBorders>
              <w:top w:val="nil"/>
              <w:left w:val="nil"/>
              <w:bottom w:val="single" w:sz="8" w:space="0" w:color="FFFFFF"/>
              <w:right w:val="single" w:sz="8" w:space="0" w:color="FFFFFF"/>
            </w:tcBorders>
            <w:shd w:val="clear" w:color="auto" w:fill="D0CECE"/>
            <w:vAlign w:val="center"/>
            <w:hideMark/>
          </w:tcPr>
          <w:p w14:paraId="71DC8AE7"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KY11 2XP</w:t>
            </w:r>
          </w:p>
        </w:tc>
      </w:tr>
      <w:tr w:rsidR="0028719B" w:rsidRPr="0028719B" w14:paraId="5F721DD4"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3AA2B998"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Scalloway</w:t>
            </w:r>
          </w:p>
        </w:tc>
        <w:tc>
          <w:tcPr>
            <w:tcW w:w="5812" w:type="dxa"/>
            <w:tcBorders>
              <w:top w:val="nil"/>
              <w:left w:val="nil"/>
              <w:bottom w:val="single" w:sz="8" w:space="0" w:color="FFFFFF"/>
              <w:right w:val="single" w:sz="8" w:space="0" w:color="FFFFFF"/>
            </w:tcBorders>
            <w:shd w:val="clear" w:color="auto" w:fill="E7EEEF"/>
            <w:vAlign w:val="center"/>
            <w:hideMark/>
          </w:tcPr>
          <w:p w14:paraId="0FB6E24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 xml:space="preserve">Shetland Central </w:t>
            </w:r>
          </w:p>
        </w:tc>
        <w:tc>
          <w:tcPr>
            <w:tcW w:w="1559" w:type="dxa"/>
            <w:tcBorders>
              <w:top w:val="nil"/>
              <w:left w:val="nil"/>
              <w:bottom w:val="single" w:sz="8" w:space="0" w:color="FFFFFF"/>
              <w:right w:val="single" w:sz="8" w:space="0" w:color="FFFFFF"/>
            </w:tcBorders>
            <w:shd w:val="clear" w:color="auto" w:fill="E7EEEF"/>
            <w:vAlign w:val="center"/>
            <w:hideMark/>
          </w:tcPr>
          <w:p w14:paraId="76135A0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ZE1 0TQ</w:t>
            </w:r>
          </w:p>
        </w:tc>
      </w:tr>
      <w:tr w:rsidR="0028719B" w:rsidRPr="0028719B" w14:paraId="4A9B78F6"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37EF32F2"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Scrabster</w:t>
            </w:r>
          </w:p>
        </w:tc>
        <w:tc>
          <w:tcPr>
            <w:tcW w:w="5812" w:type="dxa"/>
            <w:tcBorders>
              <w:top w:val="nil"/>
              <w:left w:val="nil"/>
              <w:bottom w:val="single" w:sz="8" w:space="0" w:color="FFFFFF"/>
              <w:right w:val="single" w:sz="8" w:space="0" w:color="FFFFFF"/>
            </w:tcBorders>
            <w:shd w:val="clear" w:color="auto" w:fill="D0CECE"/>
            <w:vAlign w:val="center"/>
            <w:hideMark/>
          </w:tcPr>
          <w:p w14:paraId="6E823B1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Thurso</w:t>
            </w:r>
          </w:p>
        </w:tc>
        <w:tc>
          <w:tcPr>
            <w:tcW w:w="1559" w:type="dxa"/>
            <w:tcBorders>
              <w:top w:val="nil"/>
              <w:left w:val="nil"/>
              <w:bottom w:val="single" w:sz="8" w:space="0" w:color="FFFFFF"/>
              <w:right w:val="single" w:sz="8" w:space="0" w:color="FFFFFF"/>
            </w:tcBorders>
            <w:shd w:val="clear" w:color="auto" w:fill="D0CECE"/>
            <w:vAlign w:val="center"/>
            <w:hideMark/>
          </w:tcPr>
          <w:p w14:paraId="1521BEA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KW14 7UJ</w:t>
            </w:r>
          </w:p>
        </w:tc>
      </w:tr>
      <w:tr w:rsidR="0028719B" w:rsidRPr="0028719B" w14:paraId="2A0BD75C"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497C57F9"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Stornoway</w:t>
            </w:r>
          </w:p>
        </w:tc>
        <w:tc>
          <w:tcPr>
            <w:tcW w:w="5812" w:type="dxa"/>
            <w:tcBorders>
              <w:top w:val="nil"/>
              <w:left w:val="nil"/>
              <w:bottom w:val="single" w:sz="8" w:space="0" w:color="FFFFFF"/>
              <w:right w:val="single" w:sz="8" w:space="0" w:color="FFFFFF"/>
            </w:tcBorders>
            <w:shd w:val="clear" w:color="auto" w:fill="E7EEEF"/>
            <w:vAlign w:val="center"/>
            <w:hideMark/>
          </w:tcPr>
          <w:p w14:paraId="4247C6C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Steòrnabhagh a Deas</w:t>
            </w:r>
          </w:p>
        </w:tc>
        <w:tc>
          <w:tcPr>
            <w:tcW w:w="1559" w:type="dxa"/>
            <w:tcBorders>
              <w:top w:val="nil"/>
              <w:left w:val="nil"/>
              <w:bottom w:val="single" w:sz="8" w:space="0" w:color="FFFFFF"/>
              <w:right w:val="single" w:sz="8" w:space="0" w:color="FFFFFF"/>
            </w:tcBorders>
            <w:shd w:val="clear" w:color="auto" w:fill="E7EEEF"/>
            <w:vAlign w:val="center"/>
            <w:hideMark/>
          </w:tcPr>
          <w:p w14:paraId="56A243B2"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HS1 2XS</w:t>
            </w:r>
          </w:p>
        </w:tc>
      </w:tr>
      <w:tr w:rsidR="0028719B" w:rsidRPr="0028719B" w14:paraId="233E0FC2"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2351BA24"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Stranraer West Pier</w:t>
            </w:r>
          </w:p>
        </w:tc>
        <w:tc>
          <w:tcPr>
            <w:tcW w:w="5812" w:type="dxa"/>
            <w:tcBorders>
              <w:top w:val="nil"/>
              <w:left w:val="nil"/>
              <w:bottom w:val="single" w:sz="8" w:space="0" w:color="FFFFFF"/>
              <w:right w:val="single" w:sz="8" w:space="0" w:color="FFFFFF"/>
            </w:tcBorders>
            <w:shd w:val="clear" w:color="auto" w:fill="D0CECE"/>
            <w:vAlign w:val="center"/>
            <w:hideMark/>
          </w:tcPr>
          <w:p w14:paraId="115EC921"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Dumfires and Galloway</w:t>
            </w:r>
          </w:p>
        </w:tc>
        <w:tc>
          <w:tcPr>
            <w:tcW w:w="1559" w:type="dxa"/>
            <w:tcBorders>
              <w:top w:val="nil"/>
              <w:left w:val="nil"/>
              <w:bottom w:val="single" w:sz="8" w:space="0" w:color="FFFFFF"/>
              <w:right w:val="single" w:sz="8" w:space="0" w:color="FFFFFF"/>
            </w:tcBorders>
            <w:shd w:val="clear" w:color="auto" w:fill="D0CECE"/>
            <w:vAlign w:val="center"/>
            <w:hideMark/>
          </w:tcPr>
          <w:p w14:paraId="7C56A67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DG9 8RA</w:t>
            </w:r>
          </w:p>
        </w:tc>
      </w:tr>
      <w:tr w:rsidR="0028719B" w:rsidRPr="0028719B" w14:paraId="38C99F56"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1EEF532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Sullom Voe</w:t>
            </w:r>
          </w:p>
        </w:tc>
        <w:tc>
          <w:tcPr>
            <w:tcW w:w="5812" w:type="dxa"/>
            <w:tcBorders>
              <w:top w:val="nil"/>
              <w:left w:val="nil"/>
              <w:bottom w:val="single" w:sz="8" w:space="0" w:color="FFFFFF"/>
              <w:right w:val="single" w:sz="8" w:space="0" w:color="FFFFFF"/>
            </w:tcBorders>
            <w:shd w:val="clear" w:color="auto" w:fill="E7EEEF"/>
            <w:vAlign w:val="center"/>
            <w:hideMark/>
          </w:tcPr>
          <w:p w14:paraId="5E56CD0C"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Shetland North</w:t>
            </w:r>
          </w:p>
        </w:tc>
        <w:tc>
          <w:tcPr>
            <w:tcW w:w="1559" w:type="dxa"/>
            <w:tcBorders>
              <w:top w:val="nil"/>
              <w:left w:val="nil"/>
              <w:bottom w:val="single" w:sz="8" w:space="0" w:color="FFFFFF"/>
              <w:right w:val="single" w:sz="8" w:space="0" w:color="FFFFFF"/>
            </w:tcBorders>
            <w:shd w:val="clear" w:color="auto" w:fill="E7EEEF"/>
            <w:vAlign w:val="center"/>
            <w:hideMark/>
          </w:tcPr>
          <w:p w14:paraId="43052E2F"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ZE2 9QR</w:t>
            </w:r>
          </w:p>
        </w:tc>
      </w:tr>
      <w:tr w:rsidR="0028719B" w:rsidRPr="0028719B" w14:paraId="63919081"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29F26D0D"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Tarbert</w:t>
            </w:r>
          </w:p>
        </w:tc>
        <w:tc>
          <w:tcPr>
            <w:tcW w:w="5812" w:type="dxa"/>
            <w:tcBorders>
              <w:top w:val="nil"/>
              <w:left w:val="nil"/>
              <w:bottom w:val="single" w:sz="8" w:space="0" w:color="FFFFFF"/>
              <w:right w:val="single" w:sz="8" w:space="0" w:color="FFFFFF"/>
            </w:tcBorders>
            <w:shd w:val="clear" w:color="auto" w:fill="D0CECE"/>
            <w:vAlign w:val="center"/>
            <w:hideMark/>
          </w:tcPr>
          <w:p w14:paraId="544E582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Na Hearadh agus Ceann a Deas nan Loch</w:t>
            </w:r>
          </w:p>
        </w:tc>
        <w:tc>
          <w:tcPr>
            <w:tcW w:w="1559" w:type="dxa"/>
            <w:tcBorders>
              <w:top w:val="nil"/>
              <w:left w:val="nil"/>
              <w:bottom w:val="single" w:sz="8" w:space="0" w:color="FFFFFF"/>
              <w:right w:val="single" w:sz="8" w:space="0" w:color="FFFFFF"/>
            </w:tcBorders>
            <w:shd w:val="clear" w:color="auto" w:fill="D0CECE"/>
            <w:vAlign w:val="center"/>
            <w:hideMark/>
          </w:tcPr>
          <w:p w14:paraId="5C988E22"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HS3 3DF</w:t>
            </w:r>
          </w:p>
        </w:tc>
      </w:tr>
      <w:tr w:rsidR="0028719B" w:rsidRPr="0028719B" w14:paraId="0E4D97AA"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6261A31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Tayport</w:t>
            </w:r>
          </w:p>
        </w:tc>
        <w:tc>
          <w:tcPr>
            <w:tcW w:w="5812" w:type="dxa"/>
            <w:tcBorders>
              <w:top w:val="nil"/>
              <w:left w:val="nil"/>
              <w:bottom w:val="single" w:sz="8" w:space="0" w:color="FFFFFF"/>
              <w:right w:val="single" w:sz="8" w:space="0" w:color="FFFFFF"/>
            </w:tcBorders>
            <w:shd w:val="clear" w:color="auto" w:fill="E7EEEF"/>
            <w:vAlign w:val="center"/>
            <w:hideMark/>
          </w:tcPr>
          <w:p w14:paraId="56BB923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Tay Bridgehead</w:t>
            </w:r>
          </w:p>
        </w:tc>
        <w:tc>
          <w:tcPr>
            <w:tcW w:w="1559" w:type="dxa"/>
            <w:tcBorders>
              <w:top w:val="nil"/>
              <w:left w:val="nil"/>
              <w:bottom w:val="single" w:sz="8" w:space="0" w:color="FFFFFF"/>
              <w:right w:val="single" w:sz="8" w:space="0" w:color="FFFFFF"/>
            </w:tcBorders>
            <w:shd w:val="clear" w:color="auto" w:fill="E7EEEF"/>
            <w:vAlign w:val="center"/>
            <w:hideMark/>
          </w:tcPr>
          <w:p w14:paraId="74E4F310"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DD6 9AJ</w:t>
            </w:r>
          </w:p>
        </w:tc>
      </w:tr>
      <w:tr w:rsidR="0028719B" w:rsidRPr="0028719B" w14:paraId="36640735"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51C00922"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Troon</w:t>
            </w:r>
          </w:p>
        </w:tc>
        <w:tc>
          <w:tcPr>
            <w:tcW w:w="5812" w:type="dxa"/>
            <w:tcBorders>
              <w:top w:val="nil"/>
              <w:left w:val="nil"/>
              <w:bottom w:val="single" w:sz="8" w:space="0" w:color="FFFFFF"/>
              <w:right w:val="single" w:sz="8" w:space="0" w:color="FFFFFF"/>
            </w:tcBorders>
            <w:shd w:val="clear" w:color="auto" w:fill="D0CECE"/>
            <w:vAlign w:val="center"/>
            <w:hideMark/>
          </w:tcPr>
          <w:p w14:paraId="4F2B35E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Troon</w:t>
            </w:r>
          </w:p>
        </w:tc>
        <w:tc>
          <w:tcPr>
            <w:tcW w:w="1559" w:type="dxa"/>
            <w:tcBorders>
              <w:top w:val="nil"/>
              <w:left w:val="nil"/>
              <w:bottom w:val="single" w:sz="8" w:space="0" w:color="FFFFFF"/>
              <w:right w:val="single" w:sz="8" w:space="0" w:color="FFFFFF"/>
            </w:tcBorders>
            <w:shd w:val="clear" w:color="auto" w:fill="D0CECE"/>
            <w:vAlign w:val="center"/>
            <w:hideMark/>
          </w:tcPr>
          <w:p w14:paraId="47C046AC"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KA10 6DX</w:t>
            </w:r>
          </w:p>
        </w:tc>
      </w:tr>
      <w:tr w:rsidR="0028719B" w:rsidRPr="0028719B" w14:paraId="0FF77969"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3675441C"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Uig</w:t>
            </w:r>
          </w:p>
        </w:tc>
        <w:tc>
          <w:tcPr>
            <w:tcW w:w="5812" w:type="dxa"/>
            <w:tcBorders>
              <w:top w:val="nil"/>
              <w:left w:val="nil"/>
              <w:bottom w:val="single" w:sz="8" w:space="0" w:color="FFFFFF"/>
              <w:right w:val="single" w:sz="8" w:space="0" w:color="FFFFFF"/>
            </w:tcBorders>
            <w:shd w:val="clear" w:color="auto" w:fill="E7EEEF"/>
            <w:vAlign w:val="center"/>
            <w:hideMark/>
          </w:tcPr>
          <w:p w14:paraId="4BC2C76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Eilean a' Chèo</w:t>
            </w:r>
          </w:p>
        </w:tc>
        <w:tc>
          <w:tcPr>
            <w:tcW w:w="1559" w:type="dxa"/>
            <w:tcBorders>
              <w:top w:val="nil"/>
              <w:left w:val="nil"/>
              <w:bottom w:val="single" w:sz="8" w:space="0" w:color="FFFFFF"/>
              <w:right w:val="single" w:sz="8" w:space="0" w:color="FFFFFF"/>
            </w:tcBorders>
            <w:shd w:val="clear" w:color="auto" w:fill="E7EEEF"/>
            <w:vAlign w:val="center"/>
            <w:hideMark/>
          </w:tcPr>
          <w:p w14:paraId="0A6997F6"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IV51 9XX</w:t>
            </w:r>
          </w:p>
        </w:tc>
      </w:tr>
      <w:tr w:rsidR="0028719B" w:rsidRPr="0028719B" w14:paraId="0C6F87D5" w14:textId="77777777" w:rsidTr="007515A7">
        <w:trPr>
          <w:trHeight w:val="315"/>
        </w:trPr>
        <w:tc>
          <w:tcPr>
            <w:tcW w:w="2258" w:type="dxa"/>
            <w:tcBorders>
              <w:top w:val="nil"/>
              <w:left w:val="nil"/>
              <w:bottom w:val="single" w:sz="8" w:space="0" w:color="FFFFFF"/>
              <w:right w:val="single" w:sz="8" w:space="0" w:color="FFFFFF"/>
            </w:tcBorders>
            <w:shd w:val="clear" w:color="auto" w:fill="D0CECE"/>
            <w:vAlign w:val="center"/>
            <w:hideMark/>
          </w:tcPr>
          <w:p w14:paraId="23F957BC"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Whitehills Harbour</w:t>
            </w:r>
          </w:p>
        </w:tc>
        <w:tc>
          <w:tcPr>
            <w:tcW w:w="5812" w:type="dxa"/>
            <w:tcBorders>
              <w:top w:val="nil"/>
              <w:left w:val="nil"/>
              <w:bottom w:val="single" w:sz="8" w:space="0" w:color="FFFFFF"/>
              <w:right w:val="single" w:sz="8" w:space="0" w:color="FFFFFF"/>
            </w:tcBorders>
            <w:shd w:val="clear" w:color="auto" w:fill="D0CECE"/>
            <w:vAlign w:val="center"/>
            <w:hideMark/>
          </w:tcPr>
          <w:p w14:paraId="2FA78FAE"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Banff and District</w:t>
            </w:r>
          </w:p>
        </w:tc>
        <w:tc>
          <w:tcPr>
            <w:tcW w:w="1559" w:type="dxa"/>
            <w:tcBorders>
              <w:top w:val="nil"/>
              <w:left w:val="nil"/>
              <w:bottom w:val="single" w:sz="8" w:space="0" w:color="FFFFFF"/>
              <w:right w:val="single" w:sz="8" w:space="0" w:color="FFFFFF"/>
            </w:tcBorders>
            <w:shd w:val="clear" w:color="auto" w:fill="D0CECE"/>
            <w:vAlign w:val="center"/>
            <w:hideMark/>
          </w:tcPr>
          <w:p w14:paraId="4A3FCB8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AB45 2NQ</w:t>
            </w:r>
          </w:p>
        </w:tc>
      </w:tr>
      <w:tr w:rsidR="0028719B" w:rsidRPr="0028719B" w14:paraId="1B6A50C1" w14:textId="77777777" w:rsidTr="007515A7">
        <w:trPr>
          <w:trHeight w:val="315"/>
        </w:trPr>
        <w:tc>
          <w:tcPr>
            <w:tcW w:w="2258" w:type="dxa"/>
            <w:tcBorders>
              <w:top w:val="nil"/>
              <w:left w:val="nil"/>
              <w:bottom w:val="single" w:sz="8" w:space="0" w:color="FFFFFF"/>
              <w:right w:val="single" w:sz="8" w:space="0" w:color="FFFFFF"/>
            </w:tcBorders>
            <w:shd w:val="clear" w:color="auto" w:fill="E7EEEF"/>
            <w:vAlign w:val="center"/>
            <w:hideMark/>
          </w:tcPr>
          <w:p w14:paraId="2DBABA0A"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Wick</w:t>
            </w:r>
          </w:p>
        </w:tc>
        <w:tc>
          <w:tcPr>
            <w:tcW w:w="5812" w:type="dxa"/>
            <w:tcBorders>
              <w:top w:val="nil"/>
              <w:left w:val="nil"/>
              <w:bottom w:val="single" w:sz="8" w:space="0" w:color="FFFFFF"/>
              <w:right w:val="single" w:sz="8" w:space="0" w:color="FFFFFF"/>
            </w:tcBorders>
            <w:shd w:val="clear" w:color="auto" w:fill="E7EEEF"/>
            <w:vAlign w:val="center"/>
            <w:hideMark/>
          </w:tcPr>
          <w:p w14:paraId="6F7FEC4B"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Wick</w:t>
            </w:r>
          </w:p>
        </w:tc>
        <w:tc>
          <w:tcPr>
            <w:tcW w:w="1559" w:type="dxa"/>
            <w:tcBorders>
              <w:top w:val="nil"/>
              <w:left w:val="nil"/>
              <w:bottom w:val="single" w:sz="8" w:space="0" w:color="FFFFFF"/>
              <w:right w:val="single" w:sz="8" w:space="0" w:color="FFFFFF"/>
            </w:tcBorders>
            <w:shd w:val="clear" w:color="auto" w:fill="E7EEEF"/>
            <w:vAlign w:val="center"/>
            <w:hideMark/>
          </w:tcPr>
          <w:p w14:paraId="1998F135" w14:textId="77777777" w:rsidR="0028719B" w:rsidRPr="0028719B" w:rsidRDefault="0028719B" w:rsidP="0028719B">
            <w:pPr>
              <w:spacing w:after="0"/>
              <w:rPr>
                <w:rFonts w:ascii="Calibri" w:eastAsia="Times New Roman" w:hAnsi="Calibri"/>
                <w:color w:val="000000"/>
                <w:sz w:val="20"/>
                <w:lang w:eastAsia="en-GB"/>
              </w:rPr>
            </w:pPr>
            <w:r w:rsidRPr="0028719B">
              <w:rPr>
                <w:rFonts w:ascii="Calibri" w:eastAsia="Times New Roman" w:hAnsi="Calibri"/>
                <w:color w:val="000000"/>
                <w:sz w:val="20"/>
                <w:lang w:eastAsia="en-GB"/>
              </w:rPr>
              <w:t>KW1 5HB</w:t>
            </w:r>
          </w:p>
        </w:tc>
      </w:tr>
    </w:tbl>
    <w:p w14:paraId="5372F107" w14:textId="53ACFB87" w:rsidR="00B9466C" w:rsidRPr="007515A7" w:rsidRDefault="00B9466C" w:rsidP="00B9466C">
      <w:pPr>
        <w:spacing w:before="60" w:after="120"/>
        <w:jc w:val="right"/>
        <w:rPr>
          <w:rStyle w:val="SubtleEmphasis"/>
          <w:color w:val="000000" w:themeColor="text1"/>
          <w:sz w:val="18"/>
        </w:rPr>
      </w:pPr>
      <w:r w:rsidRPr="007515A7">
        <w:rPr>
          <w:rStyle w:val="SubtleEmphasis"/>
          <w:color w:val="000000" w:themeColor="text1"/>
          <w:sz w:val="18"/>
        </w:rPr>
        <w:t xml:space="preserve">Source: </w:t>
      </w:r>
      <w:r w:rsidR="007350DD" w:rsidRPr="007515A7">
        <w:rPr>
          <w:rStyle w:val="SubtleEmphasis"/>
          <w:color w:val="000000" w:themeColor="text1"/>
          <w:sz w:val="18"/>
        </w:rPr>
        <w:t>Department for Transport</w:t>
      </w:r>
      <w:r w:rsidRPr="007515A7">
        <w:rPr>
          <w:rStyle w:val="SubtleEmphasis"/>
          <w:color w:val="000000" w:themeColor="text1"/>
          <w:sz w:val="18"/>
        </w:rPr>
        <w:t>, Cebr analysis</w:t>
      </w:r>
    </w:p>
    <w:p w14:paraId="23F83766" w14:textId="77777777" w:rsidR="00814B04" w:rsidRPr="00B9466C" w:rsidRDefault="00814B04" w:rsidP="00B9466C">
      <w:pPr>
        <w:spacing w:before="60" w:after="120"/>
      </w:pPr>
    </w:p>
    <w:p w14:paraId="0D10A5D0" w14:textId="77777777" w:rsidR="00AD1337" w:rsidRPr="005834EB" w:rsidRDefault="00AD1337" w:rsidP="00925004"/>
    <w:sectPr w:rsidR="00AD1337" w:rsidRPr="005834EB" w:rsidSect="00A94FC9">
      <w:headerReference w:type="default" r:id="rId18"/>
      <w:footerReference w:type="default" r:id="rId19"/>
      <w:headerReference w:type="first" r:id="rId20"/>
      <w:footerReference w:type="first" r:id="rId21"/>
      <w:pgSz w:w="11906" w:h="16838" w:code="9"/>
      <w:pgMar w:top="1928" w:right="1134" w:bottom="851" w:left="1134" w:header="567"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7244B" w14:textId="77777777" w:rsidR="00BC67A0" w:rsidRDefault="00BC67A0" w:rsidP="00717C6C">
      <w:r>
        <w:separator/>
      </w:r>
    </w:p>
  </w:endnote>
  <w:endnote w:type="continuationSeparator" w:id="0">
    <w:p w14:paraId="7DF62459" w14:textId="77777777" w:rsidR="00BC67A0" w:rsidRDefault="00BC67A0" w:rsidP="0071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09532" w14:textId="77777777" w:rsidR="00BC67A0" w:rsidRPr="005D37CB" w:rsidRDefault="00BC67A0" w:rsidP="005D37CB">
    <w:pPr>
      <w:pStyle w:val="Footer"/>
    </w:pPr>
    <w:r>
      <w:rPr>
        <w:rFonts w:cstheme="minorHAnsi"/>
        <w:noProof/>
        <w:lang w:eastAsia="en-GB"/>
      </w:rPr>
      <w:drawing>
        <wp:anchor distT="0" distB="0" distL="114300" distR="114300" simplePos="0" relativeHeight="251664384" behindDoc="0" locked="1" layoutInCell="1" allowOverlap="1" wp14:anchorId="52B362FF" wp14:editId="46E9A215">
          <wp:simplePos x="0" y="0"/>
          <wp:positionH relativeFrom="page">
            <wp:posOffset>6336665</wp:posOffset>
          </wp:positionH>
          <wp:positionV relativeFrom="page">
            <wp:posOffset>10318750</wp:posOffset>
          </wp:positionV>
          <wp:extent cx="431800" cy="15430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_white_logo_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154305"/>
                  </a:xfrm>
                  <a:prstGeom prst="rect">
                    <a:avLst/>
                  </a:prstGeom>
                </pic:spPr>
              </pic:pic>
            </a:graphicData>
          </a:graphic>
          <wp14:sizeRelH relativeFrom="page">
            <wp14:pctWidth>0</wp14:pctWidth>
          </wp14:sizeRelH>
          <wp14:sizeRelV relativeFrom="page">
            <wp14:pctHeight>0</wp14:pctHeight>
          </wp14:sizeRelV>
        </wp:anchor>
      </w:drawing>
    </w:r>
    <w:r>
      <w:rPr>
        <w:rFonts w:cstheme="minorHAnsi"/>
      </w:rPr>
      <w:t>©</w:t>
    </w:r>
    <w:r>
      <w:rPr>
        <w:noProof/>
        <w:lang w:eastAsia="en-GB"/>
      </w:rPr>
      <mc:AlternateContent>
        <mc:Choice Requires="wps">
          <w:drawing>
            <wp:anchor distT="0" distB="0" distL="114300" distR="114300" simplePos="0" relativeHeight="251662336" behindDoc="1" locked="1" layoutInCell="1" allowOverlap="1" wp14:anchorId="0BFBEA7B" wp14:editId="5A5F24E8">
              <wp:simplePos x="0" y="0"/>
              <wp:positionH relativeFrom="page">
                <wp:posOffset>0</wp:posOffset>
              </wp:positionH>
              <wp:positionV relativeFrom="page">
                <wp:posOffset>10248900</wp:posOffset>
              </wp:positionV>
              <wp:extent cx="7559675" cy="445135"/>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4451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8F06C" id="Rectangle 3" o:spid="_x0000_s1026" style="position:absolute;margin-left:0;margin-top:807pt;width:595.25pt;height:35.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" fillcolor="#008c9b [3204]" stroked="f" strokeweight="2pt">
              <w10:wrap anchorx="page" anchory="page"/>
              <w10:anchorlock/>
            </v:rect>
          </w:pict>
        </mc:Fallback>
      </mc:AlternateContent>
    </w:r>
    <w:r>
      <w:t xml:space="preserve"> Centre for Economics and Business Research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DA318" w14:textId="77777777" w:rsidR="00BC67A0" w:rsidRDefault="00BC67A0" w:rsidP="008B0A02">
    <w:pPr>
      <w:pStyle w:val="Footer"/>
    </w:pPr>
    <w:r>
      <w:rPr>
        <w:noProof/>
        <w:lang w:eastAsia="en-GB"/>
      </w:rPr>
      <w:drawing>
        <wp:anchor distT="0" distB="0" distL="114300" distR="114300" simplePos="0" relativeHeight="251663360" behindDoc="0" locked="1" layoutInCell="1" allowOverlap="1" wp14:anchorId="490F1A6E" wp14:editId="6375BCDC">
          <wp:simplePos x="0" y="0"/>
          <wp:positionH relativeFrom="page">
            <wp:posOffset>5796915</wp:posOffset>
          </wp:positionH>
          <wp:positionV relativeFrom="page">
            <wp:posOffset>9541510</wp:posOffset>
          </wp:positionV>
          <wp:extent cx="986400" cy="345600"/>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 logo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400" cy="345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1" layoutInCell="1" allowOverlap="1" wp14:anchorId="36DB2807" wp14:editId="109B61CC">
          <wp:simplePos x="0" y="0"/>
          <wp:positionH relativeFrom="page">
            <wp:posOffset>5867400</wp:posOffset>
          </wp:positionH>
          <wp:positionV relativeFrom="page">
            <wp:posOffset>790575</wp:posOffset>
          </wp:positionV>
          <wp:extent cx="895985" cy="8959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 logo vector box.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985" cy="8959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1" locked="1" layoutInCell="1" allowOverlap="1" wp14:anchorId="34038D00" wp14:editId="07451431">
              <wp:simplePos x="0" y="0"/>
              <wp:positionH relativeFrom="page">
                <wp:posOffset>0</wp:posOffset>
              </wp:positionH>
              <wp:positionV relativeFrom="page">
                <wp:posOffset>8858250</wp:posOffset>
              </wp:positionV>
              <wp:extent cx="7560000" cy="1836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83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71FE2" id="Rectangle 1" o:spid="_x0000_s1026" style="position:absolute;margin-left:0;margin-top:697.5pt;width:595.3pt;height:144.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" fillcolor="#008c9b [3204]" stroked="f" strokeweight="2pt">
              <w10:wrap anchorx="page" anchory="pag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4E4BD" w14:textId="77777777" w:rsidR="00BC67A0" w:rsidRDefault="00BC67A0" w:rsidP="00717C6C"/>
  </w:footnote>
  <w:footnote w:type="continuationSeparator" w:id="0">
    <w:p w14:paraId="4430BEFE" w14:textId="77777777" w:rsidR="00BC67A0" w:rsidRDefault="00BC67A0" w:rsidP="00717C6C">
      <w:r>
        <w:continuationSeparator/>
      </w:r>
    </w:p>
  </w:footnote>
  <w:footnote w:id="1">
    <w:p w14:paraId="0AFBDE84" w14:textId="4BF79A5C" w:rsidR="00BC67A0" w:rsidRPr="00FB3E52" w:rsidRDefault="00BC67A0" w:rsidP="00FB3E52">
      <w:pPr>
        <w:pStyle w:val="FootnoteText"/>
        <w:spacing w:after="0" w:line="240" w:lineRule="auto"/>
        <w:rPr>
          <w:vertAlign w:val="baseline"/>
        </w:rPr>
      </w:pPr>
      <w:r w:rsidRPr="00FB3E52">
        <w:rPr>
          <w:rStyle w:val="FootnoteReference"/>
          <w:rFonts w:ascii="Calibri" w:eastAsia="Microsoft JhengHei" w:hAnsi="Calibri"/>
          <w:position w:val="0"/>
          <w:sz w:val="22"/>
        </w:rPr>
        <w:footnoteRef/>
      </w:r>
      <w:r w:rsidRPr="00FB3E52">
        <w:rPr>
          <w:rStyle w:val="FootnoteReference"/>
          <w:rFonts w:ascii="Calibri" w:eastAsia="Microsoft JhengHei" w:hAnsi="Calibri"/>
          <w:position w:val="0"/>
          <w:sz w:val="22"/>
        </w:rPr>
        <w:t xml:space="preserve"> </w:t>
      </w:r>
      <w:r w:rsidRPr="00FB3E52">
        <w:rPr>
          <w:rStyle w:val="FootnoteReference"/>
          <w:rFonts w:ascii="Calibri" w:eastAsia="Microsoft JhengHei" w:hAnsi="Calibri"/>
          <w:position w:val="0"/>
          <w:sz w:val="18"/>
          <w:vertAlign w:val="baseline"/>
        </w:rPr>
        <w:t>GVA</w:t>
      </w:r>
      <w:r>
        <w:rPr>
          <w:rFonts w:ascii="Calibri" w:eastAsia="Microsoft JhengHei" w:hAnsi="Calibri"/>
          <w:position w:val="0"/>
          <w:sz w:val="18"/>
          <w:vertAlign w:val="baseline"/>
        </w:rPr>
        <w:t>,</w:t>
      </w:r>
      <w:r w:rsidRPr="00FB3E52">
        <w:rPr>
          <w:rStyle w:val="FootnoteReference"/>
          <w:rFonts w:ascii="Calibri" w:eastAsia="Microsoft JhengHei" w:hAnsi="Calibri"/>
          <w:position w:val="0"/>
          <w:sz w:val="18"/>
          <w:vertAlign w:val="baseline"/>
        </w:rPr>
        <w:t xml:space="preserve"> or gross value added</w:t>
      </w:r>
      <w:r>
        <w:rPr>
          <w:rFonts w:ascii="Calibri" w:eastAsia="Microsoft JhengHei" w:hAnsi="Calibri"/>
          <w:position w:val="0"/>
          <w:sz w:val="18"/>
          <w:vertAlign w:val="baseline"/>
        </w:rPr>
        <w:t>,</w:t>
      </w:r>
      <w:r w:rsidRPr="00FB3E52">
        <w:rPr>
          <w:rStyle w:val="FootnoteReference"/>
          <w:rFonts w:ascii="Calibri" w:eastAsia="Microsoft JhengHei" w:hAnsi="Calibri"/>
          <w:position w:val="0"/>
          <w:sz w:val="18"/>
          <w:vertAlign w:val="baseline"/>
        </w:rPr>
        <w:t xml:space="preserve"> is a measure of the value from production in the national accounts and can be thought of as the value of industrial output less intermediate consumption.  That is, the value of what is produced less the value of the intermediate goods and services</w:t>
      </w:r>
      <w:r w:rsidRPr="00143397">
        <w:rPr>
          <w:rStyle w:val="FootnoteReference"/>
          <w:rFonts w:ascii="Calibri" w:eastAsia="Microsoft JhengHei" w:hAnsi="Calibri"/>
          <w:position w:val="0"/>
          <w:sz w:val="18"/>
          <w:vertAlign w:val="baseline"/>
        </w:rPr>
        <w:t xml:space="preserve"> used as inputs to produce it. </w:t>
      </w:r>
      <w:r w:rsidRPr="00FB3E52">
        <w:rPr>
          <w:rStyle w:val="FootnoteReference"/>
          <w:rFonts w:ascii="Calibri" w:eastAsia="Microsoft JhengHei" w:hAnsi="Calibri"/>
          <w:position w:val="0"/>
          <w:sz w:val="18"/>
          <w:vertAlign w:val="baseline"/>
        </w:rPr>
        <w:t>GVA is also commonly known as income from production and is distributed in three directions – to employees, to shareholders and to government. GVA is linked as a measurement to GDP – both being a measure of economic output. That relationship is (GVA + Taxes on products - Subsidies</w:t>
      </w:r>
      <w:r>
        <w:rPr>
          <w:rStyle w:val="FootnoteReference"/>
          <w:rFonts w:ascii="Calibri" w:eastAsia="Microsoft JhengHei" w:hAnsi="Calibri"/>
          <w:position w:val="0"/>
          <w:sz w:val="18"/>
          <w:vertAlign w:val="baseline"/>
        </w:rPr>
        <w:t xml:space="preserve"> on products = GDP). </w:t>
      </w:r>
      <w:r w:rsidRPr="00FB3E52">
        <w:rPr>
          <w:rStyle w:val="FootnoteReference"/>
          <w:rFonts w:ascii="Calibri" w:eastAsia="Microsoft JhengHei" w:hAnsi="Calibri"/>
          <w:position w:val="0"/>
          <w:sz w:val="18"/>
          <w:vertAlign w:val="baseline"/>
        </w:rPr>
        <w:t>Because taxes and subsidies on individual product categories are only available at the whole economy level (rather than at the sectoral or regional level), GVA tends to be used for measuring things like gross regional domestic product and other measures of economic output of entities that are smaller than the whole economy.</w:t>
      </w:r>
    </w:p>
  </w:footnote>
  <w:footnote w:id="2">
    <w:p w14:paraId="79B43F69" w14:textId="01B4F63F" w:rsidR="00BC67A0" w:rsidRDefault="00BC67A0" w:rsidP="00B36121">
      <w:pPr>
        <w:pStyle w:val="FootnoteText"/>
        <w:spacing w:after="0"/>
      </w:pPr>
      <w:r w:rsidRPr="00B36121">
        <w:rPr>
          <w:rStyle w:val="FootnoteReference"/>
          <w:rFonts w:ascii="Calibri" w:eastAsia="Microsoft JhengHei" w:hAnsi="Calibri"/>
          <w:position w:val="0"/>
          <w:sz w:val="22"/>
        </w:rPr>
        <w:footnoteRef/>
      </w:r>
      <w:r w:rsidRPr="00B36121">
        <w:rPr>
          <w:rStyle w:val="FootnoteReference"/>
          <w:rFonts w:ascii="Calibri" w:eastAsia="Microsoft JhengHei" w:hAnsi="Calibri"/>
          <w:position w:val="0"/>
          <w:sz w:val="22"/>
        </w:rPr>
        <w:t xml:space="preserve"> </w:t>
      </w:r>
      <w:r w:rsidRPr="00A60DE5">
        <w:rPr>
          <w:rStyle w:val="FootnoteReference"/>
          <w:rFonts w:ascii="Calibri" w:eastAsia="Microsoft JhengHei" w:hAnsi="Calibri"/>
          <w:position w:val="0"/>
          <w:sz w:val="18"/>
          <w:vertAlign w:val="baseline"/>
        </w:rPr>
        <w:t>Compensation of employees is the total remuneration, in cash or in kind, payable by an employer to an employee in return for employers' social contributions, mainly consisting of employers' actual social contributions (excluding apprentices), employers' imputed social contributions (excluding apprentices) and employers' social contributions for apprentices.</w:t>
      </w:r>
    </w:p>
  </w:footnote>
  <w:footnote w:id="3">
    <w:p w14:paraId="7F6D2908" w14:textId="1D61AF3B" w:rsidR="00BC67A0" w:rsidRPr="00D03E97" w:rsidRDefault="00BC67A0" w:rsidP="00850081">
      <w:pPr>
        <w:pStyle w:val="FootnoteText"/>
        <w:spacing w:after="120"/>
        <w:rPr>
          <w:rFonts w:ascii="Calibri" w:eastAsia="Microsoft JhengHei" w:hAnsi="Calibri"/>
          <w:position w:val="0"/>
          <w:sz w:val="22"/>
        </w:rPr>
      </w:pPr>
      <w:r w:rsidRPr="00D03E97">
        <w:rPr>
          <w:rStyle w:val="FootnoteReference"/>
          <w:rFonts w:ascii="Calibri" w:eastAsia="Microsoft JhengHei" w:hAnsi="Calibri"/>
          <w:position w:val="0"/>
          <w:sz w:val="22"/>
        </w:rPr>
        <w:footnoteRef/>
      </w:r>
      <w:r w:rsidRPr="00D03E97">
        <w:rPr>
          <w:rStyle w:val="FootnoteReference"/>
          <w:rFonts w:ascii="Calibri" w:eastAsia="Microsoft JhengHei" w:hAnsi="Calibri"/>
          <w:position w:val="0"/>
          <w:sz w:val="22"/>
        </w:rPr>
        <w:t xml:space="preserve"> </w:t>
      </w:r>
      <w:r w:rsidRPr="00D03E97">
        <w:rPr>
          <w:rStyle w:val="FootnoteReference"/>
          <w:rFonts w:ascii="Calibri" w:eastAsia="Microsoft JhengHei" w:hAnsi="Calibri"/>
          <w:position w:val="0"/>
          <w:sz w:val="18"/>
          <w:vertAlign w:val="baseline"/>
        </w:rPr>
        <w:t>The United Kingdom Standard Industrial Classification</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of Economic Activities (SIC) is used to classify business</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establishments and other standard units by the type of</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economic activity in which they are engaged.</w:t>
      </w:r>
    </w:p>
  </w:footnote>
  <w:footnote w:id="4">
    <w:p w14:paraId="2E93E56D" w14:textId="77777777" w:rsidR="00BC67A0" w:rsidRPr="00B10C2D" w:rsidRDefault="00BC67A0" w:rsidP="00561D5F">
      <w:pPr>
        <w:pStyle w:val="FootnoteText"/>
        <w:rPr>
          <w:vertAlign w:val="baseline"/>
        </w:rPr>
      </w:pPr>
      <w:r w:rsidRPr="00B10C2D">
        <w:rPr>
          <w:rStyle w:val="FootnoteReference"/>
          <w:vertAlign w:val="baseline"/>
        </w:rPr>
        <w:footnoteRef/>
      </w:r>
      <w:r w:rsidRPr="00B10C2D">
        <w:rPr>
          <w:vertAlign w:val="baseline"/>
        </w:rPr>
        <w:t xml:space="preserve"> </w:t>
      </w:r>
      <w:r w:rsidRPr="00BE0CF0">
        <w:rPr>
          <w:rStyle w:val="FootnoteReference"/>
          <w:rFonts w:ascii="Calibri" w:eastAsia="Microsoft JhengHei" w:hAnsi="Calibri"/>
          <w:position w:val="0"/>
          <w:sz w:val="18"/>
          <w:vertAlign w:val="baseline"/>
        </w:rPr>
        <w:t>The industry figures making up the broad Maritime Sector are not always additive because the reports have been customised to cater for overlap between certain industries, i.e. leisure marine and Maritime Business Services. Simply adding together the industries would therefore produce a degree of double counting. Nonetheless, the broad Maritime report has had this double counting stripped out.</w:t>
      </w:r>
    </w:p>
  </w:footnote>
  <w:footnote w:id="5">
    <w:p w14:paraId="641C1C9F" w14:textId="5EC4C6EF" w:rsidR="00BC67A0" w:rsidRDefault="00BC67A0" w:rsidP="0009029D">
      <w:pPr>
        <w:pStyle w:val="FootnoteText"/>
        <w:spacing w:after="120"/>
      </w:pPr>
      <w:r w:rsidRPr="00A54F4D">
        <w:rPr>
          <w:rStyle w:val="FootnoteReference"/>
          <w:rFonts w:ascii="Calibri" w:eastAsia="Microsoft JhengHei" w:hAnsi="Calibri"/>
          <w:position w:val="0"/>
          <w:sz w:val="22"/>
        </w:rPr>
        <w:footnoteRef/>
      </w:r>
      <w:r w:rsidRPr="00A54F4D">
        <w:rPr>
          <w:rStyle w:val="FootnoteReference"/>
          <w:rFonts w:ascii="Calibri" w:eastAsia="Microsoft JhengHei" w:hAnsi="Calibri"/>
          <w:position w:val="0"/>
          <w:sz w:val="22"/>
        </w:rPr>
        <w:t xml:space="preserve"> </w:t>
      </w:r>
      <w:r w:rsidRPr="00A54F4D">
        <w:rPr>
          <w:rStyle w:val="FootnoteReference"/>
          <w:rFonts w:ascii="Calibri" w:eastAsia="Microsoft JhengHei" w:hAnsi="Calibri"/>
          <w:position w:val="0"/>
          <w:sz w:val="18"/>
          <w:vertAlign w:val="baseline"/>
        </w:rPr>
        <w:t>The Business Register and Employment Survey (BRES), produced by the ONS on an annual basis, is the official source of employee and employment estimates by detailed geography and industry</w:t>
      </w:r>
      <w:r>
        <w:rPr>
          <w:rStyle w:val="FootnoteReference"/>
          <w:rFonts w:ascii="Calibri" w:eastAsia="Microsoft JhengHei" w:hAnsi="Calibri"/>
          <w:position w:val="0"/>
          <w:sz w:val="18"/>
          <w:vertAlign w:val="baseline"/>
        </w:rPr>
        <w:t xml:space="preserve"> within Great Britain.</w:t>
      </w:r>
    </w:p>
  </w:footnote>
  <w:footnote w:id="6">
    <w:p w14:paraId="4E5AABE2" w14:textId="260BD472" w:rsidR="00BC67A0" w:rsidRDefault="00BC67A0" w:rsidP="00773F1E">
      <w:pPr>
        <w:pStyle w:val="FootnoteText"/>
        <w:spacing w:after="0"/>
      </w:pPr>
      <w:r w:rsidRPr="00773F1E">
        <w:rPr>
          <w:rStyle w:val="FootnoteReference"/>
          <w:rFonts w:ascii="Calibri" w:eastAsia="Microsoft JhengHei" w:hAnsi="Calibri"/>
          <w:position w:val="0"/>
          <w:sz w:val="22"/>
        </w:rPr>
        <w:footnoteRef/>
      </w:r>
      <w:r w:rsidRPr="00773F1E">
        <w:rPr>
          <w:rStyle w:val="FootnoteReference"/>
          <w:rFonts w:ascii="Calibri" w:eastAsia="Microsoft JhengHei" w:hAnsi="Calibri"/>
          <w:position w:val="0"/>
          <w:sz w:val="22"/>
        </w:rPr>
        <w:t xml:space="preserve"> </w:t>
      </w:r>
      <w:r w:rsidRPr="00773F1E">
        <w:rPr>
          <w:rStyle w:val="FootnoteReference"/>
          <w:rFonts w:ascii="Calibri" w:eastAsia="Microsoft JhengHei" w:hAnsi="Calibri"/>
          <w:position w:val="0"/>
          <w:sz w:val="18"/>
          <w:vertAlign w:val="baseline"/>
        </w:rPr>
        <w:t>BIS, 2015. “The size and performance of the UK Carbon Economy, Report for 2010 to 2013.</w:t>
      </w:r>
      <w:r>
        <w:rPr>
          <w:rFonts w:ascii="Calibri" w:eastAsia="Microsoft JhengHei" w:hAnsi="Calibri"/>
          <w:position w:val="0"/>
          <w:sz w:val="18"/>
          <w:vertAlign w:val="baseline"/>
        </w:rPr>
        <w:t>”</w:t>
      </w:r>
    </w:p>
  </w:footnote>
  <w:footnote w:id="7">
    <w:p w14:paraId="70BB25E8" w14:textId="77777777" w:rsidR="00BC67A0" w:rsidRDefault="00BC67A0" w:rsidP="00343F8B">
      <w:pPr>
        <w:pStyle w:val="FootnoteText"/>
        <w:spacing w:after="0"/>
      </w:pPr>
      <w:r w:rsidRPr="004A319C">
        <w:rPr>
          <w:rStyle w:val="FootnoteReference"/>
          <w:rFonts w:ascii="Calibri" w:eastAsia="Microsoft JhengHei" w:hAnsi="Calibri"/>
          <w:position w:val="0"/>
          <w:sz w:val="22"/>
        </w:rPr>
        <w:footnoteRef/>
      </w:r>
      <w:r w:rsidRPr="004A319C">
        <w:rPr>
          <w:rStyle w:val="FootnoteReference"/>
          <w:rFonts w:ascii="Calibri" w:eastAsia="Microsoft JhengHei" w:hAnsi="Calibri"/>
          <w:position w:val="0"/>
          <w:sz w:val="22"/>
        </w:rPr>
        <w:t xml:space="preserve"> </w:t>
      </w:r>
      <w:r w:rsidRPr="004A319C">
        <w:rPr>
          <w:rFonts w:ascii="Calibri" w:eastAsia="Microsoft JhengHei" w:hAnsi="Calibri"/>
          <w:position w:val="0"/>
          <w:sz w:val="18"/>
          <w:vertAlign w:val="baseline"/>
        </w:rPr>
        <w:t>The allocation of MBS activity based on port activity comes from the assumption that maritime related services primarily operate within or close to port</w:t>
      </w:r>
      <w:r>
        <w:rPr>
          <w:rFonts w:ascii="Calibri" w:eastAsia="Microsoft JhengHei" w:hAnsi="Calibri"/>
          <w:position w:val="0"/>
          <w:sz w:val="18"/>
          <w:vertAlign w:val="baseline"/>
        </w:rPr>
        <w:t xml:space="preserve">s. Data on this type of activity is not generally available to produce a rigorous disaggregation and thus we rely on this assumption which may over and understate certain regions, but should reflect major maritime hubs. </w:t>
      </w:r>
    </w:p>
  </w:footnote>
  <w:footnote w:id="8">
    <w:p w14:paraId="2D431991" w14:textId="77777777" w:rsidR="00BC67A0" w:rsidRPr="00F73315" w:rsidRDefault="00BC67A0" w:rsidP="00A259B8">
      <w:pPr>
        <w:spacing w:after="0"/>
        <w:rPr>
          <w:rFonts w:ascii="Calibri" w:eastAsia="Microsoft JhengHei" w:hAnsi="Calibri"/>
          <w:sz w:val="18"/>
        </w:rPr>
      </w:pPr>
      <w:r w:rsidRPr="00F73315">
        <w:rPr>
          <w:rStyle w:val="FootnoteReference"/>
          <w:rFonts w:ascii="Calibri" w:eastAsia="Microsoft JhengHei" w:hAnsi="Calibri"/>
          <w:position w:val="0"/>
          <w:sz w:val="22"/>
        </w:rPr>
        <w:footnoteRef/>
      </w:r>
      <w:r w:rsidRPr="00F73315">
        <w:rPr>
          <w:rStyle w:val="FootnoteReference"/>
          <w:rFonts w:ascii="Calibri" w:eastAsia="Microsoft JhengHei" w:hAnsi="Calibri"/>
          <w:position w:val="0"/>
          <w:sz w:val="22"/>
        </w:rPr>
        <w:t xml:space="preserve"> </w:t>
      </w:r>
      <w:r w:rsidRPr="00F73315">
        <w:rPr>
          <w:rFonts w:ascii="Calibri" w:eastAsia="Microsoft JhengHei" w:hAnsi="Calibri"/>
          <w:sz w:val="18"/>
        </w:rPr>
        <w:t>ONS, 2017. Subregional Productivity: Labour Productivity (GVA per hour worked and GVA per filled job) indices by UK NUTS2, NUTS3 subregions and City regions</w:t>
      </w:r>
      <w:r>
        <w:rPr>
          <w:rFonts w:ascii="Calibri" w:eastAsia="Microsoft JhengHei" w:hAnsi="Calibri"/>
          <w:sz w:val="18"/>
        </w:rPr>
        <w:t>.</w:t>
      </w:r>
    </w:p>
  </w:footnote>
  <w:footnote w:id="9">
    <w:p w14:paraId="02389237" w14:textId="77777777" w:rsidR="00BC67A0" w:rsidRDefault="00BC67A0" w:rsidP="00A259B8">
      <w:pPr>
        <w:pStyle w:val="FootnoteText"/>
        <w:spacing w:after="0"/>
      </w:pPr>
      <w:r w:rsidRPr="00630B41">
        <w:rPr>
          <w:rStyle w:val="FootnoteReference"/>
          <w:rFonts w:ascii="Calibri" w:eastAsia="Microsoft JhengHei" w:hAnsi="Calibri"/>
          <w:position w:val="0"/>
          <w:sz w:val="22"/>
        </w:rPr>
        <w:footnoteRef/>
      </w:r>
      <w:r w:rsidRPr="00630B41">
        <w:rPr>
          <w:rStyle w:val="FootnoteReference"/>
          <w:rFonts w:ascii="Calibri" w:eastAsia="Microsoft JhengHei" w:hAnsi="Calibri"/>
          <w:position w:val="0"/>
          <w:sz w:val="22"/>
        </w:rPr>
        <w:t xml:space="preserve"> </w:t>
      </w:r>
      <w:r w:rsidRPr="00630B41">
        <w:rPr>
          <w:rStyle w:val="FootnoteReference"/>
          <w:rFonts w:ascii="Calibri" w:eastAsia="Microsoft JhengHei" w:hAnsi="Calibri"/>
          <w:position w:val="0"/>
          <w:sz w:val="18"/>
          <w:vertAlign w:val="baseline"/>
        </w:rPr>
        <w:t>Ibi</w:t>
      </w:r>
      <w:r>
        <w:rPr>
          <w:rFonts w:ascii="Calibri" w:eastAsia="Microsoft JhengHei" w:hAnsi="Calibri"/>
          <w:position w:val="0"/>
          <w:sz w:val="18"/>
          <w:vertAlign w:val="baseline"/>
        </w:rPr>
        <w:t>d.</w:t>
      </w:r>
    </w:p>
  </w:footnote>
  <w:footnote w:id="10">
    <w:p w14:paraId="3EB2014E" w14:textId="7D217804" w:rsidR="00BC67A0" w:rsidRPr="00E87ED2" w:rsidRDefault="00BC67A0" w:rsidP="00B10C2D">
      <w:pPr>
        <w:pStyle w:val="FootnoteText"/>
        <w:spacing w:after="0"/>
        <w:rPr>
          <w:vertAlign w:val="baseline"/>
        </w:rPr>
      </w:pPr>
      <w:r w:rsidRPr="00E87ED2">
        <w:rPr>
          <w:rStyle w:val="FootnoteReference"/>
          <w:vertAlign w:val="baseline"/>
        </w:rPr>
        <w:footnoteRef/>
      </w:r>
      <w:r w:rsidRPr="00E87ED2">
        <w:rPr>
          <w:vertAlign w:val="baseline"/>
        </w:rPr>
        <w:t xml:space="preserve"> Scottish Government (2019) ‘</w:t>
      </w:r>
      <w:hyperlink r:id="rId1" w:history="1">
        <w:r w:rsidRPr="00E87ED2">
          <w:rPr>
            <w:rStyle w:val="Hyperlink"/>
            <w:vertAlign w:val="baseline"/>
          </w:rPr>
          <w:t>Support for Scottish shipbuilding</w:t>
        </w:r>
      </w:hyperlink>
      <w:r w:rsidRPr="00E87ED2">
        <w:rPr>
          <w:vertAlign w:val="baseline"/>
        </w:rPr>
        <w:t xml:space="preserve">.’ </w:t>
      </w:r>
    </w:p>
  </w:footnote>
  <w:footnote w:id="11">
    <w:p w14:paraId="46438CD4" w14:textId="72659D32" w:rsidR="00BC67A0" w:rsidRPr="00E87ED2" w:rsidRDefault="00BC67A0">
      <w:pPr>
        <w:pStyle w:val="FootnoteText"/>
        <w:rPr>
          <w:vertAlign w:val="baseline"/>
        </w:rPr>
      </w:pPr>
      <w:r w:rsidRPr="00E87ED2">
        <w:rPr>
          <w:rStyle w:val="FootnoteReference"/>
          <w:vertAlign w:val="baseline"/>
        </w:rPr>
        <w:footnoteRef/>
      </w:r>
      <w:r w:rsidRPr="00E87ED2">
        <w:rPr>
          <w:vertAlign w:val="baseline"/>
        </w:rPr>
        <w:t xml:space="preserve"> Scottish Maritime Cluster (2019). </w:t>
      </w:r>
      <w:hyperlink r:id="rId2" w:history="1">
        <w:r w:rsidRPr="00E87ED2">
          <w:rPr>
            <w:rStyle w:val="Hyperlink"/>
            <w:vertAlign w:val="baseline"/>
          </w:rPr>
          <w:t>‘New Clyde Marine Manufacturing Site.’</w:t>
        </w:r>
      </w:hyperlink>
    </w:p>
  </w:footnote>
  <w:footnote w:id="12">
    <w:p w14:paraId="339FE3BB" w14:textId="684CD196" w:rsidR="00BC67A0" w:rsidRPr="00D77939" w:rsidRDefault="00BC67A0">
      <w:pPr>
        <w:pStyle w:val="FootnoteText"/>
        <w:rPr>
          <w:vertAlign w:val="baseline"/>
        </w:rPr>
      </w:pPr>
      <w:r w:rsidRPr="006875D2">
        <w:rPr>
          <w:rStyle w:val="FootnoteReference"/>
        </w:rPr>
        <w:footnoteRef/>
      </w:r>
      <w:r w:rsidRPr="006875D2">
        <w:t xml:space="preserve"> </w:t>
      </w:r>
      <w:r w:rsidRPr="00D77939">
        <w:rPr>
          <w:vertAlign w:val="baseline"/>
        </w:rPr>
        <w:t>Production</w:t>
      </w:r>
      <w:r>
        <w:rPr>
          <w:vertAlign w:val="baseline"/>
        </w:rPr>
        <w:t xml:space="preserve"> Engineering Solutions (2019). </w:t>
      </w:r>
      <w:hyperlink r:id="rId3" w:history="1">
        <w:r w:rsidRPr="00D77939">
          <w:rPr>
            <w:rStyle w:val="Hyperlink"/>
            <w:vertAlign w:val="baseline"/>
          </w:rPr>
          <w:t>‘World’s most powerful tidal turbine to be made in Dundee.’</w:t>
        </w:r>
      </w:hyperlink>
    </w:p>
  </w:footnote>
  <w:footnote w:id="13">
    <w:p w14:paraId="13993C56" w14:textId="2A148553" w:rsidR="00BC67A0" w:rsidRPr="000C451B" w:rsidRDefault="00BC67A0" w:rsidP="009F3F53">
      <w:pPr>
        <w:pStyle w:val="FootnoteText"/>
        <w:spacing w:after="120"/>
        <w:rPr>
          <w:vertAlign w:val="baseline"/>
        </w:rPr>
      </w:pPr>
      <w:r w:rsidRPr="00AE6722">
        <w:rPr>
          <w:rStyle w:val="FootnoteReference"/>
          <w:rFonts w:ascii="Calibri" w:eastAsia="Microsoft JhengHei" w:hAnsi="Calibri"/>
          <w:position w:val="0"/>
          <w:sz w:val="22"/>
        </w:rPr>
        <w:footnoteRef/>
      </w:r>
      <w:r w:rsidRPr="00AE6722">
        <w:rPr>
          <w:rStyle w:val="FootnoteReference"/>
          <w:rFonts w:ascii="Calibri" w:eastAsia="Microsoft JhengHei" w:hAnsi="Calibri"/>
          <w:position w:val="0"/>
          <w:sz w:val="22"/>
        </w:rPr>
        <w:t xml:space="preserve"> </w:t>
      </w:r>
      <w:r w:rsidRPr="00AF216F">
        <w:rPr>
          <w:rStyle w:val="FootnoteReference"/>
          <w:rFonts w:ascii="Calibri" w:eastAsia="Microsoft JhengHei" w:hAnsi="Calibri"/>
          <w:position w:val="0"/>
          <w:sz w:val="18"/>
          <w:vertAlign w:val="baseline"/>
        </w:rPr>
        <w:t>The Annual Survey of Hours and Earnings (ASHE) provides data on the levels, distribution and make-up of earnings and hours worked for UK employees by sex and full-time or part-time status in all industries and occupations.</w:t>
      </w:r>
    </w:p>
  </w:footnote>
  <w:footnote w:id="14">
    <w:p w14:paraId="4DA286F4" w14:textId="77777777" w:rsidR="00BC67A0" w:rsidRPr="00B277F2" w:rsidRDefault="00BC67A0" w:rsidP="00B277F2">
      <w:pPr>
        <w:pStyle w:val="FootnoteText"/>
        <w:spacing w:after="0"/>
        <w:rPr>
          <w:sz w:val="18"/>
          <w:vertAlign w:val="baseline"/>
        </w:rPr>
      </w:pPr>
      <w:r w:rsidRPr="00B277F2">
        <w:rPr>
          <w:rStyle w:val="FootnoteReference"/>
          <w:sz w:val="18"/>
          <w:szCs w:val="18"/>
          <w:vertAlign w:val="baseline"/>
        </w:rPr>
        <w:footnoteRef/>
      </w:r>
      <w:r w:rsidRPr="00B277F2">
        <w:rPr>
          <w:sz w:val="18"/>
          <w:szCs w:val="18"/>
          <w:vertAlign w:val="baseline"/>
        </w:rPr>
        <w:t xml:space="preserve"> </w:t>
      </w:r>
      <w:r w:rsidRPr="00B277F2">
        <w:rPr>
          <w:sz w:val="18"/>
          <w:vertAlign w:val="baseline"/>
        </w:rPr>
        <w:t xml:space="preserve">United Nations Conference on Trade and Development. (2018). </w:t>
      </w:r>
      <w:hyperlink r:id="rId4" w:history="1">
        <w:r w:rsidRPr="00B277F2">
          <w:rPr>
            <w:rStyle w:val="Hyperlink1"/>
            <w:sz w:val="18"/>
            <w:vertAlign w:val="baseline"/>
          </w:rPr>
          <w:t>'Review of Marine Transport 2018'.</w:t>
        </w:r>
      </w:hyperlink>
      <w:r w:rsidRPr="00B277F2">
        <w:rPr>
          <w:sz w:val="18"/>
          <w:szCs w:val="18"/>
          <w:vertAlign w:val="baseline"/>
        </w:rPr>
        <w:t xml:space="preserve"> </w:t>
      </w:r>
    </w:p>
  </w:footnote>
  <w:footnote w:id="15">
    <w:p w14:paraId="6F202ECE" w14:textId="77777777" w:rsidR="00BC67A0" w:rsidRPr="00B277F2" w:rsidRDefault="00BC67A0" w:rsidP="00B277F2">
      <w:pPr>
        <w:pStyle w:val="FootnoteText"/>
        <w:spacing w:after="0"/>
        <w:rPr>
          <w:sz w:val="18"/>
          <w:szCs w:val="18"/>
          <w:vertAlign w:val="baseline"/>
        </w:rPr>
      </w:pPr>
      <w:r w:rsidRPr="00B277F2">
        <w:rPr>
          <w:rStyle w:val="FootnoteReference"/>
          <w:sz w:val="18"/>
          <w:szCs w:val="18"/>
          <w:vertAlign w:val="baseline"/>
        </w:rPr>
        <w:footnoteRef/>
      </w:r>
      <w:r w:rsidRPr="00B277F2">
        <w:rPr>
          <w:sz w:val="18"/>
          <w:szCs w:val="18"/>
          <w:vertAlign w:val="baseline"/>
        </w:rPr>
        <w:t xml:space="preserve"> DNV GL (2018). </w:t>
      </w:r>
      <w:hyperlink r:id="rId5" w:history="1">
        <w:r w:rsidRPr="00B277F2">
          <w:rPr>
            <w:rStyle w:val="Hyperlink1"/>
            <w:sz w:val="18"/>
            <w:szCs w:val="18"/>
            <w:vertAlign w:val="baseline"/>
          </w:rPr>
          <w:t>'Energy Transition Outlook'.</w:t>
        </w:r>
      </w:hyperlink>
    </w:p>
  </w:footnote>
  <w:footnote w:id="16">
    <w:p w14:paraId="40B091D1" w14:textId="77777777" w:rsidR="00BC67A0" w:rsidRPr="00090A31" w:rsidRDefault="00BC67A0" w:rsidP="00B277F2">
      <w:pPr>
        <w:pStyle w:val="FootnoteText"/>
        <w:spacing w:after="0"/>
        <w:rPr>
          <w:sz w:val="18"/>
          <w:szCs w:val="18"/>
        </w:rPr>
      </w:pPr>
      <w:r w:rsidRPr="00B277F2">
        <w:rPr>
          <w:rStyle w:val="FootnoteReference"/>
          <w:sz w:val="18"/>
          <w:szCs w:val="18"/>
          <w:vertAlign w:val="baseline"/>
        </w:rPr>
        <w:footnoteRef/>
      </w:r>
      <w:r w:rsidRPr="00B277F2">
        <w:rPr>
          <w:sz w:val="18"/>
          <w:szCs w:val="18"/>
          <w:vertAlign w:val="baseline"/>
        </w:rPr>
        <w:t xml:space="preserve"> OECD. (2018). </w:t>
      </w:r>
      <w:hyperlink r:id="rId6" w:history="1">
        <w:r w:rsidRPr="00B277F2">
          <w:rPr>
            <w:rStyle w:val="Hyperlink1"/>
            <w:sz w:val="18"/>
            <w:vertAlign w:val="baseline"/>
          </w:rPr>
          <w:t>'Growth prospects, challenges and uncertainties for selected ocean industries'.</w:t>
        </w:r>
      </w:hyperlink>
    </w:p>
  </w:footnote>
  <w:footnote w:id="17">
    <w:p w14:paraId="1E7AEFAF" w14:textId="77777777" w:rsidR="00BC67A0" w:rsidRDefault="00BC67A0" w:rsidP="002F5533">
      <w:pPr>
        <w:pStyle w:val="FootnoteText"/>
        <w:spacing w:after="0"/>
      </w:pPr>
      <w:r w:rsidRPr="00277547">
        <w:rPr>
          <w:rStyle w:val="FootnoteReference"/>
          <w:rFonts w:eastAsiaTheme="minorHAnsi" w:cstheme="minorBidi"/>
          <w:position w:val="0"/>
          <w:sz w:val="20"/>
          <w:lang w:eastAsia="en-US"/>
        </w:rPr>
        <w:footnoteRef/>
      </w:r>
      <w:r w:rsidRPr="00277547">
        <w:rPr>
          <w:rStyle w:val="FootnoteReference"/>
          <w:rFonts w:eastAsiaTheme="minorHAnsi" w:cstheme="minorBidi"/>
          <w:position w:val="0"/>
          <w:sz w:val="20"/>
          <w:lang w:eastAsia="en-US"/>
        </w:rPr>
        <w:t xml:space="preserve"> </w:t>
      </w:r>
      <w:r w:rsidRPr="00277547">
        <w:rPr>
          <w:rFonts w:eastAsiaTheme="minorHAnsi" w:cstheme="minorBidi"/>
          <w:position w:val="0"/>
          <w:sz w:val="20"/>
          <w:vertAlign w:val="baseline"/>
          <w:lang w:eastAsia="en-US"/>
        </w:rPr>
        <w:t>Lloyds List. (2018). ‘</w:t>
      </w:r>
      <w:hyperlink r:id="rId7" w:history="1">
        <w:r w:rsidRPr="00277547">
          <w:rPr>
            <w:rFonts w:eastAsiaTheme="minorHAnsi" w:cstheme="minorBidi"/>
            <w:position w:val="0"/>
            <w:sz w:val="20"/>
            <w:vertAlign w:val="baseline"/>
            <w:lang w:eastAsia="en-US"/>
          </w:rPr>
          <w:t>Top 10 shipmanagers 2018</w:t>
        </w:r>
      </w:hyperlink>
      <w:r>
        <w:rPr>
          <w:rFonts w:eastAsiaTheme="minorHAnsi" w:cstheme="minorBidi"/>
          <w:position w:val="0"/>
          <w:sz w:val="20"/>
          <w:vertAlign w:val="baseline"/>
          <w:lang w:eastAsia="en-US"/>
        </w:rPr>
        <w:t>’</w:t>
      </w:r>
      <w:r w:rsidRPr="00277547">
        <w:rPr>
          <w:rFonts w:eastAsiaTheme="minorHAnsi" w:cstheme="minorBidi"/>
          <w:position w:val="0"/>
          <w:sz w:val="20"/>
          <w:vertAlign w:val="baseline"/>
          <w:lang w:eastAsia="en-US"/>
        </w:rPr>
        <w:t>.</w:t>
      </w:r>
    </w:p>
  </w:footnote>
  <w:footnote w:id="18">
    <w:p w14:paraId="6D49E164" w14:textId="77777777" w:rsidR="00BC67A0" w:rsidRDefault="00BC67A0" w:rsidP="002F5533">
      <w:pPr>
        <w:pStyle w:val="FootnoteText"/>
        <w:spacing w:after="0"/>
      </w:pPr>
      <w:r w:rsidRPr="00277547">
        <w:rPr>
          <w:rStyle w:val="FootnoteReference"/>
          <w:rFonts w:eastAsiaTheme="minorHAnsi" w:cstheme="minorBidi"/>
          <w:position w:val="0"/>
          <w:sz w:val="20"/>
          <w:lang w:eastAsia="en-US"/>
        </w:rPr>
        <w:footnoteRef/>
      </w:r>
      <w:r>
        <w:t xml:space="preserve"> </w:t>
      </w:r>
      <w:r w:rsidRPr="00277547">
        <w:rPr>
          <w:rFonts w:eastAsiaTheme="minorHAnsi" w:cstheme="minorBidi"/>
          <w:position w:val="0"/>
          <w:sz w:val="20"/>
          <w:vertAlign w:val="baseline"/>
          <w:lang w:eastAsia="en-US"/>
        </w:rPr>
        <w:t>Anglo Eastern. (2019). ‘</w:t>
      </w:r>
      <w:hyperlink r:id="rId8" w:history="1">
        <w:r w:rsidRPr="00277547">
          <w:rPr>
            <w:rFonts w:eastAsiaTheme="minorHAnsi" w:cstheme="minorBidi"/>
            <w:position w:val="0"/>
            <w:sz w:val="20"/>
            <w:vertAlign w:val="baseline"/>
            <w:lang w:eastAsia="en-US"/>
          </w:rPr>
          <w:t>Setting the standard’</w:t>
        </w:r>
      </w:hyperlink>
      <w:r w:rsidRPr="00277547">
        <w:rPr>
          <w:rFonts w:eastAsiaTheme="minorHAnsi" w:cstheme="minorBidi"/>
          <w:position w:val="0"/>
          <w:sz w:val="20"/>
          <w:vertAlign w:val="baseline"/>
          <w:lang w:eastAsia="en-US"/>
        </w:rPr>
        <w:t>.</w:t>
      </w:r>
    </w:p>
  </w:footnote>
  <w:footnote w:id="19">
    <w:p w14:paraId="4658AAD8" w14:textId="77777777" w:rsidR="00BC67A0" w:rsidRDefault="00BC67A0" w:rsidP="002F5533">
      <w:pPr>
        <w:pStyle w:val="FootnoteText"/>
        <w:spacing w:after="0"/>
      </w:pPr>
      <w:r w:rsidRPr="00277547">
        <w:rPr>
          <w:rStyle w:val="FootnoteReference"/>
          <w:rFonts w:eastAsiaTheme="minorHAnsi" w:cstheme="minorBidi"/>
          <w:position w:val="0"/>
          <w:sz w:val="20"/>
          <w:lang w:eastAsia="en-US"/>
        </w:rPr>
        <w:footnoteRef/>
      </w:r>
      <w:r>
        <w:t xml:space="preserve"> </w:t>
      </w:r>
      <w:r w:rsidRPr="00277547">
        <w:rPr>
          <w:rFonts w:eastAsiaTheme="minorHAnsi" w:cstheme="minorBidi"/>
          <w:position w:val="0"/>
          <w:sz w:val="20"/>
          <w:vertAlign w:val="baseline"/>
          <w:lang w:eastAsia="en-US"/>
        </w:rPr>
        <w:t>Anglo Eastern. (2019). ‘</w:t>
      </w:r>
      <w:hyperlink r:id="rId9" w:history="1">
        <w:r w:rsidRPr="00277547">
          <w:rPr>
            <w:rFonts w:eastAsiaTheme="minorHAnsi" w:cstheme="minorBidi"/>
            <w:position w:val="0"/>
            <w:sz w:val="20"/>
            <w:vertAlign w:val="baseline"/>
            <w:lang w:eastAsia="en-US"/>
          </w:rPr>
          <w:t>Anglo Eastern Maritime Training Centre’</w:t>
        </w:r>
      </w:hyperlink>
      <w:r w:rsidRPr="00277547">
        <w:rPr>
          <w:rFonts w:eastAsiaTheme="minorHAnsi" w:cstheme="minorBidi"/>
          <w:position w:val="0"/>
          <w:sz w:val="20"/>
          <w:vertAlign w:val="baseline"/>
          <w:lang w:eastAsia="en-US"/>
        </w:rPr>
        <w:t>.</w:t>
      </w:r>
    </w:p>
  </w:footnote>
  <w:footnote w:id="20">
    <w:p w14:paraId="529F0180" w14:textId="77777777" w:rsidR="00BC67A0" w:rsidRDefault="00BC67A0" w:rsidP="002F5533">
      <w:pPr>
        <w:pStyle w:val="FootnoteText"/>
        <w:spacing w:after="0"/>
      </w:pPr>
      <w:r w:rsidRPr="00277547">
        <w:rPr>
          <w:rStyle w:val="FootnoteReference"/>
          <w:rFonts w:eastAsiaTheme="minorHAnsi" w:cstheme="minorBidi"/>
          <w:position w:val="0"/>
          <w:sz w:val="20"/>
          <w:lang w:eastAsia="en-US"/>
        </w:rPr>
        <w:footnoteRef/>
      </w:r>
      <w:r w:rsidRPr="00277547">
        <w:rPr>
          <w:rStyle w:val="FootnoteReference"/>
          <w:rFonts w:eastAsiaTheme="minorHAnsi" w:cstheme="minorBidi"/>
          <w:position w:val="0"/>
          <w:sz w:val="20"/>
          <w:lang w:eastAsia="en-US"/>
        </w:rPr>
        <w:t xml:space="preserve"> </w:t>
      </w:r>
      <w:r w:rsidRPr="00277547">
        <w:rPr>
          <w:rFonts w:eastAsiaTheme="minorHAnsi" w:cstheme="minorBidi"/>
          <w:position w:val="0"/>
          <w:sz w:val="20"/>
          <w:vertAlign w:val="baseline"/>
          <w:lang w:eastAsia="en-US"/>
        </w:rPr>
        <w:t>Anglo Eastern. (2019). ‘</w:t>
      </w:r>
      <w:hyperlink r:id="rId10" w:history="1">
        <w:r w:rsidRPr="00277547">
          <w:rPr>
            <w:rFonts w:eastAsiaTheme="minorHAnsi" w:cstheme="minorBidi"/>
            <w:position w:val="0"/>
            <w:sz w:val="20"/>
            <w:vertAlign w:val="baseline"/>
            <w:lang w:eastAsia="en-US"/>
          </w:rPr>
          <w:t>Training’</w:t>
        </w:r>
      </w:hyperlink>
      <w:r w:rsidRPr="00277547">
        <w:rPr>
          <w:rFonts w:eastAsiaTheme="minorHAnsi" w:cstheme="minorBidi"/>
          <w:position w:val="0"/>
          <w:sz w:val="20"/>
          <w:vertAlign w:val="baseline"/>
          <w:lang w:eastAsia="en-US"/>
        </w:rPr>
        <w:t>.</w:t>
      </w:r>
    </w:p>
  </w:footnote>
  <w:footnote w:id="21">
    <w:p w14:paraId="39096DF5" w14:textId="77777777" w:rsidR="00BC67A0" w:rsidRDefault="00BC67A0" w:rsidP="002F5533">
      <w:pPr>
        <w:pStyle w:val="FootnoteText"/>
        <w:spacing w:after="0"/>
      </w:pPr>
      <w:r w:rsidRPr="00277547">
        <w:rPr>
          <w:rStyle w:val="FootnoteReference"/>
          <w:rFonts w:eastAsiaTheme="minorHAnsi" w:cstheme="minorBidi"/>
          <w:position w:val="0"/>
          <w:sz w:val="20"/>
          <w:lang w:eastAsia="en-US"/>
        </w:rPr>
        <w:footnoteRef/>
      </w:r>
      <w:r>
        <w:t xml:space="preserve"> </w:t>
      </w:r>
      <w:r w:rsidRPr="00277547">
        <w:rPr>
          <w:rFonts w:eastAsiaTheme="minorHAnsi" w:cstheme="minorBidi"/>
          <w:position w:val="0"/>
          <w:sz w:val="20"/>
          <w:vertAlign w:val="baseline"/>
          <w:lang w:eastAsia="en-US"/>
        </w:rPr>
        <w:t>Anglo Eastern Offshore. (2019). ‘</w:t>
      </w:r>
      <w:hyperlink r:id="rId11" w:history="1">
        <w:r w:rsidRPr="00277547">
          <w:rPr>
            <w:rFonts w:eastAsiaTheme="minorHAnsi" w:cstheme="minorBidi"/>
            <w:position w:val="0"/>
            <w:sz w:val="20"/>
            <w:vertAlign w:val="baseline"/>
            <w:lang w:eastAsia="en-US"/>
          </w:rPr>
          <w:t>About Anglo Eastern</w:t>
        </w:r>
      </w:hyperlink>
      <w:r w:rsidRPr="00277547">
        <w:rPr>
          <w:rFonts w:eastAsiaTheme="minorHAnsi" w:cstheme="minorBidi"/>
          <w:position w:val="0"/>
          <w:sz w:val="20"/>
          <w:vertAlign w:val="baseline"/>
          <w:lang w:eastAsia="en-US"/>
        </w:rPr>
        <w:t>’.</w:t>
      </w:r>
    </w:p>
  </w:footnote>
  <w:footnote w:id="22">
    <w:p w14:paraId="39CC1D68" w14:textId="77777777" w:rsidR="00BC67A0" w:rsidRDefault="00BC67A0" w:rsidP="002F5533">
      <w:pPr>
        <w:pStyle w:val="FootnoteText"/>
        <w:spacing w:after="0"/>
      </w:pPr>
      <w:r w:rsidRPr="00277547">
        <w:rPr>
          <w:rStyle w:val="FootnoteReference"/>
          <w:rFonts w:eastAsiaTheme="minorHAnsi" w:cstheme="minorBidi"/>
          <w:position w:val="0"/>
          <w:sz w:val="20"/>
          <w:lang w:eastAsia="en-US"/>
        </w:rPr>
        <w:footnoteRef/>
      </w:r>
      <w:r w:rsidRPr="00277547">
        <w:rPr>
          <w:rStyle w:val="FootnoteReference"/>
          <w:rFonts w:eastAsiaTheme="minorHAnsi" w:cstheme="minorBidi"/>
          <w:position w:val="0"/>
          <w:sz w:val="20"/>
          <w:lang w:eastAsia="en-US"/>
        </w:rPr>
        <w:t xml:space="preserve"> </w:t>
      </w:r>
      <w:r w:rsidRPr="00277547">
        <w:rPr>
          <w:rFonts w:eastAsiaTheme="minorHAnsi" w:cstheme="minorBidi"/>
          <w:position w:val="0"/>
          <w:sz w:val="20"/>
          <w:vertAlign w:val="baseline"/>
          <w:lang w:eastAsia="en-US"/>
        </w:rPr>
        <w:t>Ibid.</w:t>
      </w:r>
    </w:p>
  </w:footnote>
  <w:footnote w:id="23">
    <w:p w14:paraId="6690EA9B" w14:textId="77777777" w:rsidR="00BC67A0" w:rsidRDefault="00BC67A0" w:rsidP="002F5533">
      <w:pPr>
        <w:pStyle w:val="FootnoteText"/>
        <w:spacing w:after="0"/>
      </w:pPr>
      <w:r w:rsidRPr="00277547">
        <w:rPr>
          <w:rStyle w:val="FootnoteReference"/>
          <w:rFonts w:eastAsiaTheme="minorHAnsi" w:cstheme="minorBidi"/>
          <w:position w:val="0"/>
          <w:sz w:val="20"/>
          <w:lang w:eastAsia="en-US"/>
        </w:rPr>
        <w:footnoteRef/>
      </w:r>
      <w:r>
        <w:t xml:space="preserve"> </w:t>
      </w:r>
      <w:r w:rsidRPr="00277547">
        <w:rPr>
          <w:rFonts w:eastAsiaTheme="minorHAnsi" w:cstheme="minorBidi"/>
          <w:position w:val="0"/>
          <w:sz w:val="20"/>
          <w:vertAlign w:val="baseline"/>
          <w:lang w:eastAsia="en-US"/>
        </w:rPr>
        <w:t>UK Government. (2013). ‘</w:t>
      </w:r>
      <w:hyperlink r:id="rId12" w:history="1">
        <w:r w:rsidRPr="00277547">
          <w:rPr>
            <w:rFonts w:eastAsiaTheme="minorHAnsi" w:cstheme="minorBidi"/>
            <w:position w:val="0"/>
            <w:sz w:val="20"/>
            <w:vertAlign w:val="baseline"/>
            <w:lang w:eastAsia="en-US"/>
          </w:rPr>
          <w:t>Low-carbon economy: size and performance’</w:t>
        </w:r>
      </w:hyperlink>
      <w:r w:rsidRPr="00277547">
        <w:rPr>
          <w:rFonts w:eastAsiaTheme="minorHAnsi" w:cstheme="minorBidi"/>
          <w:position w:val="0"/>
          <w:sz w:val="20"/>
          <w:vertAlign w:val="baseline"/>
          <w:lang w:eastAsia="en-US"/>
        </w:rPr>
        <w:t>.</w:t>
      </w:r>
    </w:p>
  </w:footnote>
  <w:footnote w:id="24">
    <w:p w14:paraId="6085359E" w14:textId="77777777" w:rsidR="00BC67A0" w:rsidRDefault="00BC67A0" w:rsidP="002F5533">
      <w:pPr>
        <w:pStyle w:val="FootnoteText"/>
      </w:pPr>
      <w:r w:rsidRPr="00277547">
        <w:rPr>
          <w:rStyle w:val="FootnoteReference"/>
          <w:rFonts w:eastAsiaTheme="minorHAnsi" w:cstheme="minorBidi"/>
          <w:position w:val="0"/>
          <w:sz w:val="20"/>
          <w:lang w:eastAsia="en-US"/>
        </w:rPr>
        <w:footnoteRef/>
      </w:r>
      <w:r>
        <w:t xml:space="preserve"> </w:t>
      </w:r>
      <w:r w:rsidRPr="00277547">
        <w:rPr>
          <w:rFonts w:eastAsiaTheme="minorHAnsi" w:cstheme="minorBidi"/>
          <w:position w:val="0"/>
          <w:sz w:val="20"/>
          <w:vertAlign w:val="baseline"/>
          <w:lang w:eastAsia="en-US"/>
        </w:rPr>
        <w:t>Scottish Maritime Cluster. (2019). ‘</w:t>
      </w:r>
      <w:hyperlink r:id="rId13" w:history="1">
        <w:r w:rsidRPr="00277547">
          <w:rPr>
            <w:rFonts w:eastAsiaTheme="minorHAnsi" w:cstheme="minorBidi"/>
            <w:position w:val="0"/>
            <w:sz w:val="20"/>
            <w:vertAlign w:val="baseline"/>
            <w:lang w:eastAsia="en-US"/>
          </w:rPr>
          <w:t>About Us’</w:t>
        </w:r>
      </w:hyperlink>
      <w:r w:rsidRPr="00277547">
        <w:rPr>
          <w:rFonts w:eastAsiaTheme="minorHAnsi" w:cstheme="minorBidi"/>
          <w:position w:val="0"/>
          <w:sz w:val="20"/>
          <w:vertAlign w:val="baseline"/>
          <w:lang w:eastAsia="en-US"/>
        </w:rPr>
        <w:t>.</w:t>
      </w:r>
    </w:p>
  </w:footnote>
  <w:footnote w:id="25">
    <w:p w14:paraId="7166CB28" w14:textId="77777777" w:rsidR="00BC67A0" w:rsidRDefault="00BC67A0" w:rsidP="002F5533">
      <w:pPr>
        <w:pStyle w:val="FootnoteText"/>
        <w:spacing w:after="0"/>
      </w:pPr>
      <w:r w:rsidRPr="00277547">
        <w:rPr>
          <w:rStyle w:val="FootnoteReference"/>
          <w:rFonts w:eastAsiaTheme="minorHAnsi" w:cstheme="minorBidi"/>
          <w:position w:val="0"/>
          <w:sz w:val="20"/>
          <w:lang w:eastAsia="en-US"/>
        </w:rPr>
        <w:footnoteRef/>
      </w:r>
      <w:r>
        <w:t xml:space="preserve"> </w:t>
      </w:r>
      <w:r w:rsidRPr="00277547">
        <w:rPr>
          <w:rFonts w:eastAsiaTheme="minorHAnsi" w:cstheme="minorBidi"/>
          <w:position w:val="0"/>
          <w:sz w:val="20"/>
          <w:vertAlign w:val="baseline"/>
          <w:lang w:eastAsia="en-US"/>
        </w:rPr>
        <w:t>Scottish Maritime Cluster. (2019). ‘</w:t>
      </w:r>
      <w:hyperlink r:id="rId14" w:history="1">
        <w:r w:rsidRPr="00277547">
          <w:rPr>
            <w:rFonts w:eastAsiaTheme="minorHAnsi" w:cstheme="minorBidi"/>
            <w:position w:val="0"/>
            <w:sz w:val="20"/>
            <w:vertAlign w:val="baseline"/>
            <w:lang w:eastAsia="en-US"/>
          </w:rPr>
          <w:t>Membership</w:t>
        </w:r>
      </w:hyperlink>
      <w:r w:rsidRPr="00277547">
        <w:rPr>
          <w:rFonts w:eastAsiaTheme="minorHAnsi" w:cstheme="minorBidi"/>
          <w:position w:val="0"/>
          <w:sz w:val="20"/>
          <w:vertAlign w:val="baseline"/>
          <w:lang w:eastAsia="en-US"/>
        </w:rPr>
        <w:t>.’</w:t>
      </w:r>
    </w:p>
  </w:footnote>
  <w:footnote w:id="26">
    <w:p w14:paraId="0F8CB8CB" w14:textId="77777777" w:rsidR="00BC67A0" w:rsidRDefault="00BC67A0" w:rsidP="002F5533">
      <w:pPr>
        <w:pStyle w:val="FootnoteText"/>
        <w:spacing w:after="0"/>
      </w:pPr>
      <w:r w:rsidRPr="00277547">
        <w:rPr>
          <w:rStyle w:val="FootnoteReference"/>
          <w:rFonts w:eastAsiaTheme="minorHAnsi" w:cstheme="minorBidi"/>
          <w:position w:val="0"/>
          <w:sz w:val="20"/>
          <w:lang w:eastAsia="en-US"/>
        </w:rPr>
        <w:footnoteRef/>
      </w:r>
      <w:r w:rsidRPr="00277547">
        <w:rPr>
          <w:rStyle w:val="FootnoteReference"/>
          <w:rFonts w:eastAsiaTheme="minorHAnsi" w:cstheme="minorBidi"/>
          <w:position w:val="0"/>
          <w:sz w:val="20"/>
          <w:lang w:eastAsia="en-US"/>
        </w:rPr>
        <w:t xml:space="preserve"> </w:t>
      </w:r>
      <w:r w:rsidRPr="00277547">
        <w:rPr>
          <w:rFonts w:eastAsiaTheme="minorHAnsi" w:cstheme="minorBidi"/>
          <w:position w:val="0"/>
          <w:sz w:val="20"/>
          <w:vertAlign w:val="baseline"/>
          <w:lang w:eastAsia="en-US"/>
        </w:rPr>
        <w:t>Department for Transport. (2019). ‘</w:t>
      </w:r>
      <w:hyperlink r:id="rId15" w:history="1">
        <w:r w:rsidRPr="00277547">
          <w:rPr>
            <w:rFonts w:eastAsiaTheme="minorHAnsi" w:cstheme="minorBidi"/>
            <w:position w:val="0"/>
            <w:sz w:val="20"/>
            <w:vertAlign w:val="baseline"/>
            <w:lang w:eastAsia="en-US"/>
          </w:rPr>
          <w:t>Maritime 2050: navigating the future’</w:t>
        </w:r>
      </w:hyperlink>
      <w:r w:rsidRPr="00277547">
        <w:rPr>
          <w:rFonts w:eastAsiaTheme="minorHAnsi" w:cstheme="minorBidi"/>
          <w:position w:val="0"/>
          <w:sz w:val="20"/>
          <w:vertAlign w:val="baseline"/>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1334"/>
      <w:docPartObj>
        <w:docPartGallery w:val="Page Numbers (Top of Page)"/>
        <w:docPartUnique/>
      </w:docPartObj>
    </w:sdtPr>
    <w:sdtEndPr>
      <w:rPr>
        <w:noProof/>
      </w:rPr>
    </w:sdtEndPr>
    <w:sdtContent>
      <w:p w14:paraId="6FFD20BE" w14:textId="4ED0FF5F" w:rsidR="00BC67A0" w:rsidRDefault="00BC67A0">
        <w:pPr>
          <w:pStyle w:val="Header"/>
          <w:jc w:val="right"/>
        </w:pPr>
        <w:r>
          <w:fldChar w:fldCharType="begin"/>
        </w:r>
        <w:r>
          <w:instrText xml:space="preserve"> PAGE   \* MERGEFORMAT </w:instrText>
        </w:r>
        <w:r>
          <w:fldChar w:fldCharType="separate"/>
        </w:r>
        <w:r w:rsidR="004032C0">
          <w:rPr>
            <w:noProof/>
          </w:rPr>
          <w:t>4</w:t>
        </w:r>
        <w:r>
          <w:rPr>
            <w:noProof/>
          </w:rPr>
          <w:fldChar w:fldCharType="end"/>
        </w:r>
      </w:p>
    </w:sdtContent>
  </w:sdt>
  <w:p w14:paraId="5DCBF273" w14:textId="1F4332B6" w:rsidR="00BC67A0" w:rsidRDefault="00BC67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3FEA" w14:textId="77777777" w:rsidR="00BC67A0" w:rsidRDefault="00BC67A0">
    <w:pPr>
      <w:pStyle w:val="Header"/>
    </w:pPr>
    <w:r>
      <w:rPr>
        <w:noProof/>
        <w:lang w:eastAsia="en-GB"/>
      </w:rPr>
      <w:drawing>
        <wp:anchor distT="0" distB="0" distL="114300" distR="114300" simplePos="0" relativeHeight="251665408" behindDoc="1" locked="1" layoutInCell="1" allowOverlap="1" wp14:anchorId="0F17C947" wp14:editId="1E9158F9">
          <wp:simplePos x="0" y="0"/>
          <wp:positionH relativeFrom="page">
            <wp:posOffset>0</wp:posOffset>
          </wp:positionH>
          <wp:positionV relativeFrom="page">
            <wp:posOffset>0</wp:posOffset>
          </wp:positionV>
          <wp:extent cx="7563600" cy="8960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_Operandi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896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C0FF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AEA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00AD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3E15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5673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DED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9EF4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A19D8"/>
    <w:lvl w:ilvl="0">
      <w:start w:val="1"/>
      <w:numFmt w:val="bullet"/>
      <w:pStyle w:val="ListBullet2"/>
      <w:lvlText w:val="–"/>
      <w:lvlJc w:val="left"/>
      <w:pPr>
        <w:ind w:left="587" w:hanging="360"/>
      </w:pPr>
      <w:rPr>
        <w:rFonts w:ascii="Gotham Light" w:hAnsi="Gotham Light" w:cs="Symbol" w:hint="default"/>
        <w:color w:val="008C9B" w:themeColor="accent1"/>
      </w:rPr>
    </w:lvl>
  </w:abstractNum>
  <w:abstractNum w:abstractNumId="8" w15:restartNumberingAfterBreak="0">
    <w:nsid w:val="FFFFFF88"/>
    <w:multiLevelType w:val="singleLevel"/>
    <w:tmpl w:val="0812F64C"/>
    <w:lvl w:ilvl="0">
      <w:start w:val="1"/>
      <w:numFmt w:val="decimal"/>
      <w:pStyle w:val="ListNumber"/>
      <w:lvlText w:val="%1"/>
      <w:lvlJc w:val="left"/>
      <w:pPr>
        <w:ind w:left="360" w:hanging="360"/>
      </w:pPr>
      <w:rPr>
        <w:rFonts w:hint="default"/>
        <w:b/>
        <w:i w:val="0"/>
        <w:color w:val="008C9B" w:themeColor="text2"/>
      </w:rPr>
    </w:lvl>
  </w:abstractNum>
  <w:abstractNum w:abstractNumId="9" w15:restartNumberingAfterBreak="0">
    <w:nsid w:val="FFFFFF89"/>
    <w:multiLevelType w:val="singleLevel"/>
    <w:tmpl w:val="4DD0BCD0"/>
    <w:lvl w:ilvl="0">
      <w:start w:val="1"/>
      <w:numFmt w:val="bullet"/>
      <w:lvlText w:val="·"/>
      <w:lvlJc w:val="left"/>
      <w:pPr>
        <w:ind w:left="360" w:hanging="360"/>
      </w:pPr>
      <w:rPr>
        <w:rFonts w:ascii="Symbol" w:hAnsi="Symbol" w:cs="Symbol" w:hint="default"/>
        <w:color w:val="008C9B" w:themeColor="accent1"/>
      </w:rPr>
    </w:lvl>
  </w:abstractNum>
  <w:abstractNum w:abstractNumId="10" w15:restartNumberingAfterBreak="0">
    <w:nsid w:val="074D38FB"/>
    <w:multiLevelType w:val="hybridMultilevel"/>
    <w:tmpl w:val="76BC8184"/>
    <w:lvl w:ilvl="0" w:tplc="3DEA876A">
      <w:start w:val="1"/>
      <w:numFmt w:val="lowerLetter"/>
      <w:pStyle w:val="ListNumber2"/>
      <w:lvlText w:val="%1"/>
      <w:lvlJc w:val="left"/>
      <w:pPr>
        <w:ind w:left="947" w:hanging="360"/>
      </w:pPr>
      <w:rPr>
        <w:rFonts w:hint="default"/>
        <w:bCs/>
        <w:iCs w:val="0"/>
        <w:color w:val="008C9B" w:themeColor="accent1"/>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1" w15:restartNumberingAfterBreak="0">
    <w:nsid w:val="0C4319E6"/>
    <w:multiLevelType w:val="hybridMultilevel"/>
    <w:tmpl w:val="7146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9330D"/>
    <w:multiLevelType w:val="hybridMultilevel"/>
    <w:tmpl w:val="CF9876E6"/>
    <w:lvl w:ilvl="0" w:tplc="08090001">
      <w:start w:val="1"/>
      <w:numFmt w:val="bullet"/>
      <w:lvlText w:val=""/>
      <w:lvlJc w:val="left"/>
      <w:pPr>
        <w:ind w:left="720" w:hanging="360"/>
      </w:pPr>
      <w:rPr>
        <w:rFonts w:ascii="Symbol" w:hAnsi="Symbol" w:hint="default"/>
        <w:color w:val="008C9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863C3"/>
    <w:multiLevelType w:val="hybridMultilevel"/>
    <w:tmpl w:val="184A3E4E"/>
    <w:lvl w:ilvl="0" w:tplc="08090001">
      <w:start w:val="1"/>
      <w:numFmt w:val="bullet"/>
      <w:lvlText w:val=""/>
      <w:lvlJc w:val="left"/>
      <w:pPr>
        <w:ind w:left="720" w:hanging="360"/>
      </w:pPr>
      <w:rPr>
        <w:rFonts w:ascii="Symbol" w:hAnsi="Symbol" w:hint="default"/>
        <w:color w:val="008C9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B5DE0"/>
    <w:multiLevelType w:val="hybridMultilevel"/>
    <w:tmpl w:val="6034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26F57"/>
    <w:multiLevelType w:val="hybridMultilevel"/>
    <w:tmpl w:val="1F86A46E"/>
    <w:lvl w:ilvl="0" w:tplc="08090001">
      <w:start w:val="1"/>
      <w:numFmt w:val="bullet"/>
      <w:lvlText w:val=""/>
      <w:lvlJc w:val="left"/>
      <w:pPr>
        <w:ind w:left="720" w:hanging="360"/>
      </w:pPr>
      <w:rPr>
        <w:rFonts w:ascii="Symbol" w:hAnsi="Symbol" w:hint="default"/>
        <w:color w:val="008C9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C1AC2"/>
    <w:multiLevelType w:val="hybridMultilevel"/>
    <w:tmpl w:val="67C09E84"/>
    <w:lvl w:ilvl="0" w:tplc="08090001">
      <w:start w:val="1"/>
      <w:numFmt w:val="bullet"/>
      <w:lvlText w:val=""/>
      <w:lvlJc w:val="left"/>
      <w:pPr>
        <w:ind w:left="720" w:hanging="360"/>
      </w:pPr>
      <w:rPr>
        <w:rFonts w:ascii="Symbol" w:hAnsi="Symbol" w:hint="default"/>
        <w:color w:val="008C9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13A1A"/>
    <w:multiLevelType w:val="multilevel"/>
    <w:tmpl w:val="B596C11A"/>
    <w:numStyleLink w:val="Cebrlist"/>
  </w:abstractNum>
  <w:abstractNum w:abstractNumId="18" w15:restartNumberingAfterBreak="0">
    <w:nsid w:val="576E6442"/>
    <w:multiLevelType w:val="multilevel"/>
    <w:tmpl w:val="B596C11A"/>
    <w:styleLink w:val="Cebrlist"/>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B4263B"/>
    <w:multiLevelType w:val="hybridMultilevel"/>
    <w:tmpl w:val="DB586C10"/>
    <w:lvl w:ilvl="0" w:tplc="08090001">
      <w:start w:val="1"/>
      <w:numFmt w:val="bullet"/>
      <w:lvlText w:val=""/>
      <w:lvlJc w:val="left"/>
      <w:pPr>
        <w:ind w:left="720" w:hanging="360"/>
      </w:pPr>
      <w:rPr>
        <w:rFonts w:ascii="Symbol" w:hAnsi="Symbol" w:hint="default"/>
        <w:color w:val="008C9B" w:themeColor="accent1"/>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3"/>
  </w:num>
  <w:num w:numId="4">
    <w:abstractNumId w:val="3"/>
  </w:num>
  <w:num w:numId="5">
    <w:abstractNumId w:val="8"/>
  </w:num>
  <w:num w:numId="6">
    <w:abstractNumId w:val="3"/>
  </w:num>
  <w:num w:numId="7">
    <w:abstractNumId w:val="8"/>
  </w:num>
  <w:num w:numId="8">
    <w:abstractNumId w:val="9"/>
  </w:num>
  <w:num w:numId="9">
    <w:abstractNumId w:val="7"/>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5"/>
  </w:num>
  <w:num w:numId="15">
    <w:abstractNumId w:val="4"/>
  </w:num>
  <w:num w:numId="16">
    <w:abstractNumId w:val="2"/>
  </w:num>
  <w:num w:numId="17">
    <w:abstractNumId w:val="1"/>
  </w:num>
  <w:num w:numId="18">
    <w:abstractNumId w:val="0"/>
  </w:num>
  <w:num w:numId="19">
    <w:abstractNumId w:val="10"/>
  </w:num>
  <w:num w:numId="20">
    <w:abstractNumId w:val="15"/>
  </w:num>
  <w:num w:numId="21">
    <w:abstractNumId w:val="14"/>
  </w:num>
  <w:num w:numId="22">
    <w:abstractNumId w:val="11"/>
  </w:num>
  <w:num w:numId="23">
    <w:abstractNumId w:val="16"/>
  </w:num>
  <w:num w:numId="24">
    <w:abstractNumId w:val="12"/>
  </w:num>
  <w:num w:numId="25">
    <w:abstractNumId w:val="19"/>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53"/>
    <w:rsid w:val="00000497"/>
    <w:rsid w:val="00000591"/>
    <w:rsid w:val="00000947"/>
    <w:rsid w:val="000018E2"/>
    <w:rsid w:val="000043CD"/>
    <w:rsid w:val="00006A82"/>
    <w:rsid w:val="00010228"/>
    <w:rsid w:val="000121F3"/>
    <w:rsid w:val="00012D13"/>
    <w:rsid w:val="0001349B"/>
    <w:rsid w:val="00015B31"/>
    <w:rsid w:val="000170AB"/>
    <w:rsid w:val="00017CB2"/>
    <w:rsid w:val="00017ECB"/>
    <w:rsid w:val="000206FD"/>
    <w:rsid w:val="00020A59"/>
    <w:rsid w:val="00020D65"/>
    <w:rsid w:val="00020EA0"/>
    <w:rsid w:val="000219E1"/>
    <w:rsid w:val="00023209"/>
    <w:rsid w:val="000235FB"/>
    <w:rsid w:val="00024765"/>
    <w:rsid w:val="00025FA6"/>
    <w:rsid w:val="0002614D"/>
    <w:rsid w:val="00026E7B"/>
    <w:rsid w:val="0003037A"/>
    <w:rsid w:val="000306E8"/>
    <w:rsid w:val="000309F2"/>
    <w:rsid w:val="00030D94"/>
    <w:rsid w:val="00030F22"/>
    <w:rsid w:val="00032440"/>
    <w:rsid w:val="0003368B"/>
    <w:rsid w:val="00034174"/>
    <w:rsid w:val="0003517A"/>
    <w:rsid w:val="00035748"/>
    <w:rsid w:val="00036581"/>
    <w:rsid w:val="00037501"/>
    <w:rsid w:val="00040567"/>
    <w:rsid w:val="0004066A"/>
    <w:rsid w:val="00041317"/>
    <w:rsid w:val="0004452A"/>
    <w:rsid w:val="00045C1B"/>
    <w:rsid w:val="00045E7B"/>
    <w:rsid w:val="000460A7"/>
    <w:rsid w:val="000514CC"/>
    <w:rsid w:val="000517FC"/>
    <w:rsid w:val="00051DD5"/>
    <w:rsid w:val="000520BC"/>
    <w:rsid w:val="0005284D"/>
    <w:rsid w:val="000540B6"/>
    <w:rsid w:val="0005602C"/>
    <w:rsid w:val="0005788D"/>
    <w:rsid w:val="00064FA6"/>
    <w:rsid w:val="0006652D"/>
    <w:rsid w:val="00067329"/>
    <w:rsid w:val="00067868"/>
    <w:rsid w:val="00067F4A"/>
    <w:rsid w:val="000703B1"/>
    <w:rsid w:val="00070F23"/>
    <w:rsid w:val="0007113D"/>
    <w:rsid w:val="00072E52"/>
    <w:rsid w:val="0007369D"/>
    <w:rsid w:val="00075389"/>
    <w:rsid w:val="000753CE"/>
    <w:rsid w:val="000757FE"/>
    <w:rsid w:val="00076452"/>
    <w:rsid w:val="00077F62"/>
    <w:rsid w:val="0008081F"/>
    <w:rsid w:val="00080C2C"/>
    <w:rsid w:val="00081408"/>
    <w:rsid w:val="0008458B"/>
    <w:rsid w:val="00084651"/>
    <w:rsid w:val="000858D0"/>
    <w:rsid w:val="0009029D"/>
    <w:rsid w:val="00090BA3"/>
    <w:rsid w:val="0009102E"/>
    <w:rsid w:val="00091112"/>
    <w:rsid w:val="00091345"/>
    <w:rsid w:val="00091674"/>
    <w:rsid w:val="0009314A"/>
    <w:rsid w:val="00095C1F"/>
    <w:rsid w:val="00096B86"/>
    <w:rsid w:val="00097798"/>
    <w:rsid w:val="000A1D11"/>
    <w:rsid w:val="000A1F0D"/>
    <w:rsid w:val="000A2222"/>
    <w:rsid w:val="000A2560"/>
    <w:rsid w:val="000A3224"/>
    <w:rsid w:val="000A4E11"/>
    <w:rsid w:val="000A552A"/>
    <w:rsid w:val="000A5D8C"/>
    <w:rsid w:val="000A706F"/>
    <w:rsid w:val="000B117E"/>
    <w:rsid w:val="000B181E"/>
    <w:rsid w:val="000B1868"/>
    <w:rsid w:val="000C06F7"/>
    <w:rsid w:val="000C1477"/>
    <w:rsid w:val="000C2351"/>
    <w:rsid w:val="000C451B"/>
    <w:rsid w:val="000C6EE6"/>
    <w:rsid w:val="000C6F1C"/>
    <w:rsid w:val="000C7C3B"/>
    <w:rsid w:val="000D0432"/>
    <w:rsid w:val="000D177A"/>
    <w:rsid w:val="000D1D96"/>
    <w:rsid w:val="000D2C49"/>
    <w:rsid w:val="000D333E"/>
    <w:rsid w:val="000D4724"/>
    <w:rsid w:val="000D7F85"/>
    <w:rsid w:val="000E0341"/>
    <w:rsid w:val="000E0F64"/>
    <w:rsid w:val="000E1496"/>
    <w:rsid w:val="000E3CEB"/>
    <w:rsid w:val="000E48CC"/>
    <w:rsid w:val="000E4B3D"/>
    <w:rsid w:val="000E543B"/>
    <w:rsid w:val="000E5ED8"/>
    <w:rsid w:val="000E6732"/>
    <w:rsid w:val="000E788B"/>
    <w:rsid w:val="000F1888"/>
    <w:rsid w:val="000F33CB"/>
    <w:rsid w:val="000F39DB"/>
    <w:rsid w:val="000F3E57"/>
    <w:rsid w:val="000F46A9"/>
    <w:rsid w:val="000F529B"/>
    <w:rsid w:val="000F58AA"/>
    <w:rsid w:val="000F5C85"/>
    <w:rsid w:val="000F7B47"/>
    <w:rsid w:val="001007A9"/>
    <w:rsid w:val="0010557C"/>
    <w:rsid w:val="00107BF6"/>
    <w:rsid w:val="00107FC0"/>
    <w:rsid w:val="001101D8"/>
    <w:rsid w:val="0011101A"/>
    <w:rsid w:val="00112781"/>
    <w:rsid w:val="001140FA"/>
    <w:rsid w:val="0011534E"/>
    <w:rsid w:val="00115C74"/>
    <w:rsid w:val="0011690A"/>
    <w:rsid w:val="00117AF1"/>
    <w:rsid w:val="00117B5C"/>
    <w:rsid w:val="001210F0"/>
    <w:rsid w:val="00121D53"/>
    <w:rsid w:val="00123894"/>
    <w:rsid w:val="001238E3"/>
    <w:rsid w:val="00123988"/>
    <w:rsid w:val="00125EEC"/>
    <w:rsid w:val="00126C05"/>
    <w:rsid w:val="00126FAC"/>
    <w:rsid w:val="00126FCE"/>
    <w:rsid w:val="001278E4"/>
    <w:rsid w:val="00130F43"/>
    <w:rsid w:val="00131817"/>
    <w:rsid w:val="00136693"/>
    <w:rsid w:val="00136C9B"/>
    <w:rsid w:val="001401E4"/>
    <w:rsid w:val="001407F0"/>
    <w:rsid w:val="00141FD1"/>
    <w:rsid w:val="00143397"/>
    <w:rsid w:val="001449BC"/>
    <w:rsid w:val="001450A1"/>
    <w:rsid w:val="00147A46"/>
    <w:rsid w:val="001515D2"/>
    <w:rsid w:val="001579F7"/>
    <w:rsid w:val="00157BFF"/>
    <w:rsid w:val="00160F5F"/>
    <w:rsid w:val="0016171C"/>
    <w:rsid w:val="00161F74"/>
    <w:rsid w:val="00163A44"/>
    <w:rsid w:val="00164BB5"/>
    <w:rsid w:val="001663D9"/>
    <w:rsid w:val="001664DA"/>
    <w:rsid w:val="00167A03"/>
    <w:rsid w:val="00171DB7"/>
    <w:rsid w:val="00173DF9"/>
    <w:rsid w:val="0017503B"/>
    <w:rsid w:val="00176A87"/>
    <w:rsid w:val="00180507"/>
    <w:rsid w:val="00180574"/>
    <w:rsid w:val="00180B29"/>
    <w:rsid w:val="001810AE"/>
    <w:rsid w:val="001847E3"/>
    <w:rsid w:val="00184C5C"/>
    <w:rsid w:val="00185A37"/>
    <w:rsid w:val="00187C18"/>
    <w:rsid w:val="0019128A"/>
    <w:rsid w:val="00195BD7"/>
    <w:rsid w:val="001A08E0"/>
    <w:rsid w:val="001A14D3"/>
    <w:rsid w:val="001A14E7"/>
    <w:rsid w:val="001A649D"/>
    <w:rsid w:val="001A6835"/>
    <w:rsid w:val="001A68E2"/>
    <w:rsid w:val="001A7AC9"/>
    <w:rsid w:val="001B0BB6"/>
    <w:rsid w:val="001B0D06"/>
    <w:rsid w:val="001B1638"/>
    <w:rsid w:val="001B1F46"/>
    <w:rsid w:val="001B1FDC"/>
    <w:rsid w:val="001B20C7"/>
    <w:rsid w:val="001B4A87"/>
    <w:rsid w:val="001B5DB7"/>
    <w:rsid w:val="001B6D83"/>
    <w:rsid w:val="001C16F9"/>
    <w:rsid w:val="001C25A6"/>
    <w:rsid w:val="001C2819"/>
    <w:rsid w:val="001C3F32"/>
    <w:rsid w:val="001C442C"/>
    <w:rsid w:val="001C5752"/>
    <w:rsid w:val="001C65C2"/>
    <w:rsid w:val="001C6F2B"/>
    <w:rsid w:val="001C761F"/>
    <w:rsid w:val="001C77BE"/>
    <w:rsid w:val="001D006F"/>
    <w:rsid w:val="001D19F7"/>
    <w:rsid w:val="001D2C60"/>
    <w:rsid w:val="001D2F8A"/>
    <w:rsid w:val="001D341E"/>
    <w:rsid w:val="001D65D3"/>
    <w:rsid w:val="001D7011"/>
    <w:rsid w:val="001D7D48"/>
    <w:rsid w:val="001E3470"/>
    <w:rsid w:val="001E3868"/>
    <w:rsid w:val="001E3A18"/>
    <w:rsid w:val="001E3FCF"/>
    <w:rsid w:val="001F1CBB"/>
    <w:rsid w:val="001F1CCD"/>
    <w:rsid w:val="001F28E1"/>
    <w:rsid w:val="001F2A8E"/>
    <w:rsid w:val="001F329C"/>
    <w:rsid w:val="002009BD"/>
    <w:rsid w:val="00200F18"/>
    <w:rsid w:val="002024C8"/>
    <w:rsid w:val="002029F8"/>
    <w:rsid w:val="00202D1A"/>
    <w:rsid w:val="002032CC"/>
    <w:rsid w:val="0020407D"/>
    <w:rsid w:val="0020626A"/>
    <w:rsid w:val="00206D6D"/>
    <w:rsid w:val="0020713F"/>
    <w:rsid w:val="00207641"/>
    <w:rsid w:val="00207BC4"/>
    <w:rsid w:val="00212E2F"/>
    <w:rsid w:val="002142C5"/>
    <w:rsid w:val="00215D04"/>
    <w:rsid w:val="002165B6"/>
    <w:rsid w:val="00220478"/>
    <w:rsid w:val="002220A0"/>
    <w:rsid w:val="00222C22"/>
    <w:rsid w:val="00223B88"/>
    <w:rsid w:val="00224777"/>
    <w:rsid w:val="00225C3C"/>
    <w:rsid w:val="00226BEF"/>
    <w:rsid w:val="00227618"/>
    <w:rsid w:val="002301EC"/>
    <w:rsid w:val="00230E16"/>
    <w:rsid w:val="00235452"/>
    <w:rsid w:val="00236549"/>
    <w:rsid w:val="00240D05"/>
    <w:rsid w:val="002448A0"/>
    <w:rsid w:val="00245DD9"/>
    <w:rsid w:val="00247076"/>
    <w:rsid w:val="00247417"/>
    <w:rsid w:val="002506D6"/>
    <w:rsid w:val="00252D38"/>
    <w:rsid w:val="00255FFF"/>
    <w:rsid w:val="002569DE"/>
    <w:rsid w:val="00256E86"/>
    <w:rsid w:val="00256EE0"/>
    <w:rsid w:val="002609CB"/>
    <w:rsid w:val="00260D92"/>
    <w:rsid w:val="0026269D"/>
    <w:rsid w:val="00266521"/>
    <w:rsid w:val="002671F0"/>
    <w:rsid w:val="00270958"/>
    <w:rsid w:val="00271D83"/>
    <w:rsid w:val="002729FA"/>
    <w:rsid w:val="0027436F"/>
    <w:rsid w:val="00275C04"/>
    <w:rsid w:val="00275DF1"/>
    <w:rsid w:val="00276037"/>
    <w:rsid w:val="002762E9"/>
    <w:rsid w:val="0027657D"/>
    <w:rsid w:val="0027718B"/>
    <w:rsid w:val="00281114"/>
    <w:rsid w:val="0028719B"/>
    <w:rsid w:val="00287FA0"/>
    <w:rsid w:val="0029036C"/>
    <w:rsid w:val="00291A61"/>
    <w:rsid w:val="002943AD"/>
    <w:rsid w:val="0029510C"/>
    <w:rsid w:val="002957A6"/>
    <w:rsid w:val="00297B8F"/>
    <w:rsid w:val="002A4226"/>
    <w:rsid w:val="002A4CCE"/>
    <w:rsid w:val="002A5E9C"/>
    <w:rsid w:val="002A5F37"/>
    <w:rsid w:val="002A7B43"/>
    <w:rsid w:val="002B0B26"/>
    <w:rsid w:val="002B1C09"/>
    <w:rsid w:val="002B1D21"/>
    <w:rsid w:val="002B2AA9"/>
    <w:rsid w:val="002B45C6"/>
    <w:rsid w:val="002B526E"/>
    <w:rsid w:val="002B5AEB"/>
    <w:rsid w:val="002B6398"/>
    <w:rsid w:val="002B7C5D"/>
    <w:rsid w:val="002C2495"/>
    <w:rsid w:val="002C2507"/>
    <w:rsid w:val="002C334C"/>
    <w:rsid w:val="002C4491"/>
    <w:rsid w:val="002C657F"/>
    <w:rsid w:val="002C754B"/>
    <w:rsid w:val="002D2B58"/>
    <w:rsid w:val="002D457E"/>
    <w:rsid w:val="002D5D78"/>
    <w:rsid w:val="002E059E"/>
    <w:rsid w:val="002E1143"/>
    <w:rsid w:val="002E1911"/>
    <w:rsid w:val="002E3290"/>
    <w:rsid w:val="002E4336"/>
    <w:rsid w:val="002E4A44"/>
    <w:rsid w:val="002E55FC"/>
    <w:rsid w:val="002F0688"/>
    <w:rsid w:val="002F0710"/>
    <w:rsid w:val="002F114F"/>
    <w:rsid w:val="002F34F7"/>
    <w:rsid w:val="002F3E49"/>
    <w:rsid w:val="002F4074"/>
    <w:rsid w:val="002F4F39"/>
    <w:rsid w:val="002F5533"/>
    <w:rsid w:val="002F58AD"/>
    <w:rsid w:val="002F5CB6"/>
    <w:rsid w:val="002F5EFB"/>
    <w:rsid w:val="002F677B"/>
    <w:rsid w:val="002F69DF"/>
    <w:rsid w:val="002F79AE"/>
    <w:rsid w:val="002F7ACD"/>
    <w:rsid w:val="00300F10"/>
    <w:rsid w:val="00302057"/>
    <w:rsid w:val="00302AB5"/>
    <w:rsid w:val="0030342E"/>
    <w:rsid w:val="00303FED"/>
    <w:rsid w:val="0030567E"/>
    <w:rsid w:val="0030679D"/>
    <w:rsid w:val="00306FE4"/>
    <w:rsid w:val="003101C8"/>
    <w:rsid w:val="00310741"/>
    <w:rsid w:val="00310B28"/>
    <w:rsid w:val="00310FC9"/>
    <w:rsid w:val="00311EC0"/>
    <w:rsid w:val="00313AFD"/>
    <w:rsid w:val="00313D48"/>
    <w:rsid w:val="0031484C"/>
    <w:rsid w:val="00314870"/>
    <w:rsid w:val="00315A39"/>
    <w:rsid w:val="00316376"/>
    <w:rsid w:val="00316965"/>
    <w:rsid w:val="00316C36"/>
    <w:rsid w:val="00317D47"/>
    <w:rsid w:val="0032343C"/>
    <w:rsid w:val="00323635"/>
    <w:rsid w:val="003236D3"/>
    <w:rsid w:val="00323EDA"/>
    <w:rsid w:val="00324F18"/>
    <w:rsid w:val="00325037"/>
    <w:rsid w:val="0032634F"/>
    <w:rsid w:val="00326F6D"/>
    <w:rsid w:val="003322DE"/>
    <w:rsid w:val="00332943"/>
    <w:rsid w:val="0034334D"/>
    <w:rsid w:val="0034349D"/>
    <w:rsid w:val="00343AFA"/>
    <w:rsid w:val="00343E26"/>
    <w:rsid w:val="00343F8B"/>
    <w:rsid w:val="0034406E"/>
    <w:rsid w:val="00344928"/>
    <w:rsid w:val="00346B5A"/>
    <w:rsid w:val="00346B61"/>
    <w:rsid w:val="00347532"/>
    <w:rsid w:val="00347A39"/>
    <w:rsid w:val="0035012D"/>
    <w:rsid w:val="003519B1"/>
    <w:rsid w:val="003523F1"/>
    <w:rsid w:val="0035369D"/>
    <w:rsid w:val="00353AD0"/>
    <w:rsid w:val="00353C19"/>
    <w:rsid w:val="00353E72"/>
    <w:rsid w:val="00354FC9"/>
    <w:rsid w:val="00355E7A"/>
    <w:rsid w:val="003561A1"/>
    <w:rsid w:val="00356ED9"/>
    <w:rsid w:val="00357C56"/>
    <w:rsid w:val="00357D17"/>
    <w:rsid w:val="0036071A"/>
    <w:rsid w:val="003618A4"/>
    <w:rsid w:val="003632C1"/>
    <w:rsid w:val="003634CA"/>
    <w:rsid w:val="00363AF8"/>
    <w:rsid w:val="00364DF9"/>
    <w:rsid w:val="00365FD0"/>
    <w:rsid w:val="00366326"/>
    <w:rsid w:val="003718A9"/>
    <w:rsid w:val="00371BC9"/>
    <w:rsid w:val="00372219"/>
    <w:rsid w:val="00372697"/>
    <w:rsid w:val="0037414A"/>
    <w:rsid w:val="00376A35"/>
    <w:rsid w:val="0037740E"/>
    <w:rsid w:val="003803FE"/>
    <w:rsid w:val="00383851"/>
    <w:rsid w:val="00384832"/>
    <w:rsid w:val="00386890"/>
    <w:rsid w:val="00387278"/>
    <w:rsid w:val="003874F3"/>
    <w:rsid w:val="00387F9F"/>
    <w:rsid w:val="00390A30"/>
    <w:rsid w:val="00391560"/>
    <w:rsid w:val="0039232D"/>
    <w:rsid w:val="00394FFF"/>
    <w:rsid w:val="003965BB"/>
    <w:rsid w:val="00397543"/>
    <w:rsid w:val="003A008E"/>
    <w:rsid w:val="003A0B03"/>
    <w:rsid w:val="003A0DE9"/>
    <w:rsid w:val="003A22E7"/>
    <w:rsid w:val="003A4645"/>
    <w:rsid w:val="003A4955"/>
    <w:rsid w:val="003A4C66"/>
    <w:rsid w:val="003A57C7"/>
    <w:rsid w:val="003B0364"/>
    <w:rsid w:val="003B1374"/>
    <w:rsid w:val="003B4ADF"/>
    <w:rsid w:val="003B7F36"/>
    <w:rsid w:val="003C088A"/>
    <w:rsid w:val="003C207D"/>
    <w:rsid w:val="003C3588"/>
    <w:rsid w:val="003C3D67"/>
    <w:rsid w:val="003C6C02"/>
    <w:rsid w:val="003C75AE"/>
    <w:rsid w:val="003C7F77"/>
    <w:rsid w:val="003D0188"/>
    <w:rsid w:val="003D0A87"/>
    <w:rsid w:val="003D504C"/>
    <w:rsid w:val="003D7677"/>
    <w:rsid w:val="003D77BE"/>
    <w:rsid w:val="003D79A7"/>
    <w:rsid w:val="003E0C81"/>
    <w:rsid w:val="003E3EF2"/>
    <w:rsid w:val="003E40F7"/>
    <w:rsid w:val="003E4F77"/>
    <w:rsid w:val="003E54D8"/>
    <w:rsid w:val="003E5BE2"/>
    <w:rsid w:val="003E62D4"/>
    <w:rsid w:val="003E7143"/>
    <w:rsid w:val="003E71D2"/>
    <w:rsid w:val="003F01A8"/>
    <w:rsid w:val="003F0861"/>
    <w:rsid w:val="003F0A50"/>
    <w:rsid w:val="003F10DF"/>
    <w:rsid w:val="003F125E"/>
    <w:rsid w:val="003F1679"/>
    <w:rsid w:val="003F1D4F"/>
    <w:rsid w:val="003F29F1"/>
    <w:rsid w:val="003F3070"/>
    <w:rsid w:val="003F3392"/>
    <w:rsid w:val="003F3FC1"/>
    <w:rsid w:val="003F6121"/>
    <w:rsid w:val="00400871"/>
    <w:rsid w:val="00400FCA"/>
    <w:rsid w:val="00401A48"/>
    <w:rsid w:val="00402104"/>
    <w:rsid w:val="004025DC"/>
    <w:rsid w:val="004032C0"/>
    <w:rsid w:val="00403661"/>
    <w:rsid w:val="00403D2D"/>
    <w:rsid w:val="0040451C"/>
    <w:rsid w:val="004045CC"/>
    <w:rsid w:val="00410139"/>
    <w:rsid w:val="00412B76"/>
    <w:rsid w:val="00414CBF"/>
    <w:rsid w:val="004154E6"/>
    <w:rsid w:val="004155D7"/>
    <w:rsid w:val="00415C37"/>
    <w:rsid w:val="00420447"/>
    <w:rsid w:val="004230B4"/>
    <w:rsid w:val="00423757"/>
    <w:rsid w:val="00423A10"/>
    <w:rsid w:val="004247BB"/>
    <w:rsid w:val="004248FE"/>
    <w:rsid w:val="00424F1F"/>
    <w:rsid w:val="00425567"/>
    <w:rsid w:val="00425EA2"/>
    <w:rsid w:val="00426236"/>
    <w:rsid w:val="00426E10"/>
    <w:rsid w:val="00427787"/>
    <w:rsid w:val="00430485"/>
    <w:rsid w:val="00431918"/>
    <w:rsid w:val="00431B75"/>
    <w:rsid w:val="00432A94"/>
    <w:rsid w:val="0043310C"/>
    <w:rsid w:val="00433556"/>
    <w:rsid w:val="004366E1"/>
    <w:rsid w:val="0043696E"/>
    <w:rsid w:val="004379B0"/>
    <w:rsid w:val="00440E52"/>
    <w:rsid w:val="00440E79"/>
    <w:rsid w:val="00440F72"/>
    <w:rsid w:val="0044152C"/>
    <w:rsid w:val="004425ED"/>
    <w:rsid w:val="00442609"/>
    <w:rsid w:val="004443FE"/>
    <w:rsid w:val="00445385"/>
    <w:rsid w:val="004455DE"/>
    <w:rsid w:val="00445751"/>
    <w:rsid w:val="00445838"/>
    <w:rsid w:val="00447D1A"/>
    <w:rsid w:val="0045252C"/>
    <w:rsid w:val="0045581D"/>
    <w:rsid w:val="00456BA8"/>
    <w:rsid w:val="0045723B"/>
    <w:rsid w:val="004575E7"/>
    <w:rsid w:val="004613C6"/>
    <w:rsid w:val="004639CB"/>
    <w:rsid w:val="00463D14"/>
    <w:rsid w:val="00464AD2"/>
    <w:rsid w:val="00464B04"/>
    <w:rsid w:val="00464B2E"/>
    <w:rsid w:val="00470A5B"/>
    <w:rsid w:val="00471123"/>
    <w:rsid w:val="00472655"/>
    <w:rsid w:val="004741D4"/>
    <w:rsid w:val="00477C7B"/>
    <w:rsid w:val="00477C8F"/>
    <w:rsid w:val="00481865"/>
    <w:rsid w:val="004821AD"/>
    <w:rsid w:val="00482DD0"/>
    <w:rsid w:val="004839C8"/>
    <w:rsid w:val="00483D72"/>
    <w:rsid w:val="004841E3"/>
    <w:rsid w:val="00484ED4"/>
    <w:rsid w:val="00485655"/>
    <w:rsid w:val="0048593B"/>
    <w:rsid w:val="00485B39"/>
    <w:rsid w:val="00485B3D"/>
    <w:rsid w:val="00490ACC"/>
    <w:rsid w:val="0049142E"/>
    <w:rsid w:val="004916E3"/>
    <w:rsid w:val="00491A2D"/>
    <w:rsid w:val="0049289D"/>
    <w:rsid w:val="004934BF"/>
    <w:rsid w:val="004940CE"/>
    <w:rsid w:val="00494C87"/>
    <w:rsid w:val="00495496"/>
    <w:rsid w:val="00497843"/>
    <w:rsid w:val="00497F43"/>
    <w:rsid w:val="004A1775"/>
    <w:rsid w:val="004A1A14"/>
    <w:rsid w:val="004A2DDD"/>
    <w:rsid w:val="004A3689"/>
    <w:rsid w:val="004A3A1D"/>
    <w:rsid w:val="004A56CE"/>
    <w:rsid w:val="004A5A11"/>
    <w:rsid w:val="004A5E00"/>
    <w:rsid w:val="004A62A1"/>
    <w:rsid w:val="004A631A"/>
    <w:rsid w:val="004A6D4E"/>
    <w:rsid w:val="004B10B8"/>
    <w:rsid w:val="004B42E7"/>
    <w:rsid w:val="004B7075"/>
    <w:rsid w:val="004C039F"/>
    <w:rsid w:val="004C12CE"/>
    <w:rsid w:val="004C1BD2"/>
    <w:rsid w:val="004C61AB"/>
    <w:rsid w:val="004C6516"/>
    <w:rsid w:val="004D2710"/>
    <w:rsid w:val="004D4579"/>
    <w:rsid w:val="004D7434"/>
    <w:rsid w:val="004E1133"/>
    <w:rsid w:val="004E1786"/>
    <w:rsid w:val="004E1787"/>
    <w:rsid w:val="004E191F"/>
    <w:rsid w:val="004E1D8E"/>
    <w:rsid w:val="004E4106"/>
    <w:rsid w:val="004E4364"/>
    <w:rsid w:val="004E588A"/>
    <w:rsid w:val="004E6593"/>
    <w:rsid w:val="004E670B"/>
    <w:rsid w:val="004E7038"/>
    <w:rsid w:val="004F08C3"/>
    <w:rsid w:val="004F08EC"/>
    <w:rsid w:val="004F151C"/>
    <w:rsid w:val="004F1540"/>
    <w:rsid w:val="004F571F"/>
    <w:rsid w:val="004F7BC8"/>
    <w:rsid w:val="004F7BF4"/>
    <w:rsid w:val="00500200"/>
    <w:rsid w:val="005006F8"/>
    <w:rsid w:val="0050210E"/>
    <w:rsid w:val="005112F1"/>
    <w:rsid w:val="005131DD"/>
    <w:rsid w:val="00514921"/>
    <w:rsid w:val="00514A79"/>
    <w:rsid w:val="00514DFA"/>
    <w:rsid w:val="00514E8D"/>
    <w:rsid w:val="00515B6F"/>
    <w:rsid w:val="00520FF4"/>
    <w:rsid w:val="00521761"/>
    <w:rsid w:val="005226AC"/>
    <w:rsid w:val="0052627D"/>
    <w:rsid w:val="005264AC"/>
    <w:rsid w:val="00526AC3"/>
    <w:rsid w:val="005314DF"/>
    <w:rsid w:val="00532583"/>
    <w:rsid w:val="00532CAF"/>
    <w:rsid w:val="00533127"/>
    <w:rsid w:val="00535856"/>
    <w:rsid w:val="00540CF3"/>
    <w:rsid w:val="00540D85"/>
    <w:rsid w:val="00540F4A"/>
    <w:rsid w:val="0054135D"/>
    <w:rsid w:val="005413A8"/>
    <w:rsid w:val="00542245"/>
    <w:rsid w:val="00544111"/>
    <w:rsid w:val="005445A6"/>
    <w:rsid w:val="005476D9"/>
    <w:rsid w:val="00547D2A"/>
    <w:rsid w:val="00550992"/>
    <w:rsid w:val="0055141F"/>
    <w:rsid w:val="005521D2"/>
    <w:rsid w:val="0055300C"/>
    <w:rsid w:val="005539FC"/>
    <w:rsid w:val="00554F6A"/>
    <w:rsid w:val="005558E6"/>
    <w:rsid w:val="005563CB"/>
    <w:rsid w:val="0055684E"/>
    <w:rsid w:val="00556AB6"/>
    <w:rsid w:val="00560B71"/>
    <w:rsid w:val="00561D5F"/>
    <w:rsid w:val="005632E0"/>
    <w:rsid w:val="005642DD"/>
    <w:rsid w:val="005646B3"/>
    <w:rsid w:val="005647A6"/>
    <w:rsid w:val="00564E87"/>
    <w:rsid w:val="0056580E"/>
    <w:rsid w:val="00572A85"/>
    <w:rsid w:val="00573195"/>
    <w:rsid w:val="0057452B"/>
    <w:rsid w:val="005745CC"/>
    <w:rsid w:val="00574608"/>
    <w:rsid w:val="00575848"/>
    <w:rsid w:val="00575D49"/>
    <w:rsid w:val="00575E40"/>
    <w:rsid w:val="00576BB5"/>
    <w:rsid w:val="00577F40"/>
    <w:rsid w:val="005814AF"/>
    <w:rsid w:val="0058173A"/>
    <w:rsid w:val="00582DE2"/>
    <w:rsid w:val="005834EB"/>
    <w:rsid w:val="005841DC"/>
    <w:rsid w:val="005867D5"/>
    <w:rsid w:val="00586F27"/>
    <w:rsid w:val="00590B6B"/>
    <w:rsid w:val="00591A1A"/>
    <w:rsid w:val="005927C1"/>
    <w:rsid w:val="00593839"/>
    <w:rsid w:val="00594A2C"/>
    <w:rsid w:val="00595532"/>
    <w:rsid w:val="00596816"/>
    <w:rsid w:val="0059731B"/>
    <w:rsid w:val="00597EE4"/>
    <w:rsid w:val="005A163F"/>
    <w:rsid w:val="005A4B58"/>
    <w:rsid w:val="005A6FB0"/>
    <w:rsid w:val="005A746B"/>
    <w:rsid w:val="005B087D"/>
    <w:rsid w:val="005B13D8"/>
    <w:rsid w:val="005B6B9D"/>
    <w:rsid w:val="005B7CB8"/>
    <w:rsid w:val="005C1085"/>
    <w:rsid w:val="005C1E57"/>
    <w:rsid w:val="005C2C73"/>
    <w:rsid w:val="005C5057"/>
    <w:rsid w:val="005C6EA6"/>
    <w:rsid w:val="005D06CF"/>
    <w:rsid w:val="005D0A8D"/>
    <w:rsid w:val="005D2FB3"/>
    <w:rsid w:val="005D3695"/>
    <w:rsid w:val="005D37CB"/>
    <w:rsid w:val="005D3A79"/>
    <w:rsid w:val="005D5377"/>
    <w:rsid w:val="005D7229"/>
    <w:rsid w:val="005E37E5"/>
    <w:rsid w:val="005E39D8"/>
    <w:rsid w:val="005E62BA"/>
    <w:rsid w:val="005E6ECB"/>
    <w:rsid w:val="005F06DA"/>
    <w:rsid w:val="005F219F"/>
    <w:rsid w:val="005F29C6"/>
    <w:rsid w:val="005F43C6"/>
    <w:rsid w:val="005F4464"/>
    <w:rsid w:val="005F481E"/>
    <w:rsid w:val="005F4D9B"/>
    <w:rsid w:val="005F7143"/>
    <w:rsid w:val="005F7FE2"/>
    <w:rsid w:val="006015A3"/>
    <w:rsid w:val="00601E43"/>
    <w:rsid w:val="00603766"/>
    <w:rsid w:val="0060445D"/>
    <w:rsid w:val="00605F3E"/>
    <w:rsid w:val="0060705D"/>
    <w:rsid w:val="006077B0"/>
    <w:rsid w:val="006100D2"/>
    <w:rsid w:val="0061026A"/>
    <w:rsid w:val="00611291"/>
    <w:rsid w:val="00612F87"/>
    <w:rsid w:val="00613918"/>
    <w:rsid w:val="00615D19"/>
    <w:rsid w:val="00617441"/>
    <w:rsid w:val="006177CB"/>
    <w:rsid w:val="00620330"/>
    <w:rsid w:val="00621054"/>
    <w:rsid w:val="0062184F"/>
    <w:rsid w:val="00621DDA"/>
    <w:rsid w:val="00622975"/>
    <w:rsid w:val="00623772"/>
    <w:rsid w:val="006239F0"/>
    <w:rsid w:val="00623DDD"/>
    <w:rsid w:val="006254C1"/>
    <w:rsid w:val="00625A17"/>
    <w:rsid w:val="006272FE"/>
    <w:rsid w:val="00630D4B"/>
    <w:rsid w:val="006324CB"/>
    <w:rsid w:val="00632CBE"/>
    <w:rsid w:val="00632FFC"/>
    <w:rsid w:val="006343FC"/>
    <w:rsid w:val="00635115"/>
    <w:rsid w:val="00635238"/>
    <w:rsid w:val="00636491"/>
    <w:rsid w:val="00636DE0"/>
    <w:rsid w:val="0063738A"/>
    <w:rsid w:val="006403B5"/>
    <w:rsid w:val="00642BC3"/>
    <w:rsid w:val="0064416D"/>
    <w:rsid w:val="0064509B"/>
    <w:rsid w:val="00645CD4"/>
    <w:rsid w:val="0065038F"/>
    <w:rsid w:val="00650683"/>
    <w:rsid w:val="00650B85"/>
    <w:rsid w:val="00650DE9"/>
    <w:rsid w:val="006514D1"/>
    <w:rsid w:val="006521C5"/>
    <w:rsid w:val="006525CA"/>
    <w:rsid w:val="006544E8"/>
    <w:rsid w:val="00656315"/>
    <w:rsid w:val="006567B8"/>
    <w:rsid w:val="00656B5A"/>
    <w:rsid w:val="00661F25"/>
    <w:rsid w:val="0066325B"/>
    <w:rsid w:val="00664C0B"/>
    <w:rsid w:val="006652BF"/>
    <w:rsid w:val="00665A29"/>
    <w:rsid w:val="00666B38"/>
    <w:rsid w:val="00666CFF"/>
    <w:rsid w:val="00672337"/>
    <w:rsid w:val="00672551"/>
    <w:rsid w:val="00673CB3"/>
    <w:rsid w:val="006745B6"/>
    <w:rsid w:val="00674664"/>
    <w:rsid w:val="00676761"/>
    <w:rsid w:val="00677CD6"/>
    <w:rsid w:val="00680770"/>
    <w:rsid w:val="00680DED"/>
    <w:rsid w:val="00681A40"/>
    <w:rsid w:val="00682DDF"/>
    <w:rsid w:val="0068331A"/>
    <w:rsid w:val="006833CB"/>
    <w:rsid w:val="00684D89"/>
    <w:rsid w:val="00685C49"/>
    <w:rsid w:val="006870D1"/>
    <w:rsid w:val="006874A4"/>
    <w:rsid w:val="006875D2"/>
    <w:rsid w:val="00690103"/>
    <w:rsid w:val="0069023C"/>
    <w:rsid w:val="00690568"/>
    <w:rsid w:val="006907E5"/>
    <w:rsid w:val="006919F6"/>
    <w:rsid w:val="00692D2B"/>
    <w:rsid w:val="00693F3D"/>
    <w:rsid w:val="0069483A"/>
    <w:rsid w:val="00694B16"/>
    <w:rsid w:val="00696241"/>
    <w:rsid w:val="006963EE"/>
    <w:rsid w:val="006964CA"/>
    <w:rsid w:val="00696CAF"/>
    <w:rsid w:val="006A0C39"/>
    <w:rsid w:val="006A0DE8"/>
    <w:rsid w:val="006A332C"/>
    <w:rsid w:val="006A357E"/>
    <w:rsid w:val="006A3D4A"/>
    <w:rsid w:val="006A49B2"/>
    <w:rsid w:val="006A6217"/>
    <w:rsid w:val="006A73CE"/>
    <w:rsid w:val="006A7C83"/>
    <w:rsid w:val="006A7D7B"/>
    <w:rsid w:val="006B1CB6"/>
    <w:rsid w:val="006B33CF"/>
    <w:rsid w:val="006B3E4E"/>
    <w:rsid w:val="006C08E4"/>
    <w:rsid w:val="006C19E0"/>
    <w:rsid w:val="006C2AA6"/>
    <w:rsid w:val="006C49FB"/>
    <w:rsid w:val="006C6326"/>
    <w:rsid w:val="006C66ED"/>
    <w:rsid w:val="006C6D53"/>
    <w:rsid w:val="006C7E55"/>
    <w:rsid w:val="006C7E6E"/>
    <w:rsid w:val="006D10DF"/>
    <w:rsid w:val="006D2C9C"/>
    <w:rsid w:val="006D2E95"/>
    <w:rsid w:val="006D362A"/>
    <w:rsid w:val="006D4BE9"/>
    <w:rsid w:val="006D615B"/>
    <w:rsid w:val="006D6868"/>
    <w:rsid w:val="006D744C"/>
    <w:rsid w:val="006E031B"/>
    <w:rsid w:val="006E05F7"/>
    <w:rsid w:val="006E0B91"/>
    <w:rsid w:val="006E1801"/>
    <w:rsid w:val="006E4DAC"/>
    <w:rsid w:val="006E6942"/>
    <w:rsid w:val="006E733A"/>
    <w:rsid w:val="006E740C"/>
    <w:rsid w:val="006F01A9"/>
    <w:rsid w:val="006F145C"/>
    <w:rsid w:val="006F1701"/>
    <w:rsid w:val="006F4830"/>
    <w:rsid w:val="006F49CE"/>
    <w:rsid w:val="006F6989"/>
    <w:rsid w:val="00700F14"/>
    <w:rsid w:val="0070200E"/>
    <w:rsid w:val="00703174"/>
    <w:rsid w:val="0070335E"/>
    <w:rsid w:val="00706324"/>
    <w:rsid w:val="00706B35"/>
    <w:rsid w:val="00710E58"/>
    <w:rsid w:val="00711FC9"/>
    <w:rsid w:val="00712D1C"/>
    <w:rsid w:val="0071688D"/>
    <w:rsid w:val="00717C6C"/>
    <w:rsid w:val="00720692"/>
    <w:rsid w:val="00722BAE"/>
    <w:rsid w:val="0072480F"/>
    <w:rsid w:val="007253DA"/>
    <w:rsid w:val="00726394"/>
    <w:rsid w:val="007265E0"/>
    <w:rsid w:val="00726FEC"/>
    <w:rsid w:val="007274FF"/>
    <w:rsid w:val="00731666"/>
    <w:rsid w:val="0073267F"/>
    <w:rsid w:val="00732AA9"/>
    <w:rsid w:val="00732B47"/>
    <w:rsid w:val="007333B6"/>
    <w:rsid w:val="007350DD"/>
    <w:rsid w:val="00735A91"/>
    <w:rsid w:val="00740F33"/>
    <w:rsid w:val="00741854"/>
    <w:rsid w:val="00741C82"/>
    <w:rsid w:val="0074291F"/>
    <w:rsid w:val="007450F0"/>
    <w:rsid w:val="007510BD"/>
    <w:rsid w:val="007515A7"/>
    <w:rsid w:val="0075588E"/>
    <w:rsid w:val="00757D56"/>
    <w:rsid w:val="007619C3"/>
    <w:rsid w:val="0076279B"/>
    <w:rsid w:val="00762C75"/>
    <w:rsid w:val="00763000"/>
    <w:rsid w:val="00763374"/>
    <w:rsid w:val="007634DA"/>
    <w:rsid w:val="00764380"/>
    <w:rsid w:val="007650A1"/>
    <w:rsid w:val="00765741"/>
    <w:rsid w:val="00765D0D"/>
    <w:rsid w:val="00765FD1"/>
    <w:rsid w:val="00772594"/>
    <w:rsid w:val="00773CE3"/>
    <w:rsid w:val="00773F1E"/>
    <w:rsid w:val="00774702"/>
    <w:rsid w:val="0077498C"/>
    <w:rsid w:val="00775D9A"/>
    <w:rsid w:val="007766FD"/>
    <w:rsid w:val="00777C55"/>
    <w:rsid w:val="00780DB7"/>
    <w:rsid w:val="00784A00"/>
    <w:rsid w:val="00790207"/>
    <w:rsid w:val="00792CEB"/>
    <w:rsid w:val="00792FDF"/>
    <w:rsid w:val="0079491E"/>
    <w:rsid w:val="00795295"/>
    <w:rsid w:val="00796A73"/>
    <w:rsid w:val="007A0C5A"/>
    <w:rsid w:val="007A1C1C"/>
    <w:rsid w:val="007A2119"/>
    <w:rsid w:val="007A3C2E"/>
    <w:rsid w:val="007A6501"/>
    <w:rsid w:val="007A6E58"/>
    <w:rsid w:val="007B28B4"/>
    <w:rsid w:val="007B2A14"/>
    <w:rsid w:val="007B2D76"/>
    <w:rsid w:val="007B357C"/>
    <w:rsid w:val="007B3B76"/>
    <w:rsid w:val="007B4A3B"/>
    <w:rsid w:val="007B526D"/>
    <w:rsid w:val="007B5565"/>
    <w:rsid w:val="007B5CD6"/>
    <w:rsid w:val="007B68FB"/>
    <w:rsid w:val="007B7335"/>
    <w:rsid w:val="007B7BA6"/>
    <w:rsid w:val="007C20B1"/>
    <w:rsid w:val="007C28A9"/>
    <w:rsid w:val="007C729A"/>
    <w:rsid w:val="007C7328"/>
    <w:rsid w:val="007D2525"/>
    <w:rsid w:val="007D2660"/>
    <w:rsid w:val="007D2EF6"/>
    <w:rsid w:val="007D33DD"/>
    <w:rsid w:val="007D3867"/>
    <w:rsid w:val="007D4727"/>
    <w:rsid w:val="007D5015"/>
    <w:rsid w:val="007D551E"/>
    <w:rsid w:val="007D56F4"/>
    <w:rsid w:val="007D6758"/>
    <w:rsid w:val="007D6EF1"/>
    <w:rsid w:val="007D75EC"/>
    <w:rsid w:val="007D7702"/>
    <w:rsid w:val="007D7821"/>
    <w:rsid w:val="007D7C56"/>
    <w:rsid w:val="007E2537"/>
    <w:rsid w:val="007E3D24"/>
    <w:rsid w:val="007E4219"/>
    <w:rsid w:val="007E476B"/>
    <w:rsid w:val="007E4A50"/>
    <w:rsid w:val="007E53A0"/>
    <w:rsid w:val="007E58D0"/>
    <w:rsid w:val="007E6A76"/>
    <w:rsid w:val="007E6B26"/>
    <w:rsid w:val="007E7601"/>
    <w:rsid w:val="007F025E"/>
    <w:rsid w:val="007F123A"/>
    <w:rsid w:val="007F239F"/>
    <w:rsid w:val="007F32CC"/>
    <w:rsid w:val="007F3FDD"/>
    <w:rsid w:val="007F434C"/>
    <w:rsid w:val="007F66EA"/>
    <w:rsid w:val="007F6B69"/>
    <w:rsid w:val="00801D46"/>
    <w:rsid w:val="00802AAA"/>
    <w:rsid w:val="00804EC8"/>
    <w:rsid w:val="00805D90"/>
    <w:rsid w:val="00806EFE"/>
    <w:rsid w:val="00807B19"/>
    <w:rsid w:val="00807DCB"/>
    <w:rsid w:val="00814B04"/>
    <w:rsid w:val="00814D6E"/>
    <w:rsid w:val="00816039"/>
    <w:rsid w:val="0081677F"/>
    <w:rsid w:val="0082140F"/>
    <w:rsid w:val="00822886"/>
    <w:rsid w:val="00824681"/>
    <w:rsid w:val="00826B4B"/>
    <w:rsid w:val="00826D05"/>
    <w:rsid w:val="00830B0E"/>
    <w:rsid w:val="008314E4"/>
    <w:rsid w:val="008322F7"/>
    <w:rsid w:val="00832F0B"/>
    <w:rsid w:val="00833C43"/>
    <w:rsid w:val="008348B2"/>
    <w:rsid w:val="00834F27"/>
    <w:rsid w:val="0083567E"/>
    <w:rsid w:val="00837A22"/>
    <w:rsid w:val="00837AC5"/>
    <w:rsid w:val="00840198"/>
    <w:rsid w:val="00842C8A"/>
    <w:rsid w:val="008430C1"/>
    <w:rsid w:val="00846517"/>
    <w:rsid w:val="00846865"/>
    <w:rsid w:val="008468B3"/>
    <w:rsid w:val="00850081"/>
    <w:rsid w:val="00851FD9"/>
    <w:rsid w:val="00853332"/>
    <w:rsid w:val="00853A0F"/>
    <w:rsid w:val="00856904"/>
    <w:rsid w:val="00856BBD"/>
    <w:rsid w:val="00857FA2"/>
    <w:rsid w:val="00861861"/>
    <w:rsid w:val="008619B1"/>
    <w:rsid w:val="00861E90"/>
    <w:rsid w:val="008624D0"/>
    <w:rsid w:val="008634E9"/>
    <w:rsid w:val="00864DE9"/>
    <w:rsid w:val="00865007"/>
    <w:rsid w:val="00866ABE"/>
    <w:rsid w:val="00870746"/>
    <w:rsid w:val="00870D44"/>
    <w:rsid w:val="0087221D"/>
    <w:rsid w:val="00872F60"/>
    <w:rsid w:val="00872F7F"/>
    <w:rsid w:val="008752FF"/>
    <w:rsid w:val="008763B3"/>
    <w:rsid w:val="00876800"/>
    <w:rsid w:val="008774D6"/>
    <w:rsid w:val="008810FC"/>
    <w:rsid w:val="00885B6F"/>
    <w:rsid w:val="00886BCA"/>
    <w:rsid w:val="008873E9"/>
    <w:rsid w:val="008909D4"/>
    <w:rsid w:val="008911E4"/>
    <w:rsid w:val="00892189"/>
    <w:rsid w:val="00894341"/>
    <w:rsid w:val="00895615"/>
    <w:rsid w:val="00895DCE"/>
    <w:rsid w:val="00896FEE"/>
    <w:rsid w:val="008A2611"/>
    <w:rsid w:val="008A3347"/>
    <w:rsid w:val="008A369C"/>
    <w:rsid w:val="008A3AE7"/>
    <w:rsid w:val="008A3CD0"/>
    <w:rsid w:val="008A4022"/>
    <w:rsid w:val="008A450C"/>
    <w:rsid w:val="008A4762"/>
    <w:rsid w:val="008A4E1B"/>
    <w:rsid w:val="008A55AE"/>
    <w:rsid w:val="008A70F6"/>
    <w:rsid w:val="008A7CC1"/>
    <w:rsid w:val="008B0A02"/>
    <w:rsid w:val="008B2C7B"/>
    <w:rsid w:val="008B33D9"/>
    <w:rsid w:val="008B3A3C"/>
    <w:rsid w:val="008B6E39"/>
    <w:rsid w:val="008B7438"/>
    <w:rsid w:val="008B7FD1"/>
    <w:rsid w:val="008C0685"/>
    <w:rsid w:val="008C0770"/>
    <w:rsid w:val="008C08EA"/>
    <w:rsid w:val="008C1849"/>
    <w:rsid w:val="008C1DC5"/>
    <w:rsid w:val="008C2567"/>
    <w:rsid w:val="008C4D7F"/>
    <w:rsid w:val="008C52C9"/>
    <w:rsid w:val="008C76D1"/>
    <w:rsid w:val="008D0B63"/>
    <w:rsid w:val="008D1F06"/>
    <w:rsid w:val="008D21E0"/>
    <w:rsid w:val="008D296A"/>
    <w:rsid w:val="008D399F"/>
    <w:rsid w:val="008D4AEF"/>
    <w:rsid w:val="008D4C2E"/>
    <w:rsid w:val="008D537C"/>
    <w:rsid w:val="008D5895"/>
    <w:rsid w:val="008D7CA8"/>
    <w:rsid w:val="008D7E52"/>
    <w:rsid w:val="008E0372"/>
    <w:rsid w:val="008E094A"/>
    <w:rsid w:val="008E1369"/>
    <w:rsid w:val="008E374D"/>
    <w:rsid w:val="008E4104"/>
    <w:rsid w:val="008E5B55"/>
    <w:rsid w:val="008E634F"/>
    <w:rsid w:val="008E63BF"/>
    <w:rsid w:val="008E7102"/>
    <w:rsid w:val="008F0D68"/>
    <w:rsid w:val="008F20C0"/>
    <w:rsid w:val="008F25B8"/>
    <w:rsid w:val="008F5CC3"/>
    <w:rsid w:val="008F63F2"/>
    <w:rsid w:val="008F6CBC"/>
    <w:rsid w:val="008F6EA9"/>
    <w:rsid w:val="00900189"/>
    <w:rsid w:val="00900328"/>
    <w:rsid w:val="00900B21"/>
    <w:rsid w:val="00900C7D"/>
    <w:rsid w:val="00901D47"/>
    <w:rsid w:val="00904006"/>
    <w:rsid w:val="00904A2C"/>
    <w:rsid w:val="00904FED"/>
    <w:rsid w:val="00905A5F"/>
    <w:rsid w:val="009060A3"/>
    <w:rsid w:val="00906628"/>
    <w:rsid w:val="009067CE"/>
    <w:rsid w:val="009069BE"/>
    <w:rsid w:val="00910049"/>
    <w:rsid w:val="00910768"/>
    <w:rsid w:val="009120A6"/>
    <w:rsid w:val="009123B7"/>
    <w:rsid w:val="0091301E"/>
    <w:rsid w:val="00913648"/>
    <w:rsid w:val="0091385C"/>
    <w:rsid w:val="009141AF"/>
    <w:rsid w:val="009147D0"/>
    <w:rsid w:val="00914A14"/>
    <w:rsid w:val="009150A4"/>
    <w:rsid w:val="009162C0"/>
    <w:rsid w:val="00916D86"/>
    <w:rsid w:val="009239DD"/>
    <w:rsid w:val="009245D9"/>
    <w:rsid w:val="009248E2"/>
    <w:rsid w:val="00925004"/>
    <w:rsid w:val="0092661C"/>
    <w:rsid w:val="009274B0"/>
    <w:rsid w:val="00930CB8"/>
    <w:rsid w:val="00931170"/>
    <w:rsid w:val="00931C32"/>
    <w:rsid w:val="00932EC8"/>
    <w:rsid w:val="0093340D"/>
    <w:rsid w:val="00933C1C"/>
    <w:rsid w:val="00936F3E"/>
    <w:rsid w:val="0094072E"/>
    <w:rsid w:val="00940E05"/>
    <w:rsid w:val="00941490"/>
    <w:rsid w:val="00941D96"/>
    <w:rsid w:val="009421C5"/>
    <w:rsid w:val="00942955"/>
    <w:rsid w:val="00942FBC"/>
    <w:rsid w:val="00943DC4"/>
    <w:rsid w:val="0094443B"/>
    <w:rsid w:val="00951366"/>
    <w:rsid w:val="00952067"/>
    <w:rsid w:val="009527C3"/>
    <w:rsid w:val="00952B67"/>
    <w:rsid w:val="009545A4"/>
    <w:rsid w:val="00956DDD"/>
    <w:rsid w:val="009579B0"/>
    <w:rsid w:val="00960CAC"/>
    <w:rsid w:val="00961983"/>
    <w:rsid w:val="00963AB7"/>
    <w:rsid w:val="00964B54"/>
    <w:rsid w:val="00966649"/>
    <w:rsid w:val="00966BDB"/>
    <w:rsid w:val="00967CC3"/>
    <w:rsid w:val="00971D4E"/>
    <w:rsid w:val="00971E66"/>
    <w:rsid w:val="00974388"/>
    <w:rsid w:val="00977ADC"/>
    <w:rsid w:val="00980EB9"/>
    <w:rsid w:val="00981698"/>
    <w:rsid w:val="009817F8"/>
    <w:rsid w:val="00982138"/>
    <w:rsid w:val="0098334B"/>
    <w:rsid w:val="009836A2"/>
    <w:rsid w:val="00983BA2"/>
    <w:rsid w:val="009861BC"/>
    <w:rsid w:val="00986710"/>
    <w:rsid w:val="00986F48"/>
    <w:rsid w:val="00990150"/>
    <w:rsid w:val="0099077C"/>
    <w:rsid w:val="00991BA2"/>
    <w:rsid w:val="00991C63"/>
    <w:rsid w:val="00992110"/>
    <w:rsid w:val="0099446E"/>
    <w:rsid w:val="0099549B"/>
    <w:rsid w:val="00995811"/>
    <w:rsid w:val="009979A9"/>
    <w:rsid w:val="009A0F45"/>
    <w:rsid w:val="009A1972"/>
    <w:rsid w:val="009A1C53"/>
    <w:rsid w:val="009A1F98"/>
    <w:rsid w:val="009A2ED8"/>
    <w:rsid w:val="009A327E"/>
    <w:rsid w:val="009A48B3"/>
    <w:rsid w:val="009A5306"/>
    <w:rsid w:val="009A704F"/>
    <w:rsid w:val="009A72E6"/>
    <w:rsid w:val="009A794C"/>
    <w:rsid w:val="009B021D"/>
    <w:rsid w:val="009B2AC2"/>
    <w:rsid w:val="009B37AB"/>
    <w:rsid w:val="009B3EFC"/>
    <w:rsid w:val="009B627B"/>
    <w:rsid w:val="009C0B55"/>
    <w:rsid w:val="009C2C5B"/>
    <w:rsid w:val="009C3376"/>
    <w:rsid w:val="009C35D4"/>
    <w:rsid w:val="009C388A"/>
    <w:rsid w:val="009C3A9A"/>
    <w:rsid w:val="009C489F"/>
    <w:rsid w:val="009C4D95"/>
    <w:rsid w:val="009C51F5"/>
    <w:rsid w:val="009C6E4B"/>
    <w:rsid w:val="009C6F9E"/>
    <w:rsid w:val="009C7826"/>
    <w:rsid w:val="009D0A66"/>
    <w:rsid w:val="009D20BC"/>
    <w:rsid w:val="009D2E8B"/>
    <w:rsid w:val="009D3360"/>
    <w:rsid w:val="009D5081"/>
    <w:rsid w:val="009D52CB"/>
    <w:rsid w:val="009D5CDD"/>
    <w:rsid w:val="009D5D3A"/>
    <w:rsid w:val="009D64DA"/>
    <w:rsid w:val="009D6F35"/>
    <w:rsid w:val="009D6FDA"/>
    <w:rsid w:val="009D7036"/>
    <w:rsid w:val="009E0286"/>
    <w:rsid w:val="009E065D"/>
    <w:rsid w:val="009E0AA2"/>
    <w:rsid w:val="009E1556"/>
    <w:rsid w:val="009E2179"/>
    <w:rsid w:val="009E2856"/>
    <w:rsid w:val="009E37FF"/>
    <w:rsid w:val="009E3BB1"/>
    <w:rsid w:val="009E443F"/>
    <w:rsid w:val="009E4915"/>
    <w:rsid w:val="009E5432"/>
    <w:rsid w:val="009E6A14"/>
    <w:rsid w:val="009F1195"/>
    <w:rsid w:val="009F128E"/>
    <w:rsid w:val="009F2F3A"/>
    <w:rsid w:val="009F3F53"/>
    <w:rsid w:val="009F4562"/>
    <w:rsid w:val="009F456B"/>
    <w:rsid w:val="009F6310"/>
    <w:rsid w:val="009F7E90"/>
    <w:rsid w:val="00A019EC"/>
    <w:rsid w:val="00A02775"/>
    <w:rsid w:val="00A02EFD"/>
    <w:rsid w:val="00A03B3F"/>
    <w:rsid w:val="00A048EF"/>
    <w:rsid w:val="00A0502B"/>
    <w:rsid w:val="00A05ED6"/>
    <w:rsid w:val="00A06C21"/>
    <w:rsid w:val="00A116FA"/>
    <w:rsid w:val="00A11E15"/>
    <w:rsid w:val="00A133D8"/>
    <w:rsid w:val="00A136DE"/>
    <w:rsid w:val="00A1417F"/>
    <w:rsid w:val="00A14F81"/>
    <w:rsid w:val="00A2097E"/>
    <w:rsid w:val="00A21D6C"/>
    <w:rsid w:val="00A256C1"/>
    <w:rsid w:val="00A259B8"/>
    <w:rsid w:val="00A27132"/>
    <w:rsid w:val="00A305A9"/>
    <w:rsid w:val="00A306F3"/>
    <w:rsid w:val="00A312F9"/>
    <w:rsid w:val="00A3268F"/>
    <w:rsid w:val="00A33947"/>
    <w:rsid w:val="00A353C8"/>
    <w:rsid w:val="00A36156"/>
    <w:rsid w:val="00A36C15"/>
    <w:rsid w:val="00A3710F"/>
    <w:rsid w:val="00A37389"/>
    <w:rsid w:val="00A373BE"/>
    <w:rsid w:val="00A40C3F"/>
    <w:rsid w:val="00A43913"/>
    <w:rsid w:val="00A43E07"/>
    <w:rsid w:val="00A43E58"/>
    <w:rsid w:val="00A4415F"/>
    <w:rsid w:val="00A44251"/>
    <w:rsid w:val="00A45B10"/>
    <w:rsid w:val="00A45BAA"/>
    <w:rsid w:val="00A45F7F"/>
    <w:rsid w:val="00A509CB"/>
    <w:rsid w:val="00A50A80"/>
    <w:rsid w:val="00A524DB"/>
    <w:rsid w:val="00A52B0B"/>
    <w:rsid w:val="00A52D0F"/>
    <w:rsid w:val="00A54574"/>
    <w:rsid w:val="00A54616"/>
    <w:rsid w:val="00A54F4D"/>
    <w:rsid w:val="00A553F4"/>
    <w:rsid w:val="00A562FE"/>
    <w:rsid w:val="00A56A08"/>
    <w:rsid w:val="00A603F9"/>
    <w:rsid w:val="00A6061C"/>
    <w:rsid w:val="00A61216"/>
    <w:rsid w:val="00A61ABD"/>
    <w:rsid w:val="00A61E76"/>
    <w:rsid w:val="00A63933"/>
    <w:rsid w:val="00A669C8"/>
    <w:rsid w:val="00A67850"/>
    <w:rsid w:val="00A67ABB"/>
    <w:rsid w:val="00A67C2D"/>
    <w:rsid w:val="00A70B1C"/>
    <w:rsid w:val="00A7214B"/>
    <w:rsid w:val="00A7232E"/>
    <w:rsid w:val="00A74426"/>
    <w:rsid w:val="00A76027"/>
    <w:rsid w:val="00A7790F"/>
    <w:rsid w:val="00A77AC0"/>
    <w:rsid w:val="00A80F2B"/>
    <w:rsid w:val="00A812F4"/>
    <w:rsid w:val="00A84088"/>
    <w:rsid w:val="00A85645"/>
    <w:rsid w:val="00A868D5"/>
    <w:rsid w:val="00A90920"/>
    <w:rsid w:val="00A9106D"/>
    <w:rsid w:val="00A94014"/>
    <w:rsid w:val="00A94FC9"/>
    <w:rsid w:val="00A95CFD"/>
    <w:rsid w:val="00A97917"/>
    <w:rsid w:val="00AA0755"/>
    <w:rsid w:val="00AA2468"/>
    <w:rsid w:val="00AA523D"/>
    <w:rsid w:val="00AA5311"/>
    <w:rsid w:val="00AA74B4"/>
    <w:rsid w:val="00AB2E0A"/>
    <w:rsid w:val="00AB2FE4"/>
    <w:rsid w:val="00AB3130"/>
    <w:rsid w:val="00AB6513"/>
    <w:rsid w:val="00AB6CF0"/>
    <w:rsid w:val="00AB6D4B"/>
    <w:rsid w:val="00AC0528"/>
    <w:rsid w:val="00AC10CC"/>
    <w:rsid w:val="00AC126A"/>
    <w:rsid w:val="00AC12E9"/>
    <w:rsid w:val="00AC1A39"/>
    <w:rsid w:val="00AC1EE8"/>
    <w:rsid w:val="00AC25B1"/>
    <w:rsid w:val="00AC32B6"/>
    <w:rsid w:val="00AC3F74"/>
    <w:rsid w:val="00AC4F9A"/>
    <w:rsid w:val="00AC502A"/>
    <w:rsid w:val="00AC5551"/>
    <w:rsid w:val="00AC6B7C"/>
    <w:rsid w:val="00AC6E58"/>
    <w:rsid w:val="00AD0985"/>
    <w:rsid w:val="00AD0A38"/>
    <w:rsid w:val="00AD1223"/>
    <w:rsid w:val="00AD1337"/>
    <w:rsid w:val="00AD273B"/>
    <w:rsid w:val="00AD2E25"/>
    <w:rsid w:val="00AD33BF"/>
    <w:rsid w:val="00AD6BA0"/>
    <w:rsid w:val="00AD6F62"/>
    <w:rsid w:val="00AD7F91"/>
    <w:rsid w:val="00AE08AC"/>
    <w:rsid w:val="00AE1A28"/>
    <w:rsid w:val="00AE236F"/>
    <w:rsid w:val="00AE2402"/>
    <w:rsid w:val="00AE2AA1"/>
    <w:rsid w:val="00AE62A1"/>
    <w:rsid w:val="00AE6722"/>
    <w:rsid w:val="00AE687E"/>
    <w:rsid w:val="00AF216F"/>
    <w:rsid w:val="00AF5C26"/>
    <w:rsid w:val="00AF5F10"/>
    <w:rsid w:val="00AF5FE6"/>
    <w:rsid w:val="00AF6CD4"/>
    <w:rsid w:val="00B01AD6"/>
    <w:rsid w:val="00B02159"/>
    <w:rsid w:val="00B03818"/>
    <w:rsid w:val="00B04CD3"/>
    <w:rsid w:val="00B050B6"/>
    <w:rsid w:val="00B05EC5"/>
    <w:rsid w:val="00B060FC"/>
    <w:rsid w:val="00B07A06"/>
    <w:rsid w:val="00B07F59"/>
    <w:rsid w:val="00B106B5"/>
    <w:rsid w:val="00B10C2D"/>
    <w:rsid w:val="00B10F55"/>
    <w:rsid w:val="00B12041"/>
    <w:rsid w:val="00B12DE9"/>
    <w:rsid w:val="00B137F4"/>
    <w:rsid w:val="00B14D2E"/>
    <w:rsid w:val="00B17F47"/>
    <w:rsid w:val="00B208A9"/>
    <w:rsid w:val="00B212E7"/>
    <w:rsid w:val="00B21C28"/>
    <w:rsid w:val="00B241A1"/>
    <w:rsid w:val="00B2474E"/>
    <w:rsid w:val="00B2575E"/>
    <w:rsid w:val="00B2662F"/>
    <w:rsid w:val="00B277F2"/>
    <w:rsid w:val="00B3011A"/>
    <w:rsid w:val="00B304C1"/>
    <w:rsid w:val="00B30926"/>
    <w:rsid w:val="00B32685"/>
    <w:rsid w:val="00B327B6"/>
    <w:rsid w:val="00B3364B"/>
    <w:rsid w:val="00B33CA7"/>
    <w:rsid w:val="00B33FD4"/>
    <w:rsid w:val="00B344CC"/>
    <w:rsid w:val="00B35866"/>
    <w:rsid w:val="00B36121"/>
    <w:rsid w:val="00B3617B"/>
    <w:rsid w:val="00B3689E"/>
    <w:rsid w:val="00B4337B"/>
    <w:rsid w:val="00B43762"/>
    <w:rsid w:val="00B44CD4"/>
    <w:rsid w:val="00B4743C"/>
    <w:rsid w:val="00B52224"/>
    <w:rsid w:val="00B54CAD"/>
    <w:rsid w:val="00B5556B"/>
    <w:rsid w:val="00B55CAF"/>
    <w:rsid w:val="00B55FDD"/>
    <w:rsid w:val="00B56836"/>
    <w:rsid w:val="00B6137C"/>
    <w:rsid w:val="00B62322"/>
    <w:rsid w:val="00B63253"/>
    <w:rsid w:val="00B649C7"/>
    <w:rsid w:val="00B65044"/>
    <w:rsid w:val="00B652B2"/>
    <w:rsid w:val="00B6563F"/>
    <w:rsid w:val="00B66826"/>
    <w:rsid w:val="00B66B92"/>
    <w:rsid w:val="00B672CA"/>
    <w:rsid w:val="00B704F8"/>
    <w:rsid w:val="00B71281"/>
    <w:rsid w:val="00B71C84"/>
    <w:rsid w:val="00B7255E"/>
    <w:rsid w:val="00B75FAE"/>
    <w:rsid w:val="00B769F9"/>
    <w:rsid w:val="00B80B63"/>
    <w:rsid w:val="00B8140D"/>
    <w:rsid w:val="00B81A21"/>
    <w:rsid w:val="00B820A6"/>
    <w:rsid w:val="00B82DEE"/>
    <w:rsid w:val="00B848F6"/>
    <w:rsid w:val="00B857A5"/>
    <w:rsid w:val="00B85DEA"/>
    <w:rsid w:val="00B86153"/>
    <w:rsid w:val="00B86E60"/>
    <w:rsid w:val="00B87EA5"/>
    <w:rsid w:val="00B90B4D"/>
    <w:rsid w:val="00B93A37"/>
    <w:rsid w:val="00B9466C"/>
    <w:rsid w:val="00B975C6"/>
    <w:rsid w:val="00BA09B3"/>
    <w:rsid w:val="00BA11B0"/>
    <w:rsid w:val="00BA1B36"/>
    <w:rsid w:val="00BA407B"/>
    <w:rsid w:val="00BA5BB8"/>
    <w:rsid w:val="00BB097C"/>
    <w:rsid w:val="00BB18BF"/>
    <w:rsid w:val="00BB19ED"/>
    <w:rsid w:val="00BB2E53"/>
    <w:rsid w:val="00BB34C7"/>
    <w:rsid w:val="00BC04EB"/>
    <w:rsid w:val="00BC0744"/>
    <w:rsid w:val="00BC137A"/>
    <w:rsid w:val="00BC150F"/>
    <w:rsid w:val="00BC1719"/>
    <w:rsid w:val="00BC2B11"/>
    <w:rsid w:val="00BC3733"/>
    <w:rsid w:val="00BC53E5"/>
    <w:rsid w:val="00BC5710"/>
    <w:rsid w:val="00BC67A0"/>
    <w:rsid w:val="00BD1439"/>
    <w:rsid w:val="00BD26A7"/>
    <w:rsid w:val="00BD3D31"/>
    <w:rsid w:val="00BD3EB8"/>
    <w:rsid w:val="00BD4D7F"/>
    <w:rsid w:val="00BD561D"/>
    <w:rsid w:val="00BE15C8"/>
    <w:rsid w:val="00BE1E65"/>
    <w:rsid w:val="00BE27EB"/>
    <w:rsid w:val="00BE2F7D"/>
    <w:rsid w:val="00BE45E1"/>
    <w:rsid w:val="00BE4AA1"/>
    <w:rsid w:val="00BE5875"/>
    <w:rsid w:val="00BE6EE6"/>
    <w:rsid w:val="00BE7AD5"/>
    <w:rsid w:val="00BF1C99"/>
    <w:rsid w:val="00BF1DE1"/>
    <w:rsid w:val="00BF3089"/>
    <w:rsid w:val="00BF327C"/>
    <w:rsid w:val="00BF5F18"/>
    <w:rsid w:val="00BF60DC"/>
    <w:rsid w:val="00BF673A"/>
    <w:rsid w:val="00C011AB"/>
    <w:rsid w:val="00C020B4"/>
    <w:rsid w:val="00C032D3"/>
    <w:rsid w:val="00C03567"/>
    <w:rsid w:val="00C036D5"/>
    <w:rsid w:val="00C05FB7"/>
    <w:rsid w:val="00C07A59"/>
    <w:rsid w:val="00C07E64"/>
    <w:rsid w:val="00C10D2D"/>
    <w:rsid w:val="00C130D8"/>
    <w:rsid w:val="00C133CD"/>
    <w:rsid w:val="00C145A2"/>
    <w:rsid w:val="00C14C62"/>
    <w:rsid w:val="00C15B6B"/>
    <w:rsid w:val="00C1633F"/>
    <w:rsid w:val="00C202C1"/>
    <w:rsid w:val="00C208D2"/>
    <w:rsid w:val="00C221F3"/>
    <w:rsid w:val="00C226B8"/>
    <w:rsid w:val="00C22F58"/>
    <w:rsid w:val="00C25A8D"/>
    <w:rsid w:val="00C25CC9"/>
    <w:rsid w:val="00C262BC"/>
    <w:rsid w:val="00C2680F"/>
    <w:rsid w:val="00C26F9E"/>
    <w:rsid w:val="00C30063"/>
    <w:rsid w:val="00C30EA7"/>
    <w:rsid w:val="00C30EBF"/>
    <w:rsid w:val="00C3217C"/>
    <w:rsid w:val="00C33048"/>
    <w:rsid w:val="00C332C9"/>
    <w:rsid w:val="00C336B3"/>
    <w:rsid w:val="00C33B6F"/>
    <w:rsid w:val="00C35496"/>
    <w:rsid w:val="00C35EAB"/>
    <w:rsid w:val="00C36B43"/>
    <w:rsid w:val="00C411B4"/>
    <w:rsid w:val="00C41B5C"/>
    <w:rsid w:val="00C41D9A"/>
    <w:rsid w:val="00C430B4"/>
    <w:rsid w:val="00C44250"/>
    <w:rsid w:val="00C449AC"/>
    <w:rsid w:val="00C44E3C"/>
    <w:rsid w:val="00C45D04"/>
    <w:rsid w:val="00C467B0"/>
    <w:rsid w:val="00C47261"/>
    <w:rsid w:val="00C5126B"/>
    <w:rsid w:val="00C5158D"/>
    <w:rsid w:val="00C525C5"/>
    <w:rsid w:val="00C548C7"/>
    <w:rsid w:val="00C54A69"/>
    <w:rsid w:val="00C54C8A"/>
    <w:rsid w:val="00C55C84"/>
    <w:rsid w:val="00C55D66"/>
    <w:rsid w:val="00C56BFB"/>
    <w:rsid w:val="00C5725E"/>
    <w:rsid w:val="00C57340"/>
    <w:rsid w:val="00C60EDD"/>
    <w:rsid w:val="00C627A9"/>
    <w:rsid w:val="00C63757"/>
    <w:rsid w:val="00C660A2"/>
    <w:rsid w:val="00C660B3"/>
    <w:rsid w:val="00C66D05"/>
    <w:rsid w:val="00C67427"/>
    <w:rsid w:val="00C70850"/>
    <w:rsid w:val="00C709B5"/>
    <w:rsid w:val="00C711C8"/>
    <w:rsid w:val="00C723F8"/>
    <w:rsid w:val="00C72899"/>
    <w:rsid w:val="00C7600D"/>
    <w:rsid w:val="00C76BFB"/>
    <w:rsid w:val="00C812A8"/>
    <w:rsid w:val="00C81334"/>
    <w:rsid w:val="00C815E7"/>
    <w:rsid w:val="00C83CAF"/>
    <w:rsid w:val="00C84209"/>
    <w:rsid w:val="00C855C0"/>
    <w:rsid w:val="00C86283"/>
    <w:rsid w:val="00C86606"/>
    <w:rsid w:val="00C92320"/>
    <w:rsid w:val="00C94E19"/>
    <w:rsid w:val="00C9521B"/>
    <w:rsid w:val="00C96AF7"/>
    <w:rsid w:val="00C97242"/>
    <w:rsid w:val="00C97486"/>
    <w:rsid w:val="00C97B56"/>
    <w:rsid w:val="00C97EA3"/>
    <w:rsid w:val="00CA0053"/>
    <w:rsid w:val="00CA065E"/>
    <w:rsid w:val="00CA0A33"/>
    <w:rsid w:val="00CA0B30"/>
    <w:rsid w:val="00CA1B5F"/>
    <w:rsid w:val="00CA1BBF"/>
    <w:rsid w:val="00CA25CD"/>
    <w:rsid w:val="00CA48E9"/>
    <w:rsid w:val="00CA6954"/>
    <w:rsid w:val="00CA6EA1"/>
    <w:rsid w:val="00CB0D2E"/>
    <w:rsid w:val="00CB27B6"/>
    <w:rsid w:val="00CB2AE8"/>
    <w:rsid w:val="00CB4618"/>
    <w:rsid w:val="00CB48C5"/>
    <w:rsid w:val="00CB497C"/>
    <w:rsid w:val="00CB6DE8"/>
    <w:rsid w:val="00CB6F41"/>
    <w:rsid w:val="00CC0C7E"/>
    <w:rsid w:val="00CC0D5C"/>
    <w:rsid w:val="00CC23D2"/>
    <w:rsid w:val="00CC424A"/>
    <w:rsid w:val="00CC42CC"/>
    <w:rsid w:val="00CC5B09"/>
    <w:rsid w:val="00CC6B0B"/>
    <w:rsid w:val="00CD11C7"/>
    <w:rsid w:val="00CD4D65"/>
    <w:rsid w:val="00CD4FC1"/>
    <w:rsid w:val="00CD5994"/>
    <w:rsid w:val="00CD6245"/>
    <w:rsid w:val="00CD6710"/>
    <w:rsid w:val="00CD7107"/>
    <w:rsid w:val="00CE3DE3"/>
    <w:rsid w:val="00CE3E75"/>
    <w:rsid w:val="00CE5C73"/>
    <w:rsid w:val="00CE7A11"/>
    <w:rsid w:val="00CF0495"/>
    <w:rsid w:val="00CF0A77"/>
    <w:rsid w:val="00CF1479"/>
    <w:rsid w:val="00CF2AC6"/>
    <w:rsid w:val="00CF3343"/>
    <w:rsid w:val="00CF3713"/>
    <w:rsid w:val="00CF3BA6"/>
    <w:rsid w:val="00CF3E99"/>
    <w:rsid w:val="00CF3F26"/>
    <w:rsid w:val="00CF5DE1"/>
    <w:rsid w:val="00CF778B"/>
    <w:rsid w:val="00D01C1D"/>
    <w:rsid w:val="00D01D99"/>
    <w:rsid w:val="00D01E13"/>
    <w:rsid w:val="00D0202B"/>
    <w:rsid w:val="00D02B2F"/>
    <w:rsid w:val="00D02CB2"/>
    <w:rsid w:val="00D03C01"/>
    <w:rsid w:val="00D03E97"/>
    <w:rsid w:val="00D04350"/>
    <w:rsid w:val="00D0539A"/>
    <w:rsid w:val="00D079F6"/>
    <w:rsid w:val="00D07AF7"/>
    <w:rsid w:val="00D1188D"/>
    <w:rsid w:val="00D11F1F"/>
    <w:rsid w:val="00D1232D"/>
    <w:rsid w:val="00D15B70"/>
    <w:rsid w:val="00D21B2F"/>
    <w:rsid w:val="00D22814"/>
    <w:rsid w:val="00D229C4"/>
    <w:rsid w:val="00D23BCC"/>
    <w:rsid w:val="00D23F23"/>
    <w:rsid w:val="00D24727"/>
    <w:rsid w:val="00D2644B"/>
    <w:rsid w:val="00D27C56"/>
    <w:rsid w:val="00D301C9"/>
    <w:rsid w:val="00D32D58"/>
    <w:rsid w:val="00D338B8"/>
    <w:rsid w:val="00D36EE0"/>
    <w:rsid w:val="00D3735E"/>
    <w:rsid w:val="00D410CF"/>
    <w:rsid w:val="00D417FD"/>
    <w:rsid w:val="00D420F7"/>
    <w:rsid w:val="00D4375A"/>
    <w:rsid w:val="00D4398B"/>
    <w:rsid w:val="00D43C1C"/>
    <w:rsid w:val="00D43D48"/>
    <w:rsid w:val="00D43EC4"/>
    <w:rsid w:val="00D44261"/>
    <w:rsid w:val="00D45063"/>
    <w:rsid w:val="00D4551A"/>
    <w:rsid w:val="00D46401"/>
    <w:rsid w:val="00D515BD"/>
    <w:rsid w:val="00D517BE"/>
    <w:rsid w:val="00D522EC"/>
    <w:rsid w:val="00D52DF5"/>
    <w:rsid w:val="00D53342"/>
    <w:rsid w:val="00D540D2"/>
    <w:rsid w:val="00D54484"/>
    <w:rsid w:val="00D5548E"/>
    <w:rsid w:val="00D5595B"/>
    <w:rsid w:val="00D56665"/>
    <w:rsid w:val="00D6059B"/>
    <w:rsid w:val="00D613DE"/>
    <w:rsid w:val="00D62411"/>
    <w:rsid w:val="00D63F2C"/>
    <w:rsid w:val="00D642BC"/>
    <w:rsid w:val="00D64D35"/>
    <w:rsid w:val="00D65BA4"/>
    <w:rsid w:val="00D6793F"/>
    <w:rsid w:val="00D70A53"/>
    <w:rsid w:val="00D7273B"/>
    <w:rsid w:val="00D73820"/>
    <w:rsid w:val="00D7528B"/>
    <w:rsid w:val="00D76FB5"/>
    <w:rsid w:val="00D7702C"/>
    <w:rsid w:val="00D77939"/>
    <w:rsid w:val="00D77F22"/>
    <w:rsid w:val="00D8042C"/>
    <w:rsid w:val="00D8462C"/>
    <w:rsid w:val="00D917EC"/>
    <w:rsid w:val="00D91D4B"/>
    <w:rsid w:val="00D93730"/>
    <w:rsid w:val="00D945C5"/>
    <w:rsid w:val="00D945D4"/>
    <w:rsid w:val="00D96104"/>
    <w:rsid w:val="00D96641"/>
    <w:rsid w:val="00D97E62"/>
    <w:rsid w:val="00DA0D0B"/>
    <w:rsid w:val="00DA0EEC"/>
    <w:rsid w:val="00DA1944"/>
    <w:rsid w:val="00DA1C24"/>
    <w:rsid w:val="00DA3060"/>
    <w:rsid w:val="00DA5557"/>
    <w:rsid w:val="00DA5ACB"/>
    <w:rsid w:val="00DA6532"/>
    <w:rsid w:val="00DA6A66"/>
    <w:rsid w:val="00DA750C"/>
    <w:rsid w:val="00DA7DEB"/>
    <w:rsid w:val="00DB0201"/>
    <w:rsid w:val="00DB02D9"/>
    <w:rsid w:val="00DB03CC"/>
    <w:rsid w:val="00DB110C"/>
    <w:rsid w:val="00DB4F73"/>
    <w:rsid w:val="00DB559E"/>
    <w:rsid w:val="00DB698C"/>
    <w:rsid w:val="00DB6CBB"/>
    <w:rsid w:val="00DB7D9C"/>
    <w:rsid w:val="00DC007F"/>
    <w:rsid w:val="00DC0D23"/>
    <w:rsid w:val="00DC188C"/>
    <w:rsid w:val="00DC3C56"/>
    <w:rsid w:val="00DC4634"/>
    <w:rsid w:val="00DC5537"/>
    <w:rsid w:val="00DC5656"/>
    <w:rsid w:val="00DC597B"/>
    <w:rsid w:val="00DC625D"/>
    <w:rsid w:val="00DC6B01"/>
    <w:rsid w:val="00DC765F"/>
    <w:rsid w:val="00DD1B22"/>
    <w:rsid w:val="00DD3C56"/>
    <w:rsid w:val="00DD4731"/>
    <w:rsid w:val="00DD72F4"/>
    <w:rsid w:val="00DD76A4"/>
    <w:rsid w:val="00DE00A2"/>
    <w:rsid w:val="00DE16B0"/>
    <w:rsid w:val="00DE1CAD"/>
    <w:rsid w:val="00DF0D27"/>
    <w:rsid w:val="00DF19A2"/>
    <w:rsid w:val="00DF1F04"/>
    <w:rsid w:val="00DF4532"/>
    <w:rsid w:val="00DF5D3D"/>
    <w:rsid w:val="00DF5EC3"/>
    <w:rsid w:val="00DF69D5"/>
    <w:rsid w:val="00DF6FBC"/>
    <w:rsid w:val="00DF7793"/>
    <w:rsid w:val="00E00B04"/>
    <w:rsid w:val="00E02DE4"/>
    <w:rsid w:val="00E05113"/>
    <w:rsid w:val="00E05296"/>
    <w:rsid w:val="00E05B29"/>
    <w:rsid w:val="00E06D36"/>
    <w:rsid w:val="00E12240"/>
    <w:rsid w:val="00E13C41"/>
    <w:rsid w:val="00E145CE"/>
    <w:rsid w:val="00E14B52"/>
    <w:rsid w:val="00E17DD6"/>
    <w:rsid w:val="00E20FF2"/>
    <w:rsid w:val="00E21E41"/>
    <w:rsid w:val="00E23712"/>
    <w:rsid w:val="00E258AB"/>
    <w:rsid w:val="00E25D74"/>
    <w:rsid w:val="00E2625F"/>
    <w:rsid w:val="00E2783A"/>
    <w:rsid w:val="00E31A52"/>
    <w:rsid w:val="00E3220E"/>
    <w:rsid w:val="00E33C65"/>
    <w:rsid w:val="00E34A9E"/>
    <w:rsid w:val="00E34ADA"/>
    <w:rsid w:val="00E35E02"/>
    <w:rsid w:val="00E367CF"/>
    <w:rsid w:val="00E36DA1"/>
    <w:rsid w:val="00E37563"/>
    <w:rsid w:val="00E37669"/>
    <w:rsid w:val="00E41A58"/>
    <w:rsid w:val="00E44206"/>
    <w:rsid w:val="00E4546A"/>
    <w:rsid w:val="00E46210"/>
    <w:rsid w:val="00E47303"/>
    <w:rsid w:val="00E477E2"/>
    <w:rsid w:val="00E5121F"/>
    <w:rsid w:val="00E53B58"/>
    <w:rsid w:val="00E5427F"/>
    <w:rsid w:val="00E55D49"/>
    <w:rsid w:val="00E562E4"/>
    <w:rsid w:val="00E6067F"/>
    <w:rsid w:val="00E60EC4"/>
    <w:rsid w:val="00E60FEB"/>
    <w:rsid w:val="00E61AAD"/>
    <w:rsid w:val="00E62217"/>
    <w:rsid w:val="00E62A1E"/>
    <w:rsid w:val="00E62A5F"/>
    <w:rsid w:val="00E62F9C"/>
    <w:rsid w:val="00E62FD4"/>
    <w:rsid w:val="00E64A43"/>
    <w:rsid w:val="00E6517C"/>
    <w:rsid w:val="00E65508"/>
    <w:rsid w:val="00E67067"/>
    <w:rsid w:val="00E701C0"/>
    <w:rsid w:val="00E726F4"/>
    <w:rsid w:val="00E73D8E"/>
    <w:rsid w:val="00E75182"/>
    <w:rsid w:val="00E8329D"/>
    <w:rsid w:val="00E83B05"/>
    <w:rsid w:val="00E85A5B"/>
    <w:rsid w:val="00E85CC8"/>
    <w:rsid w:val="00E87D11"/>
    <w:rsid w:val="00E87ED2"/>
    <w:rsid w:val="00E903AC"/>
    <w:rsid w:val="00E90AD6"/>
    <w:rsid w:val="00E9167B"/>
    <w:rsid w:val="00E931EB"/>
    <w:rsid w:val="00E96786"/>
    <w:rsid w:val="00E968C1"/>
    <w:rsid w:val="00E96C9E"/>
    <w:rsid w:val="00E96CB1"/>
    <w:rsid w:val="00E97B2D"/>
    <w:rsid w:val="00EA1603"/>
    <w:rsid w:val="00EA1FD1"/>
    <w:rsid w:val="00EA251D"/>
    <w:rsid w:val="00EA3F02"/>
    <w:rsid w:val="00EA4053"/>
    <w:rsid w:val="00EA44AA"/>
    <w:rsid w:val="00EA666B"/>
    <w:rsid w:val="00EA6C26"/>
    <w:rsid w:val="00EA7DBE"/>
    <w:rsid w:val="00EB2B72"/>
    <w:rsid w:val="00EB3DE1"/>
    <w:rsid w:val="00EB4749"/>
    <w:rsid w:val="00EB4FFF"/>
    <w:rsid w:val="00EB51BB"/>
    <w:rsid w:val="00EC14B2"/>
    <w:rsid w:val="00EC2726"/>
    <w:rsid w:val="00EC5A63"/>
    <w:rsid w:val="00EC79A5"/>
    <w:rsid w:val="00ED23DE"/>
    <w:rsid w:val="00ED2C71"/>
    <w:rsid w:val="00ED5349"/>
    <w:rsid w:val="00ED6A74"/>
    <w:rsid w:val="00ED6C32"/>
    <w:rsid w:val="00ED7AD1"/>
    <w:rsid w:val="00EE06F3"/>
    <w:rsid w:val="00EE0D64"/>
    <w:rsid w:val="00EE31CF"/>
    <w:rsid w:val="00EE47F6"/>
    <w:rsid w:val="00EE4852"/>
    <w:rsid w:val="00EE4899"/>
    <w:rsid w:val="00EE55BC"/>
    <w:rsid w:val="00EE6972"/>
    <w:rsid w:val="00EE69A7"/>
    <w:rsid w:val="00EF0BB6"/>
    <w:rsid w:val="00EF20E4"/>
    <w:rsid w:val="00EF3115"/>
    <w:rsid w:val="00EF357F"/>
    <w:rsid w:val="00EF3D2C"/>
    <w:rsid w:val="00EF54E8"/>
    <w:rsid w:val="00EF56CA"/>
    <w:rsid w:val="00EF65BE"/>
    <w:rsid w:val="00EF69A8"/>
    <w:rsid w:val="00F00009"/>
    <w:rsid w:val="00F0147E"/>
    <w:rsid w:val="00F01551"/>
    <w:rsid w:val="00F0216E"/>
    <w:rsid w:val="00F07171"/>
    <w:rsid w:val="00F110A0"/>
    <w:rsid w:val="00F126A1"/>
    <w:rsid w:val="00F128F1"/>
    <w:rsid w:val="00F12CC6"/>
    <w:rsid w:val="00F140C6"/>
    <w:rsid w:val="00F1673E"/>
    <w:rsid w:val="00F168CB"/>
    <w:rsid w:val="00F16924"/>
    <w:rsid w:val="00F17337"/>
    <w:rsid w:val="00F201CC"/>
    <w:rsid w:val="00F22CF7"/>
    <w:rsid w:val="00F22D76"/>
    <w:rsid w:val="00F239D1"/>
    <w:rsid w:val="00F23CDC"/>
    <w:rsid w:val="00F24A51"/>
    <w:rsid w:val="00F2506F"/>
    <w:rsid w:val="00F25763"/>
    <w:rsid w:val="00F261DF"/>
    <w:rsid w:val="00F26BF5"/>
    <w:rsid w:val="00F274C5"/>
    <w:rsid w:val="00F27993"/>
    <w:rsid w:val="00F3256B"/>
    <w:rsid w:val="00F32E64"/>
    <w:rsid w:val="00F34C9D"/>
    <w:rsid w:val="00F37012"/>
    <w:rsid w:val="00F37E6D"/>
    <w:rsid w:val="00F41723"/>
    <w:rsid w:val="00F41A06"/>
    <w:rsid w:val="00F42AE7"/>
    <w:rsid w:val="00F4442E"/>
    <w:rsid w:val="00F445AA"/>
    <w:rsid w:val="00F449B6"/>
    <w:rsid w:val="00F4642E"/>
    <w:rsid w:val="00F51821"/>
    <w:rsid w:val="00F54521"/>
    <w:rsid w:val="00F54C86"/>
    <w:rsid w:val="00F56145"/>
    <w:rsid w:val="00F6013E"/>
    <w:rsid w:val="00F6052B"/>
    <w:rsid w:val="00F60851"/>
    <w:rsid w:val="00F6094A"/>
    <w:rsid w:val="00F6309B"/>
    <w:rsid w:val="00F637EB"/>
    <w:rsid w:val="00F6448D"/>
    <w:rsid w:val="00F649B8"/>
    <w:rsid w:val="00F64FCB"/>
    <w:rsid w:val="00F6652F"/>
    <w:rsid w:val="00F66892"/>
    <w:rsid w:val="00F709F3"/>
    <w:rsid w:val="00F71F0C"/>
    <w:rsid w:val="00F73539"/>
    <w:rsid w:val="00F74763"/>
    <w:rsid w:val="00F757B0"/>
    <w:rsid w:val="00F80268"/>
    <w:rsid w:val="00F813E4"/>
    <w:rsid w:val="00F8354F"/>
    <w:rsid w:val="00F85A24"/>
    <w:rsid w:val="00F863BD"/>
    <w:rsid w:val="00F8699C"/>
    <w:rsid w:val="00F9113F"/>
    <w:rsid w:val="00F915F0"/>
    <w:rsid w:val="00F9396C"/>
    <w:rsid w:val="00F94C3D"/>
    <w:rsid w:val="00F957C1"/>
    <w:rsid w:val="00FA07FC"/>
    <w:rsid w:val="00FA1ED6"/>
    <w:rsid w:val="00FA21CF"/>
    <w:rsid w:val="00FA3083"/>
    <w:rsid w:val="00FA365F"/>
    <w:rsid w:val="00FA3D59"/>
    <w:rsid w:val="00FA434B"/>
    <w:rsid w:val="00FA50CD"/>
    <w:rsid w:val="00FA58B1"/>
    <w:rsid w:val="00FA5B12"/>
    <w:rsid w:val="00FA72CB"/>
    <w:rsid w:val="00FA7A33"/>
    <w:rsid w:val="00FB0340"/>
    <w:rsid w:val="00FB0F9F"/>
    <w:rsid w:val="00FB18D6"/>
    <w:rsid w:val="00FB1D61"/>
    <w:rsid w:val="00FB3E52"/>
    <w:rsid w:val="00FB57A0"/>
    <w:rsid w:val="00FB6FA9"/>
    <w:rsid w:val="00FB75D1"/>
    <w:rsid w:val="00FB7ADB"/>
    <w:rsid w:val="00FC1297"/>
    <w:rsid w:val="00FC467C"/>
    <w:rsid w:val="00FC5D96"/>
    <w:rsid w:val="00FC755F"/>
    <w:rsid w:val="00FD0A3F"/>
    <w:rsid w:val="00FD0BE3"/>
    <w:rsid w:val="00FD2523"/>
    <w:rsid w:val="00FE1315"/>
    <w:rsid w:val="00FE1907"/>
    <w:rsid w:val="00FE2717"/>
    <w:rsid w:val="00FE2919"/>
    <w:rsid w:val="00FE32CA"/>
    <w:rsid w:val="00FE4682"/>
    <w:rsid w:val="00FE69FC"/>
    <w:rsid w:val="00FE71AE"/>
    <w:rsid w:val="00FE7374"/>
    <w:rsid w:val="00FF1C3D"/>
    <w:rsid w:val="00FF3402"/>
    <w:rsid w:val="00FF3486"/>
    <w:rsid w:val="00FF37B7"/>
    <w:rsid w:val="00FF3F5F"/>
    <w:rsid w:val="00FF4BBE"/>
    <w:rsid w:val="00FF68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47D6FDA"/>
  <w15:docId w15:val="{78C23B7A-9894-431D-A188-C072048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E55"/>
    <w:pPr>
      <w:spacing w:after="180"/>
    </w:pPr>
    <w:rPr>
      <w:rFonts w:asciiTheme="minorHAnsi" w:hAnsiTheme="minorHAnsi"/>
      <w:sz w:val="22"/>
    </w:rPr>
  </w:style>
  <w:style w:type="paragraph" w:styleId="Heading1">
    <w:name w:val="heading 1"/>
    <w:basedOn w:val="Normal"/>
    <w:next w:val="Normal"/>
    <w:link w:val="Heading1Char"/>
    <w:uiPriority w:val="9"/>
    <w:qFormat/>
    <w:rsid w:val="00424F1F"/>
    <w:pPr>
      <w:keepNext/>
      <w:keepLines/>
      <w:pageBreakBefore/>
      <w:numPr>
        <w:numId w:val="12"/>
      </w:numPr>
      <w:tabs>
        <w:tab w:val="left" w:pos="680"/>
      </w:tabs>
      <w:spacing w:after="120" w:line="340" w:lineRule="atLeast"/>
      <w:outlineLvl w:val="0"/>
    </w:pPr>
    <w:rPr>
      <w:rFonts w:eastAsiaTheme="majorEastAsia" w:cstheme="majorBidi"/>
      <w:b/>
      <w:bCs/>
      <w:color w:val="008C9B" w:themeColor="text2"/>
      <w:sz w:val="44"/>
      <w:szCs w:val="28"/>
    </w:rPr>
  </w:style>
  <w:style w:type="paragraph" w:styleId="Heading2">
    <w:name w:val="heading 2"/>
    <w:basedOn w:val="Normal"/>
    <w:next w:val="Normal"/>
    <w:link w:val="Heading2Char"/>
    <w:uiPriority w:val="9"/>
    <w:qFormat/>
    <w:rsid w:val="00F6094A"/>
    <w:pPr>
      <w:keepNext/>
      <w:keepLines/>
      <w:numPr>
        <w:ilvl w:val="1"/>
        <w:numId w:val="12"/>
      </w:numPr>
      <w:tabs>
        <w:tab w:val="left" w:pos="680"/>
      </w:tabs>
      <w:spacing w:after="120" w:line="340" w:lineRule="atLeast"/>
      <w:outlineLvl w:val="1"/>
    </w:pPr>
    <w:rPr>
      <w:rFonts w:eastAsiaTheme="majorEastAsia" w:cstheme="majorBidi"/>
      <w:b/>
      <w:bCs/>
      <w:color w:val="7F7F7F" w:themeColor="text1" w:themeTint="80"/>
      <w:sz w:val="28"/>
      <w:szCs w:val="26"/>
    </w:rPr>
  </w:style>
  <w:style w:type="paragraph" w:styleId="Heading3">
    <w:name w:val="heading 3"/>
    <w:basedOn w:val="Normal"/>
    <w:next w:val="Normal"/>
    <w:link w:val="Heading3Char"/>
    <w:uiPriority w:val="9"/>
    <w:qFormat/>
    <w:rsid w:val="00171DB7"/>
    <w:pPr>
      <w:keepNext/>
      <w:keepLines/>
      <w:spacing w:line="340" w:lineRule="atLeast"/>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171DB7"/>
    <w:pPr>
      <w:keepNext/>
      <w:keepLines/>
      <w:spacing w:line="320" w:lineRule="atLeast"/>
      <w:outlineLvl w:val="3"/>
    </w:pPr>
    <w:rPr>
      <w:rFonts w:asciiTheme="majorHAnsi" w:eastAsiaTheme="majorEastAsia" w:hAnsiTheme="majorHAnsi" w:cstheme="majorBidi"/>
      <w:bCs/>
      <w:iCs/>
      <w:color w:val="7F7F7F" w:themeColor="text1" w:themeTint="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F1F"/>
    <w:rPr>
      <w:rFonts w:asciiTheme="minorHAnsi" w:eastAsiaTheme="majorEastAsia" w:hAnsiTheme="minorHAnsi" w:cstheme="majorBidi"/>
      <w:b/>
      <w:bCs/>
      <w:color w:val="008C9B" w:themeColor="text2"/>
      <w:sz w:val="44"/>
      <w:szCs w:val="28"/>
    </w:rPr>
  </w:style>
  <w:style w:type="character" w:customStyle="1" w:styleId="Heading2Char">
    <w:name w:val="Heading 2 Char"/>
    <w:basedOn w:val="DefaultParagraphFont"/>
    <w:link w:val="Heading2"/>
    <w:uiPriority w:val="9"/>
    <w:rsid w:val="00F6094A"/>
    <w:rPr>
      <w:rFonts w:asciiTheme="minorHAnsi" w:eastAsiaTheme="majorEastAsia" w:hAnsiTheme="minorHAnsi" w:cstheme="majorBidi"/>
      <w:b/>
      <w:bCs/>
      <w:color w:val="7F7F7F" w:themeColor="text1" w:themeTint="80"/>
      <w:sz w:val="28"/>
      <w:szCs w:val="26"/>
    </w:rPr>
  </w:style>
  <w:style w:type="paragraph" w:styleId="Header">
    <w:name w:val="header"/>
    <w:basedOn w:val="Normal"/>
    <w:link w:val="HeaderChar"/>
    <w:uiPriority w:val="99"/>
    <w:unhideWhenUsed/>
    <w:rsid w:val="00CE3E75"/>
    <w:pPr>
      <w:tabs>
        <w:tab w:val="right" w:pos="10093"/>
      </w:tabs>
      <w:spacing w:line="290" w:lineRule="atLeast"/>
    </w:pPr>
    <w:rPr>
      <w:color w:val="7F7F7F" w:themeColor="text1" w:themeTint="80"/>
      <w:sz w:val="24"/>
    </w:rPr>
  </w:style>
  <w:style w:type="character" w:customStyle="1" w:styleId="HeaderChar">
    <w:name w:val="Header Char"/>
    <w:basedOn w:val="DefaultParagraphFont"/>
    <w:link w:val="Header"/>
    <w:uiPriority w:val="99"/>
    <w:rsid w:val="00CE3E75"/>
    <w:rPr>
      <w:rFonts w:asciiTheme="minorHAnsi" w:hAnsiTheme="minorHAnsi"/>
      <w:color w:val="7F7F7F" w:themeColor="text1" w:themeTint="80"/>
      <w:sz w:val="24"/>
    </w:rPr>
  </w:style>
  <w:style w:type="paragraph" w:styleId="Footer">
    <w:name w:val="footer"/>
    <w:basedOn w:val="Normal"/>
    <w:link w:val="FooterChar"/>
    <w:uiPriority w:val="99"/>
    <w:unhideWhenUsed/>
    <w:rsid w:val="0008458B"/>
    <w:pPr>
      <w:tabs>
        <w:tab w:val="center" w:pos="4536"/>
        <w:tab w:val="right" w:pos="9072"/>
      </w:tabs>
    </w:pPr>
    <w:rPr>
      <w:color w:val="FFFFFF" w:themeColor="background1"/>
      <w:sz w:val="14"/>
    </w:rPr>
  </w:style>
  <w:style w:type="character" w:customStyle="1" w:styleId="FooterChar">
    <w:name w:val="Footer Char"/>
    <w:basedOn w:val="DefaultParagraphFont"/>
    <w:link w:val="Footer"/>
    <w:uiPriority w:val="99"/>
    <w:rsid w:val="0008458B"/>
    <w:rPr>
      <w:rFonts w:asciiTheme="minorHAnsi" w:hAnsiTheme="minorHAnsi"/>
      <w:color w:val="FFFFFF" w:themeColor="background1"/>
      <w:sz w:val="14"/>
    </w:rPr>
  </w:style>
  <w:style w:type="paragraph" w:styleId="ListNumber">
    <w:name w:val="List Number"/>
    <w:basedOn w:val="Normal"/>
    <w:qFormat/>
    <w:rsid w:val="00424F1F"/>
    <w:pPr>
      <w:numPr>
        <w:numId w:val="7"/>
      </w:numPr>
      <w:tabs>
        <w:tab w:val="left" w:pos="357"/>
      </w:tabs>
      <w:spacing w:line="240" w:lineRule="atLeast"/>
      <w:ind w:left="357" w:hanging="357"/>
    </w:pPr>
    <w:rPr>
      <w:rFonts w:eastAsia="Times New Roman"/>
      <w:color w:val="000000" w:themeColor="text1"/>
      <w:szCs w:val="24"/>
      <w:lang w:eastAsia="en-GB"/>
    </w:rPr>
  </w:style>
  <w:style w:type="paragraph" w:styleId="ListNumber2">
    <w:name w:val="List Number 2"/>
    <w:basedOn w:val="ListNumber"/>
    <w:uiPriority w:val="99"/>
    <w:qFormat/>
    <w:rsid w:val="00622975"/>
    <w:pPr>
      <w:numPr>
        <w:numId w:val="19"/>
      </w:numPr>
      <w:tabs>
        <w:tab w:val="clear" w:pos="357"/>
        <w:tab w:val="left" w:pos="714"/>
      </w:tabs>
      <w:ind w:left="714" w:hanging="357"/>
    </w:pPr>
  </w:style>
  <w:style w:type="paragraph" w:styleId="BalloonText">
    <w:name w:val="Balloon Text"/>
    <w:basedOn w:val="Normal"/>
    <w:link w:val="BalloonTextChar"/>
    <w:uiPriority w:val="99"/>
    <w:semiHidden/>
    <w:rsid w:val="007E4A50"/>
    <w:rPr>
      <w:rFonts w:ascii="Tahoma" w:hAnsi="Tahoma" w:cs="Tahoma"/>
      <w:sz w:val="16"/>
      <w:szCs w:val="16"/>
    </w:rPr>
  </w:style>
  <w:style w:type="character" w:customStyle="1" w:styleId="BalloonTextChar">
    <w:name w:val="Balloon Text Char"/>
    <w:basedOn w:val="DefaultParagraphFont"/>
    <w:link w:val="BalloonText"/>
    <w:uiPriority w:val="99"/>
    <w:semiHidden/>
    <w:rsid w:val="007E4A50"/>
    <w:rPr>
      <w:rFonts w:ascii="Tahoma" w:hAnsi="Tahoma" w:cs="Tahoma"/>
      <w:color w:val="EEECE1" w:themeColor="background2"/>
      <w:sz w:val="16"/>
      <w:szCs w:val="16"/>
    </w:rPr>
  </w:style>
  <w:style w:type="table" w:styleId="TableGrid">
    <w:name w:val="Table Grid"/>
    <w:basedOn w:val="TableNormal"/>
    <w:uiPriority w:val="59"/>
    <w:rsid w:val="007E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A50"/>
    <w:rPr>
      <w:color w:val="808080"/>
    </w:rPr>
  </w:style>
  <w:style w:type="paragraph" w:styleId="ListParagraph">
    <w:name w:val="List Paragraph"/>
    <w:basedOn w:val="Normal"/>
    <w:uiPriority w:val="34"/>
    <w:semiHidden/>
    <w:qFormat/>
    <w:rsid w:val="007E4A50"/>
    <w:pPr>
      <w:ind w:left="720"/>
      <w:contextualSpacing/>
    </w:pPr>
  </w:style>
  <w:style w:type="paragraph" w:styleId="ListBullet">
    <w:name w:val="List Bullet"/>
    <w:basedOn w:val="Normal"/>
    <w:uiPriority w:val="99"/>
    <w:qFormat/>
    <w:rsid w:val="00424F1F"/>
    <w:pPr>
      <w:tabs>
        <w:tab w:val="left" w:pos="357"/>
      </w:tabs>
    </w:pPr>
  </w:style>
  <w:style w:type="paragraph" w:customStyle="1" w:styleId="Documenttitle">
    <w:name w:val="Document title"/>
    <w:next w:val="Documentsubtitle"/>
    <w:qFormat/>
    <w:rsid w:val="00F757B0"/>
    <w:pPr>
      <w:spacing w:after="60" w:line="720" w:lineRule="atLeast"/>
    </w:pPr>
    <w:rPr>
      <w:rFonts w:asciiTheme="minorHAnsi" w:hAnsiTheme="minorHAnsi"/>
      <w:b/>
      <w:color w:val="008C9B" w:themeColor="text2"/>
      <w:sz w:val="60"/>
    </w:rPr>
  </w:style>
  <w:style w:type="paragraph" w:customStyle="1" w:styleId="Documentsubtitle">
    <w:name w:val="Document subtitle"/>
    <w:next w:val="Documentoutline"/>
    <w:qFormat/>
    <w:rsid w:val="00F757B0"/>
    <w:pPr>
      <w:spacing w:after="120" w:line="480" w:lineRule="atLeast"/>
    </w:pPr>
    <w:rPr>
      <w:rFonts w:asciiTheme="minorHAnsi" w:hAnsiTheme="minorHAnsi"/>
      <w:sz w:val="40"/>
    </w:rPr>
  </w:style>
  <w:style w:type="paragraph" w:customStyle="1" w:styleId="Documentoutline">
    <w:name w:val="Document outline"/>
    <w:next w:val="Normal"/>
    <w:qFormat/>
    <w:rsid w:val="000C6F1C"/>
    <w:pPr>
      <w:spacing w:line="340" w:lineRule="atLeast"/>
    </w:pPr>
    <w:rPr>
      <w:rFonts w:asciiTheme="minorHAnsi" w:hAnsiTheme="minorHAnsi"/>
      <w:sz w:val="28"/>
    </w:rPr>
  </w:style>
  <w:style w:type="paragraph" w:customStyle="1" w:styleId="Disclaimer">
    <w:name w:val="Disclaimer"/>
    <w:basedOn w:val="Normal"/>
    <w:qFormat/>
    <w:rsid w:val="007A2119"/>
    <w:pPr>
      <w:spacing w:after="80" w:line="240" w:lineRule="atLeast"/>
    </w:pPr>
    <w:rPr>
      <w:sz w:val="18"/>
    </w:rPr>
  </w:style>
  <w:style w:type="paragraph" w:customStyle="1" w:styleId="Sectiontitle">
    <w:name w:val="Section title"/>
    <w:basedOn w:val="Normal"/>
    <w:next w:val="Normal"/>
    <w:qFormat/>
    <w:rsid w:val="00AC32B6"/>
    <w:pPr>
      <w:pageBreakBefore/>
      <w:spacing w:after="360" w:line="530" w:lineRule="atLeast"/>
    </w:pPr>
    <w:rPr>
      <w:b/>
      <w:color w:val="008C9B" w:themeColor="text2"/>
      <w:sz w:val="44"/>
    </w:rPr>
  </w:style>
  <w:style w:type="paragraph" w:customStyle="1" w:styleId="Subsectiontitle">
    <w:name w:val="Subsection title"/>
    <w:basedOn w:val="Normal"/>
    <w:next w:val="Normal"/>
    <w:qFormat/>
    <w:rsid w:val="00B44CD4"/>
    <w:pPr>
      <w:spacing w:after="120" w:line="340" w:lineRule="atLeast"/>
    </w:pPr>
    <w:rPr>
      <w:color w:val="7F7F7F" w:themeColor="text1" w:themeTint="80"/>
      <w:sz w:val="28"/>
    </w:rPr>
  </w:style>
  <w:style w:type="numbering" w:customStyle="1" w:styleId="Cebrlist">
    <w:name w:val="Cebr list"/>
    <w:uiPriority w:val="99"/>
    <w:rsid w:val="00F6094A"/>
    <w:pPr>
      <w:numPr>
        <w:numId w:val="10"/>
      </w:numPr>
    </w:pPr>
  </w:style>
  <w:style w:type="character" w:customStyle="1" w:styleId="Heading3Char">
    <w:name w:val="Heading 3 Char"/>
    <w:basedOn w:val="DefaultParagraphFont"/>
    <w:link w:val="Heading3"/>
    <w:uiPriority w:val="9"/>
    <w:rsid w:val="00171DB7"/>
    <w:rPr>
      <w:rFonts w:asciiTheme="majorHAnsi" w:eastAsiaTheme="majorEastAsia" w:hAnsiTheme="majorHAnsi" w:cstheme="majorBidi"/>
      <w:b/>
      <w:bCs/>
      <w:color w:val="000000" w:themeColor="text1"/>
      <w:sz w:val="24"/>
    </w:rPr>
  </w:style>
  <w:style w:type="paragraph" w:styleId="TOC1">
    <w:name w:val="toc 1"/>
    <w:basedOn w:val="Normal"/>
    <w:next w:val="Normal"/>
    <w:autoRedefine/>
    <w:uiPriority w:val="39"/>
    <w:rsid w:val="006D2C9C"/>
    <w:pPr>
      <w:tabs>
        <w:tab w:val="right" w:pos="9402"/>
      </w:tabs>
      <w:spacing w:before="160" w:line="320" w:lineRule="atLeast"/>
    </w:pPr>
    <w:rPr>
      <w:b/>
      <w:color w:val="000000" w:themeColor="text1"/>
      <w:sz w:val="24"/>
    </w:rPr>
  </w:style>
  <w:style w:type="paragraph" w:styleId="TOC2">
    <w:name w:val="toc 2"/>
    <w:basedOn w:val="Normal"/>
    <w:next w:val="Normal"/>
    <w:autoRedefine/>
    <w:uiPriority w:val="39"/>
    <w:rsid w:val="00207BC4"/>
    <w:pPr>
      <w:tabs>
        <w:tab w:val="right" w:pos="9402"/>
      </w:tabs>
      <w:spacing w:before="40" w:line="320" w:lineRule="atLeast"/>
    </w:pPr>
    <w:rPr>
      <w:sz w:val="24"/>
    </w:rPr>
  </w:style>
  <w:style w:type="paragraph" w:styleId="TOC3">
    <w:name w:val="toc 3"/>
    <w:basedOn w:val="Normal"/>
    <w:next w:val="Normal"/>
    <w:autoRedefine/>
    <w:uiPriority w:val="39"/>
    <w:rsid w:val="00710E58"/>
    <w:pPr>
      <w:tabs>
        <w:tab w:val="left" w:pos="567"/>
        <w:tab w:val="right" w:pos="9402"/>
      </w:tabs>
      <w:spacing w:before="160" w:line="320" w:lineRule="atLeast"/>
      <w:ind w:left="567" w:hanging="567"/>
    </w:pPr>
    <w:rPr>
      <w:b/>
      <w:sz w:val="24"/>
    </w:rPr>
  </w:style>
  <w:style w:type="paragraph" w:styleId="TOC4">
    <w:name w:val="toc 4"/>
    <w:basedOn w:val="Normal"/>
    <w:next w:val="Normal"/>
    <w:autoRedefine/>
    <w:uiPriority w:val="39"/>
    <w:rsid w:val="00126FAC"/>
    <w:pPr>
      <w:tabs>
        <w:tab w:val="left" w:pos="1134"/>
        <w:tab w:val="right" w:pos="9402"/>
      </w:tabs>
      <w:spacing w:before="40" w:line="320" w:lineRule="atLeast"/>
      <w:ind w:left="1134" w:hanging="567"/>
    </w:pPr>
    <w:rPr>
      <w:color w:val="000000" w:themeColor="text1"/>
      <w:sz w:val="24"/>
    </w:rPr>
  </w:style>
  <w:style w:type="character" w:styleId="Hyperlink">
    <w:name w:val="Hyperlink"/>
    <w:basedOn w:val="DefaultParagraphFont"/>
    <w:uiPriority w:val="99"/>
    <w:unhideWhenUsed/>
    <w:rsid w:val="00F6094A"/>
    <w:rPr>
      <w:color w:val="0000FF" w:themeColor="hyperlink"/>
      <w:u w:val="single"/>
    </w:rPr>
  </w:style>
  <w:style w:type="paragraph" w:styleId="FootnoteText">
    <w:name w:val="footnote text"/>
    <w:basedOn w:val="Normal"/>
    <w:link w:val="FootnoteTextChar"/>
    <w:uiPriority w:val="99"/>
    <w:unhideWhenUsed/>
    <w:rsid w:val="009B3EFC"/>
    <w:pPr>
      <w:spacing w:line="190" w:lineRule="atLeast"/>
    </w:pPr>
    <w:rPr>
      <w:position w:val="14"/>
      <w:sz w:val="16"/>
      <w:vertAlign w:val="superscript"/>
    </w:rPr>
  </w:style>
  <w:style w:type="character" w:customStyle="1" w:styleId="FootnoteTextChar">
    <w:name w:val="Footnote Text Char"/>
    <w:basedOn w:val="DefaultParagraphFont"/>
    <w:link w:val="FootnoteText"/>
    <w:uiPriority w:val="99"/>
    <w:rsid w:val="009B3EFC"/>
    <w:rPr>
      <w:rFonts w:asciiTheme="minorHAnsi" w:hAnsiTheme="minorHAnsi"/>
      <w:position w:val="14"/>
      <w:sz w:val="16"/>
      <w:vertAlign w:val="superscript"/>
    </w:rPr>
  </w:style>
  <w:style w:type="character" w:styleId="FootnoteReference">
    <w:name w:val="footnote reference"/>
    <w:aliases w:val="IER footnote"/>
    <w:basedOn w:val="DefaultParagraphFont"/>
    <w:uiPriority w:val="99"/>
    <w:unhideWhenUsed/>
    <w:rsid w:val="006C7E55"/>
    <w:rPr>
      <w:color w:val="auto"/>
      <w:position w:val="12"/>
      <w:sz w:val="16"/>
      <w:vertAlign w:val="superscript"/>
    </w:rPr>
  </w:style>
  <w:style w:type="character" w:customStyle="1" w:styleId="Heading4Char">
    <w:name w:val="Heading 4 Char"/>
    <w:basedOn w:val="DefaultParagraphFont"/>
    <w:link w:val="Heading4"/>
    <w:uiPriority w:val="9"/>
    <w:rsid w:val="00171DB7"/>
    <w:rPr>
      <w:rFonts w:asciiTheme="majorHAnsi" w:eastAsiaTheme="majorEastAsia" w:hAnsiTheme="majorHAnsi" w:cstheme="majorBidi"/>
      <w:bCs/>
      <w:iCs/>
      <w:color w:val="7F7F7F" w:themeColor="text1" w:themeTint="80"/>
      <w:sz w:val="24"/>
    </w:rPr>
  </w:style>
  <w:style w:type="paragraph" w:styleId="ListBullet2">
    <w:name w:val="List Bullet 2"/>
    <w:basedOn w:val="Normal"/>
    <w:uiPriority w:val="99"/>
    <w:qFormat/>
    <w:rsid w:val="00424F1F"/>
    <w:pPr>
      <w:numPr>
        <w:numId w:val="9"/>
      </w:numPr>
      <w:tabs>
        <w:tab w:val="left" w:pos="714"/>
      </w:tabs>
      <w:ind w:left="714" w:hanging="357"/>
    </w:pPr>
  </w:style>
  <w:style w:type="paragraph" w:customStyle="1" w:styleId="Contentstitle">
    <w:name w:val="Contents title"/>
    <w:basedOn w:val="Sectiontitle"/>
    <w:next w:val="Normal"/>
    <w:qFormat/>
    <w:rsid w:val="00D43EC4"/>
  </w:style>
  <w:style w:type="paragraph" w:styleId="ListBullet3">
    <w:name w:val="List Bullet 3"/>
    <w:basedOn w:val="Normal"/>
    <w:uiPriority w:val="99"/>
    <w:semiHidden/>
    <w:unhideWhenUsed/>
    <w:rsid w:val="00D64D35"/>
    <w:pPr>
      <w:numPr>
        <w:numId w:val="13"/>
      </w:numPr>
      <w:ind w:left="924" w:hanging="357"/>
      <w:contextualSpacing/>
    </w:pPr>
  </w:style>
  <w:style w:type="paragraph" w:styleId="Caption">
    <w:name w:val="caption"/>
    <w:basedOn w:val="Normal"/>
    <w:next w:val="Normal"/>
    <w:uiPriority w:val="35"/>
    <w:unhideWhenUsed/>
    <w:qFormat/>
    <w:rsid w:val="00F56145"/>
    <w:pPr>
      <w:spacing w:after="200"/>
    </w:pPr>
    <w:rPr>
      <w:i/>
      <w:iCs/>
      <w:color w:val="008C9B" w:themeColor="text2"/>
      <w:sz w:val="18"/>
      <w:szCs w:val="18"/>
    </w:rPr>
  </w:style>
  <w:style w:type="character" w:styleId="CommentReference">
    <w:name w:val="annotation reference"/>
    <w:basedOn w:val="DefaultParagraphFont"/>
    <w:uiPriority w:val="99"/>
    <w:semiHidden/>
    <w:unhideWhenUsed/>
    <w:rsid w:val="00765741"/>
    <w:rPr>
      <w:sz w:val="16"/>
      <w:szCs w:val="16"/>
    </w:rPr>
  </w:style>
  <w:style w:type="paragraph" w:styleId="CommentText">
    <w:name w:val="annotation text"/>
    <w:basedOn w:val="Normal"/>
    <w:link w:val="CommentTextChar"/>
    <w:uiPriority w:val="99"/>
    <w:semiHidden/>
    <w:unhideWhenUsed/>
    <w:rsid w:val="00765741"/>
    <w:rPr>
      <w:sz w:val="20"/>
    </w:rPr>
  </w:style>
  <w:style w:type="character" w:customStyle="1" w:styleId="CommentTextChar">
    <w:name w:val="Comment Text Char"/>
    <w:basedOn w:val="DefaultParagraphFont"/>
    <w:link w:val="CommentText"/>
    <w:uiPriority w:val="99"/>
    <w:semiHidden/>
    <w:rsid w:val="0076574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65741"/>
    <w:rPr>
      <w:b/>
      <w:bCs/>
    </w:rPr>
  </w:style>
  <w:style w:type="character" w:customStyle="1" w:styleId="CommentSubjectChar">
    <w:name w:val="Comment Subject Char"/>
    <w:basedOn w:val="CommentTextChar"/>
    <w:link w:val="CommentSubject"/>
    <w:uiPriority w:val="99"/>
    <w:semiHidden/>
    <w:rsid w:val="00765741"/>
    <w:rPr>
      <w:rFonts w:asciiTheme="minorHAnsi" w:hAnsiTheme="minorHAnsi"/>
      <w:b/>
      <w:bCs/>
    </w:rPr>
  </w:style>
  <w:style w:type="character" w:styleId="SubtleEmphasis">
    <w:name w:val="Subtle Emphasis"/>
    <w:basedOn w:val="DefaultParagraphFont"/>
    <w:uiPriority w:val="19"/>
    <w:qFormat/>
    <w:rsid w:val="00E9167B"/>
    <w:rPr>
      <w:i/>
      <w:iCs/>
      <w:color w:val="404040" w:themeColor="text1" w:themeTint="BF"/>
    </w:rPr>
  </w:style>
  <w:style w:type="paragraph" w:styleId="Revision">
    <w:name w:val="Revision"/>
    <w:hidden/>
    <w:uiPriority w:val="99"/>
    <w:semiHidden/>
    <w:rsid w:val="00C45D04"/>
    <w:rPr>
      <w:rFonts w:asciiTheme="minorHAnsi" w:hAnsiTheme="minorHAnsi"/>
      <w:sz w:val="22"/>
    </w:rPr>
  </w:style>
  <w:style w:type="paragraph" w:styleId="NormalWeb">
    <w:name w:val="Normal (Web)"/>
    <w:basedOn w:val="Normal"/>
    <w:uiPriority w:val="99"/>
    <w:semiHidden/>
    <w:unhideWhenUsed/>
    <w:rsid w:val="000E6732"/>
    <w:pPr>
      <w:spacing w:before="100" w:beforeAutospacing="1" w:after="100" w:afterAutospacing="1"/>
    </w:pPr>
    <w:rPr>
      <w:rFonts w:ascii="Times New Roman" w:hAnsi="Times New Roman"/>
      <w:sz w:val="24"/>
      <w:szCs w:val="24"/>
      <w:lang w:eastAsia="en-GB"/>
    </w:rPr>
  </w:style>
  <w:style w:type="character" w:customStyle="1" w:styleId="Hyperlink1">
    <w:name w:val="Hyperlink1"/>
    <w:basedOn w:val="DefaultParagraphFont"/>
    <w:uiPriority w:val="99"/>
    <w:unhideWhenUsed/>
    <w:rsid w:val="00471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5564">
      <w:bodyDiv w:val="1"/>
      <w:marLeft w:val="0"/>
      <w:marRight w:val="0"/>
      <w:marTop w:val="0"/>
      <w:marBottom w:val="0"/>
      <w:divBdr>
        <w:top w:val="none" w:sz="0" w:space="0" w:color="auto"/>
        <w:left w:val="none" w:sz="0" w:space="0" w:color="auto"/>
        <w:bottom w:val="none" w:sz="0" w:space="0" w:color="auto"/>
        <w:right w:val="none" w:sz="0" w:space="0" w:color="auto"/>
      </w:divBdr>
    </w:div>
    <w:div w:id="97262217">
      <w:bodyDiv w:val="1"/>
      <w:marLeft w:val="0"/>
      <w:marRight w:val="0"/>
      <w:marTop w:val="0"/>
      <w:marBottom w:val="0"/>
      <w:divBdr>
        <w:top w:val="none" w:sz="0" w:space="0" w:color="auto"/>
        <w:left w:val="none" w:sz="0" w:space="0" w:color="auto"/>
        <w:bottom w:val="none" w:sz="0" w:space="0" w:color="auto"/>
        <w:right w:val="none" w:sz="0" w:space="0" w:color="auto"/>
      </w:divBdr>
    </w:div>
    <w:div w:id="122582809">
      <w:bodyDiv w:val="1"/>
      <w:marLeft w:val="0"/>
      <w:marRight w:val="0"/>
      <w:marTop w:val="0"/>
      <w:marBottom w:val="0"/>
      <w:divBdr>
        <w:top w:val="none" w:sz="0" w:space="0" w:color="auto"/>
        <w:left w:val="none" w:sz="0" w:space="0" w:color="auto"/>
        <w:bottom w:val="none" w:sz="0" w:space="0" w:color="auto"/>
        <w:right w:val="none" w:sz="0" w:space="0" w:color="auto"/>
      </w:divBdr>
    </w:div>
    <w:div w:id="129520863">
      <w:bodyDiv w:val="1"/>
      <w:marLeft w:val="0"/>
      <w:marRight w:val="0"/>
      <w:marTop w:val="0"/>
      <w:marBottom w:val="0"/>
      <w:divBdr>
        <w:top w:val="none" w:sz="0" w:space="0" w:color="auto"/>
        <w:left w:val="none" w:sz="0" w:space="0" w:color="auto"/>
        <w:bottom w:val="none" w:sz="0" w:space="0" w:color="auto"/>
        <w:right w:val="none" w:sz="0" w:space="0" w:color="auto"/>
      </w:divBdr>
    </w:div>
    <w:div w:id="233471245">
      <w:bodyDiv w:val="1"/>
      <w:marLeft w:val="0"/>
      <w:marRight w:val="0"/>
      <w:marTop w:val="0"/>
      <w:marBottom w:val="0"/>
      <w:divBdr>
        <w:top w:val="none" w:sz="0" w:space="0" w:color="auto"/>
        <w:left w:val="none" w:sz="0" w:space="0" w:color="auto"/>
        <w:bottom w:val="none" w:sz="0" w:space="0" w:color="auto"/>
        <w:right w:val="none" w:sz="0" w:space="0" w:color="auto"/>
      </w:divBdr>
    </w:div>
    <w:div w:id="293339458">
      <w:bodyDiv w:val="1"/>
      <w:marLeft w:val="0"/>
      <w:marRight w:val="0"/>
      <w:marTop w:val="0"/>
      <w:marBottom w:val="0"/>
      <w:divBdr>
        <w:top w:val="none" w:sz="0" w:space="0" w:color="auto"/>
        <w:left w:val="none" w:sz="0" w:space="0" w:color="auto"/>
        <w:bottom w:val="none" w:sz="0" w:space="0" w:color="auto"/>
        <w:right w:val="none" w:sz="0" w:space="0" w:color="auto"/>
      </w:divBdr>
    </w:div>
    <w:div w:id="306860888">
      <w:bodyDiv w:val="1"/>
      <w:marLeft w:val="0"/>
      <w:marRight w:val="0"/>
      <w:marTop w:val="0"/>
      <w:marBottom w:val="0"/>
      <w:divBdr>
        <w:top w:val="none" w:sz="0" w:space="0" w:color="auto"/>
        <w:left w:val="none" w:sz="0" w:space="0" w:color="auto"/>
        <w:bottom w:val="none" w:sz="0" w:space="0" w:color="auto"/>
        <w:right w:val="none" w:sz="0" w:space="0" w:color="auto"/>
      </w:divBdr>
    </w:div>
    <w:div w:id="336076727">
      <w:bodyDiv w:val="1"/>
      <w:marLeft w:val="0"/>
      <w:marRight w:val="0"/>
      <w:marTop w:val="0"/>
      <w:marBottom w:val="0"/>
      <w:divBdr>
        <w:top w:val="none" w:sz="0" w:space="0" w:color="auto"/>
        <w:left w:val="none" w:sz="0" w:space="0" w:color="auto"/>
        <w:bottom w:val="none" w:sz="0" w:space="0" w:color="auto"/>
        <w:right w:val="none" w:sz="0" w:space="0" w:color="auto"/>
      </w:divBdr>
    </w:div>
    <w:div w:id="392048363">
      <w:bodyDiv w:val="1"/>
      <w:marLeft w:val="0"/>
      <w:marRight w:val="0"/>
      <w:marTop w:val="0"/>
      <w:marBottom w:val="0"/>
      <w:divBdr>
        <w:top w:val="none" w:sz="0" w:space="0" w:color="auto"/>
        <w:left w:val="none" w:sz="0" w:space="0" w:color="auto"/>
        <w:bottom w:val="none" w:sz="0" w:space="0" w:color="auto"/>
        <w:right w:val="none" w:sz="0" w:space="0" w:color="auto"/>
      </w:divBdr>
    </w:div>
    <w:div w:id="397023612">
      <w:bodyDiv w:val="1"/>
      <w:marLeft w:val="0"/>
      <w:marRight w:val="0"/>
      <w:marTop w:val="0"/>
      <w:marBottom w:val="0"/>
      <w:divBdr>
        <w:top w:val="none" w:sz="0" w:space="0" w:color="auto"/>
        <w:left w:val="none" w:sz="0" w:space="0" w:color="auto"/>
        <w:bottom w:val="none" w:sz="0" w:space="0" w:color="auto"/>
        <w:right w:val="none" w:sz="0" w:space="0" w:color="auto"/>
      </w:divBdr>
    </w:div>
    <w:div w:id="425737208">
      <w:bodyDiv w:val="1"/>
      <w:marLeft w:val="0"/>
      <w:marRight w:val="0"/>
      <w:marTop w:val="0"/>
      <w:marBottom w:val="0"/>
      <w:divBdr>
        <w:top w:val="none" w:sz="0" w:space="0" w:color="auto"/>
        <w:left w:val="none" w:sz="0" w:space="0" w:color="auto"/>
        <w:bottom w:val="none" w:sz="0" w:space="0" w:color="auto"/>
        <w:right w:val="none" w:sz="0" w:space="0" w:color="auto"/>
      </w:divBdr>
    </w:div>
    <w:div w:id="599990102">
      <w:bodyDiv w:val="1"/>
      <w:marLeft w:val="0"/>
      <w:marRight w:val="0"/>
      <w:marTop w:val="0"/>
      <w:marBottom w:val="0"/>
      <w:divBdr>
        <w:top w:val="none" w:sz="0" w:space="0" w:color="auto"/>
        <w:left w:val="none" w:sz="0" w:space="0" w:color="auto"/>
        <w:bottom w:val="none" w:sz="0" w:space="0" w:color="auto"/>
        <w:right w:val="none" w:sz="0" w:space="0" w:color="auto"/>
      </w:divBdr>
    </w:div>
    <w:div w:id="603653673">
      <w:bodyDiv w:val="1"/>
      <w:marLeft w:val="0"/>
      <w:marRight w:val="0"/>
      <w:marTop w:val="0"/>
      <w:marBottom w:val="0"/>
      <w:divBdr>
        <w:top w:val="none" w:sz="0" w:space="0" w:color="auto"/>
        <w:left w:val="none" w:sz="0" w:space="0" w:color="auto"/>
        <w:bottom w:val="none" w:sz="0" w:space="0" w:color="auto"/>
        <w:right w:val="none" w:sz="0" w:space="0" w:color="auto"/>
      </w:divBdr>
    </w:div>
    <w:div w:id="614212851">
      <w:bodyDiv w:val="1"/>
      <w:marLeft w:val="0"/>
      <w:marRight w:val="0"/>
      <w:marTop w:val="0"/>
      <w:marBottom w:val="0"/>
      <w:divBdr>
        <w:top w:val="none" w:sz="0" w:space="0" w:color="auto"/>
        <w:left w:val="none" w:sz="0" w:space="0" w:color="auto"/>
        <w:bottom w:val="none" w:sz="0" w:space="0" w:color="auto"/>
        <w:right w:val="none" w:sz="0" w:space="0" w:color="auto"/>
      </w:divBdr>
    </w:div>
    <w:div w:id="686101473">
      <w:bodyDiv w:val="1"/>
      <w:marLeft w:val="0"/>
      <w:marRight w:val="0"/>
      <w:marTop w:val="0"/>
      <w:marBottom w:val="0"/>
      <w:divBdr>
        <w:top w:val="none" w:sz="0" w:space="0" w:color="auto"/>
        <w:left w:val="none" w:sz="0" w:space="0" w:color="auto"/>
        <w:bottom w:val="none" w:sz="0" w:space="0" w:color="auto"/>
        <w:right w:val="none" w:sz="0" w:space="0" w:color="auto"/>
      </w:divBdr>
    </w:div>
    <w:div w:id="762608867">
      <w:bodyDiv w:val="1"/>
      <w:marLeft w:val="0"/>
      <w:marRight w:val="0"/>
      <w:marTop w:val="0"/>
      <w:marBottom w:val="0"/>
      <w:divBdr>
        <w:top w:val="none" w:sz="0" w:space="0" w:color="auto"/>
        <w:left w:val="none" w:sz="0" w:space="0" w:color="auto"/>
        <w:bottom w:val="none" w:sz="0" w:space="0" w:color="auto"/>
        <w:right w:val="none" w:sz="0" w:space="0" w:color="auto"/>
      </w:divBdr>
    </w:div>
    <w:div w:id="826868917">
      <w:bodyDiv w:val="1"/>
      <w:marLeft w:val="0"/>
      <w:marRight w:val="0"/>
      <w:marTop w:val="0"/>
      <w:marBottom w:val="0"/>
      <w:divBdr>
        <w:top w:val="none" w:sz="0" w:space="0" w:color="auto"/>
        <w:left w:val="none" w:sz="0" w:space="0" w:color="auto"/>
        <w:bottom w:val="none" w:sz="0" w:space="0" w:color="auto"/>
        <w:right w:val="none" w:sz="0" w:space="0" w:color="auto"/>
      </w:divBdr>
    </w:div>
    <w:div w:id="850410700">
      <w:bodyDiv w:val="1"/>
      <w:marLeft w:val="0"/>
      <w:marRight w:val="0"/>
      <w:marTop w:val="0"/>
      <w:marBottom w:val="0"/>
      <w:divBdr>
        <w:top w:val="none" w:sz="0" w:space="0" w:color="auto"/>
        <w:left w:val="none" w:sz="0" w:space="0" w:color="auto"/>
        <w:bottom w:val="none" w:sz="0" w:space="0" w:color="auto"/>
        <w:right w:val="none" w:sz="0" w:space="0" w:color="auto"/>
      </w:divBdr>
    </w:div>
    <w:div w:id="911503568">
      <w:bodyDiv w:val="1"/>
      <w:marLeft w:val="0"/>
      <w:marRight w:val="0"/>
      <w:marTop w:val="0"/>
      <w:marBottom w:val="0"/>
      <w:divBdr>
        <w:top w:val="none" w:sz="0" w:space="0" w:color="auto"/>
        <w:left w:val="none" w:sz="0" w:space="0" w:color="auto"/>
        <w:bottom w:val="none" w:sz="0" w:space="0" w:color="auto"/>
        <w:right w:val="none" w:sz="0" w:space="0" w:color="auto"/>
      </w:divBdr>
    </w:div>
    <w:div w:id="919680882">
      <w:bodyDiv w:val="1"/>
      <w:marLeft w:val="0"/>
      <w:marRight w:val="0"/>
      <w:marTop w:val="0"/>
      <w:marBottom w:val="0"/>
      <w:divBdr>
        <w:top w:val="none" w:sz="0" w:space="0" w:color="auto"/>
        <w:left w:val="none" w:sz="0" w:space="0" w:color="auto"/>
        <w:bottom w:val="none" w:sz="0" w:space="0" w:color="auto"/>
        <w:right w:val="none" w:sz="0" w:space="0" w:color="auto"/>
      </w:divBdr>
    </w:div>
    <w:div w:id="1147629410">
      <w:bodyDiv w:val="1"/>
      <w:marLeft w:val="0"/>
      <w:marRight w:val="0"/>
      <w:marTop w:val="0"/>
      <w:marBottom w:val="0"/>
      <w:divBdr>
        <w:top w:val="none" w:sz="0" w:space="0" w:color="auto"/>
        <w:left w:val="none" w:sz="0" w:space="0" w:color="auto"/>
        <w:bottom w:val="none" w:sz="0" w:space="0" w:color="auto"/>
        <w:right w:val="none" w:sz="0" w:space="0" w:color="auto"/>
      </w:divBdr>
    </w:div>
    <w:div w:id="1178083974">
      <w:bodyDiv w:val="1"/>
      <w:marLeft w:val="0"/>
      <w:marRight w:val="0"/>
      <w:marTop w:val="0"/>
      <w:marBottom w:val="0"/>
      <w:divBdr>
        <w:top w:val="none" w:sz="0" w:space="0" w:color="auto"/>
        <w:left w:val="none" w:sz="0" w:space="0" w:color="auto"/>
        <w:bottom w:val="none" w:sz="0" w:space="0" w:color="auto"/>
        <w:right w:val="none" w:sz="0" w:space="0" w:color="auto"/>
      </w:divBdr>
    </w:div>
    <w:div w:id="1281299871">
      <w:bodyDiv w:val="1"/>
      <w:marLeft w:val="0"/>
      <w:marRight w:val="0"/>
      <w:marTop w:val="0"/>
      <w:marBottom w:val="0"/>
      <w:divBdr>
        <w:top w:val="none" w:sz="0" w:space="0" w:color="auto"/>
        <w:left w:val="none" w:sz="0" w:space="0" w:color="auto"/>
        <w:bottom w:val="none" w:sz="0" w:space="0" w:color="auto"/>
        <w:right w:val="none" w:sz="0" w:space="0" w:color="auto"/>
      </w:divBdr>
    </w:div>
    <w:div w:id="1285426339">
      <w:bodyDiv w:val="1"/>
      <w:marLeft w:val="0"/>
      <w:marRight w:val="0"/>
      <w:marTop w:val="0"/>
      <w:marBottom w:val="0"/>
      <w:divBdr>
        <w:top w:val="none" w:sz="0" w:space="0" w:color="auto"/>
        <w:left w:val="none" w:sz="0" w:space="0" w:color="auto"/>
        <w:bottom w:val="none" w:sz="0" w:space="0" w:color="auto"/>
        <w:right w:val="none" w:sz="0" w:space="0" w:color="auto"/>
      </w:divBdr>
    </w:div>
    <w:div w:id="1306080649">
      <w:bodyDiv w:val="1"/>
      <w:marLeft w:val="0"/>
      <w:marRight w:val="0"/>
      <w:marTop w:val="0"/>
      <w:marBottom w:val="0"/>
      <w:divBdr>
        <w:top w:val="none" w:sz="0" w:space="0" w:color="auto"/>
        <w:left w:val="none" w:sz="0" w:space="0" w:color="auto"/>
        <w:bottom w:val="none" w:sz="0" w:space="0" w:color="auto"/>
        <w:right w:val="none" w:sz="0" w:space="0" w:color="auto"/>
      </w:divBdr>
    </w:div>
    <w:div w:id="1360276415">
      <w:bodyDiv w:val="1"/>
      <w:marLeft w:val="0"/>
      <w:marRight w:val="0"/>
      <w:marTop w:val="0"/>
      <w:marBottom w:val="0"/>
      <w:divBdr>
        <w:top w:val="none" w:sz="0" w:space="0" w:color="auto"/>
        <w:left w:val="none" w:sz="0" w:space="0" w:color="auto"/>
        <w:bottom w:val="none" w:sz="0" w:space="0" w:color="auto"/>
        <w:right w:val="none" w:sz="0" w:space="0" w:color="auto"/>
      </w:divBdr>
    </w:div>
    <w:div w:id="1363358533">
      <w:bodyDiv w:val="1"/>
      <w:marLeft w:val="0"/>
      <w:marRight w:val="0"/>
      <w:marTop w:val="0"/>
      <w:marBottom w:val="0"/>
      <w:divBdr>
        <w:top w:val="none" w:sz="0" w:space="0" w:color="auto"/>
        <w:left w:val="none" w:sz="0" w:space="0" w:color="auto"/>
        <w:bottom w:val="none" w:sz="0" w:space="0" w:color="auto"/>
        <w:right w:val="none" w:sz="0" w:space="0" w:color="auto"/>
      </w:divBdr>
    </w:div>
    <w:div w:id="1453210271">
      <w:bodyDiv w:val="1"/>
      <w:marLeft w:val="0"/>
      <w:marRight w:val="0"/>
      <w:marTop w:val="0"/>
      <w:marBottom w:val="0"/>
      <w:divBdr>
        <w:top w:val="none" w:sz="0" w:space="0" w:color="auto"/>
        <w:left w:val="none" w:sz="0" w:space="0" w:color="auto"/>
        <w:bottom w:val="none" w:sz="0" w:space="0" w:color="auto"/>
        <w:right w:val="none" w:sz="0" w:space="0" w:color="auto"/>
      </w:divBdr>
    </w:div>
    <w:div w:id="1625429703">
      <w:bodyDiv w:val="1"/>
      <w:marLeft w:val="0"/>
      <w:marRight w:val="0"/>
      <w:marTop w:val="0"/>
      <w:marBottom w:val="0"/>
      <w:divBdr>
        <w:top w:val="none" w:sz="0" w:space="0" w:color="auto"/>
        <w:left w:val="none" w:sz="0" w:space="0" w:color="auto"/>
        <w:bottom w:val="none" w:sz="0" w:space="0" w:color="auto"/>
        <w:right w:val="none" w:sz="0" w:space="0" w:color="auto"/>
      </w:divBdr>
    </w:div>
    <w:div w:id="1651327878">
      <w:bodyDiv w:val="1"/>
      <w:marLeft w:val="0"/>
      <w:marRight w:val="0"/>
      <w:marTop w:val="0"/>
      <w:marBottom w:val="0"/>
      <w:divBdr>
        <w:top w:val="none" w:sz="0" w:space="0" w:color="auto"/>
        <w:left w:val="none" w:sz="0" w:space="0" w:color="auto"/>
        <w:bottom w:val="none" w:sz="0" w:space="0" w:color="auto"/>
        <w:right w:val="none" w:sz="0" w:space="0" w:color="auto"/>
      </w:divBdr>
    </w:div>
    <w:div w:id="1656567018">
      <w:bodyDiv w:val="1"/>
      <w:marLeft w:val="0"/>
      <w:marRight w:val="0"/>
      <w:marTop w:val="0"/>
      <w:marBottom w:val="0"/>
      <w:divBdr>
        <w:top w:val="none" w:sz="0" w:space="0" w:color="auto"/>
        <w:left w:val="none" w:sz="0" w:space="0" w:color="auto"/>
        <w:bottom w:val="none" w:sz="0" w:space="0" w:color="auto"/>
        <w:right w:val="none" w:sz="0" w:space="0" w:color="auto"/>
      </w:divBdr>
    </w:div>
    <w:div w:id="1676834152">
      <w:bodyDiv w:val="1"/>
      <w:marLeft w:val="0"/>
      <w:marRight w:val="0"/>
      <w:marTop w:val="0"/>
      <w:marBottom w:val="0"/>
      <w:divBdr>
        <w:top w:val="none" w:sz="0" w:space="0" w:color="auto"/>
        <w:left w:val="none" w:sz="0" w:space="0" w:color="auto"/>
        <w:bottom w:val="none" w:sz="0" w:space="0" w:color="auto"/>
        <w:right w:val="none" w:sz="0" w:space="0" w:color="auto"/>
      </w:divBdr>
    </w:div>
    <w:div w:id="1773741622">
      <w:bodyDiv w:val="1"/>
      <w:marLeft w:val="0"/>
      <w:marRight w:val="0"/>
      <w:marTop w:val="0"/>
      <w:marBottom w:val="0"/>
      <w:divBdr>
        <w:top w:val="none" w:sz="0" w:space="0" w:color="auto"/>
        <w:left w:val="none" w:sz="0" w:space="0" w:color="auto"/>
        <w:bottom w:val="none" w:sz="0" w:space="0" w:color="auto"/>
        <w:right w:val="none" w:sz="0" w:space="0" w:color="auto"/>
      </w:divBdr>
    </w:div>
    <w:div w:id="1779791145">
      <w:bodyDiv w:val="1"/>
      <w:marLeft w:val="0"/>
      <w:marRight w:val="0"/>
      <w:marTop w:val="0"/>
      <w:marBottom w:val="0"/>
      <w:divBdr>
        <w:top w:val="none" w:sz="0" w:space="0" w:color="auto"/>
        <w:left w:val="none" w:sz="0" w:space="0" w:color="auto"/>
        <w:bottom w:val="none" w:sz="0" w:space="0" w:color="auto"/>
        <w:right w:val="none" w:sz="0" w:space="0" w:color="auto"/>
      </w:divBdr>
    </w:div>
    <w:div w:id="1878227443">
      <w:bodyDiv w:val="1"/>
      <w:marLeft w:val="0"/>
      <w:marRight w:val="0"/>
      <w:marTop w:val="0"/>
      <w:marBottom w:val="0"/>
      <w:divBdr>
        <w:top w:val="none" w:sz="0" w:space="0" w:color="auto"/>
        <w:left w:val="none" w:sz="0" w:space="0" w:color="auto"/>
        <w:bottom w:val="none" w:sz="0" w:space="0" w:color="auto"/>
        <w:right w:val="none" w:sz="0" w:space="0" w:color="auto"/>
      </w:divBdr>
    </w:div>
    <w:div w:id="1904557263">
      <w:bodyDiv w:val="1"/>
      <w:marLeft w:val="0"/>
      <w:marRight w:val="0"/>
      <w:marTop w:val="0"/>
      <w:marBottom w:val="0"/>
      <w:divBdr>
        <w:top w:val="none" w:sz="0" w:space="0" w:color="auto"/>
        <w:left w:val="none" w:sz="0" w:space="0" w:color="auto"/>
        <w:bottom w:val="none" w:sz="0" w:space="0" w:color="auto"/>
        <w:right w:val="none" w:sz="0" w:space="0" w:color="auto"/>
      </w:divBdr>
    </w:div>
    <w:div w:id="1920098981">
      <w:bodyDiv w:val="1"/>
      <w:marLeft w:val="0"/>
      <w:marRight w:val="0"/>
      <w:marTop w:val="0"/>
      <w:marBottom w:val="0"/>
      <w:divBdr>
        <w:top w:val="none" w:sz="0" w:space="0" w:color="auto"/>
        <w:left w:val="none" w:sz="0" w:space="0" w:color="auto"/>
        <w:bottom w:val="none" w:sz="0" w:space="0" w:color="auto"/>
        <w:right w:val="none" w:sz="0" w:space="0" w:color="auto"/>
      </w:divBdr>
    </w:div>
    <w:div w:id="1921018238">
      <w:bodyDiv w:val="1"/>
      <w:marLeft w:val="0"/>
      <w:marRight w:val="0"/>
      <w:marTop w:val="0"/>
      <w:marBottom w:val="0"/>
      <w:divBdr>
        <w:top w:val="none" w:sz="0" w:space="0" w:color="auto"/>
        <w:left w:val="none" w:sz="0" w:space="0" w:color="auto"/>
        <w:bottom w:val="none" w:sz="0" w:space="0" w:color="auto"/>
        <w:right w:val="none" w:sz="0" w:space="0" w:color="auto"/>
      </w:divBdr>
    </w:div>
    <w:div w:id="2019115740">
      <w:bodyDiv w:val="1"/>
      <w:marLeft w:val="0"/>
      <w:marRight w:val="0"/>
      <w:marTop w:val="0"/>
      <w:marBottom w:val="0"/>
      <w:divBdr>
        <w:top w:val="none" w:sz="0" w:space="0" w:color="auto"/>
        <w:left w:val="none" w:sz="0" w:space="0" w:color="auto"/>
        <w:bottom w:val="none" w:sz="0" w:space="0" w:color="auto"/>
        <w:right w:val="none" w:sz="0" w:space="0" w:color="auto"/>
      </w:divBdr>
    </w:div>
    <w:div w:id="2022588292">
      <w:bodyDiv w:val="1"/>
      <w:marLeft w:val="0"/>
      <w:marRight w:val="0"/>
      <w:marTop w:val="0"/>
      <w:marBottom w:val="0"/>
      <w:divBdr>
        <w:top w:val="none" w:sz="0" w:space="0" w:color="auto"/>
        <w:left w:val="none" w:sz="0" w:space="0" w:color="auto"/>
        <w:bottom w:val="none" w:sz="0" w:space="0" w:color="auto"/>
        <w:right w:val="none" w:sz="0" w:space="0" w:color="auto"/>
      </w:divBdr>
    </w:div>
    <w:div w:id="2023043948">
      <w:bodyDiv w:val="1"/>
      <w:marLeft w:val="0"/>
      <w:marRight w:val="0"/>
      <w:marTop w:val="0"/>
      <w:marBottom w:val="0"/>
      <w:divBdr>
        <w:top w:val="none" w:sz="0" w:space="0" w:color="auto"/>
        <w:left w:val="none" w:sz="0" w:space="0" w:color="auto"/>
        <w:bottom w:val="none" w:sz="0" w:space="0" w:color="auto"/>
        <w:right w:val="none" w:sz="0" w:space="0" w:color="auto"/>
      </w:divBdr>
    </w:div>
    <w:div w:id="2064669509">
      <w:bodyDiv w:val="1"/>
      <w:marLeft w:val="0"/>
      <w:marRight w:val="0"/>
      <w:marTop w:val="0"/>
      <w:marBottom w:val="0"/>
      <w:divBdr>
        <w:top w:val="none" w:sz="0" w:space="0" w:color="auto"/>
        <w:left w:val="none" w:sz="0" w:space="0" w:color="auto"/>
        <w:bottom w:val="none" w:sz="0" w:space="0" w:color="auto"/>
        <w:right w:val="none" w:sz="0" w:space="0" w:color="auto"/>
      </w:divBdr>
    </w:div>
    <w:div w:id="21264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angloeastern.com/about-us" TargetMode="External"/><Relationship Id="rId13" Type="http://schemas.openxmlformats.org/officeDocument/2006/relationships/hyperlink" Target="https://www.scottishmaritimecluster.com/about-us/" TargetMode="External"/><Relationship Id="rId3" Type="http://schemas.openxmlformats.org/officeDocument/2006/relationships/hyperlink" Target="https://www.pesmedia.com/texo-group-tidal-turbine-orbital-marine-power-o2/" TargetMode="External"/><Relationship Id="rId7" Type="http://schemas.openxmlformats.org/officeDocument/2006/relationships/hyperlink" Target="https://lloydslist.maritimeintelligence.informa.com/LL1124925/Top-10-shipmanagers-2018" TargetMode="External"/><Relationship Id="rId12" Type="http://schemas.openxmlformats.org/officeDocument/2006/relationships/hyperlink" Target="https://www.gov.uk/government/publications/low-carbon-economy-size-and-performance" TargetMode="External"/><Relationship Id="rId2" Type="http://schemas.openxmlformats.org/officeDocument/2006/relationships/hyperlink" Target="https://www.scottishmaritimecluster.com/news/new-clyde-marine-technology-manufacturing-site/" TargetMode="External"/><Relationship Id="rId1" Type="http://schemas.openxmlformats.org/officeDocument/2006/relationships/hyperlink" Target="https://news.gov.scot/news/support-for-scottish-shipbuilding" TargetMode="External"/><Relationship Id="rId6" Type="http://schemas.openxmlformats.org/officeDocument/2006/relationships/hyperlink" Target="https://www.oecd-ilibrary.org/economics/the-ocean-economy-in-2030/growth-prospects-challenges-and-uncertainties-for-selected-ocean-industries_9789264251724-10-en" TargetMode="External"/><Relationship Id="rId11" Type="http://schemas.openxmlformats.org/officeDocument/2006/relationships/hyperlink" Target="https://www.angloeasternoffshore.com/about/" TargetMode="External"/><Relationship Id="rId5" Type="http://schemas.openxmlformats.org/officeDocument/2006/relationships/hyperlink" Target="https://eto.dnvgl.com/2018/maritime" TargetMode="External"/><Relationship Id="rId15" Type="http://schemas.openxmlformats.org/officeDocument/2006/relationships/hyperlink" Target="https://www.gov.uk/government/publications/maritime-2050-navigating-the-future" TargetMode="External"/><Relationship Id="rId10" Type="http://schemas.openxmlformats.org/officeDocument/2006/relationships/hyperlink" Target="http://www.angloeastern.com/training" TargetMode="External"/><Relationship Id="rId4" Type="http://schemas.openxmlformats.org/officeDocument/2006/relationships/hyperlink" Target="https://unctad.org/en/pages/PublicationWebflyer.aspx?publicationid=2245" TargetMode="External"/><Relationship Id="rId9" Type="http://schemas.openxmlformats.org/officeDocument/2006/relationships/hyperlink" Target="https://www.maritimetraining.in/courses.htm" TargetMode="External"/><Relationship Id="rId14" Type="http://schemas.openxmlformats.org/officeDocument/2006/relationships/hyperlink" Target="https://www.scottishmaritimecluster.com/membersh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Reports\Cebr_Word%20repor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1.xml"/><Relationship Id="rId4" Type="http://schemas.openxmlformats.org/officeDocument/2006/relationships/oleObject" Target="file:///\\cebr-fs01\company\Clients\Maritime%20UK\4821%20-%20MUK%20refresh\Forecasts\Analysis\Scotland%20Forecast\Scotland%20Forecas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Comparison%20Graphs\Regional%20comparison%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Comparison%20Graphs\Regional%20comparison%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53954245104384"/>
          <c:y val="5.0925925925925923E-2"/>
          <c:w val="0.79481612318692574"/>
          <c:h val="0.70953233830845774"/>
        </c:manualLayout>
      </c:layout>
      <c:barChart>
        <c:barDir val="col"/>
        <c:grouping val="stacked"/>
        <c:varyColors val="0"/>
        <c:ser>
          <c:idx val="2"/>
          <c:order val="0"/>
          <c:tx>
            <c:strRef>
              <c:f>Charts_EI_Sco!$U$24</c:f>
              <c:strCache>
                <c:ptCount val="1"/>
                <c:pt idx="0">
                  <c:v>Shipping</c:v>
                </c:pt>
              </c:strCache>
            </c:strRef>
          </c:tx>
          <c:spPr>
            <a:solidFill>
              <a:schemeClr val="accent1"/>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Charts_EI_Sco!$V$24:$AC$24</c:f>
              <c:numCache>
                <c:formatCode>#,##0_ ;\-#,##0\ </c:formatCode>
                <c:ptCount val="8"/>
                <c:pt idx="0">
                  <c:v>1045.346590749672</c:v>
                </c:pt>
                <c:pt idx="1">
                  <c:v>1495.4005579316249</c:v>
                </c:pt>
                <c:pt idx="2">
                  <c:v>1366.0930140128901</c:v>
                </c:pt>
                <c:pt idx="3">
                  <c:v>2196.3022507168107</c:v>
                </c:pt>
                <c:pt idx="4">
                  <c:v>2282.9595890971091</c:v>
                </c:pt>
                <c:pt idx="5">
                  <c:v>1963.6341296804931</c:v>
                </c:pt>
                <c:pt idx="6">
                  <c:v>2321.6159586786221</c:v>
                </c:pt>
                <c:pt idx="7">
                  <c:v>2339.8887859173274</c:v>
                </c:pt>
              </c:numCache>
            </c:numRef>
          </c:val>
        </c:ser>
        <c:ser>
          <c:idx val="4"/>
          <c:order val="1"/>
          <c:tx>
            <c:strRef>
              <c:f>Charts_EI_Sco!$U$25</c:f>
              <c:strCache>
                <c:ptCount val="1"/>
                <c:pt idx="0">
                  <c:v>Ports</c:v>
                </c:pt>
              </c:strCache>
            </c:strRef>
          </c:tx>
          <c:spPr>
            <a:solidFill>
              <a:schemeClr val="accent2"/>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Charts_EI_Sco!$V$25:$AC$25</c:f>
              <c:numCache>
                <c:formatCode>#,##0_ ;\-#,##0\ </c:formatCode>
                <c:ptCount val="8"/>
                <c:pt idx="0">
                  <c:v>266.8269044700877</c:v>
                </c:pt>
                <c:pt idx="1">
                  <c:v>328.87174346309689</c:v>
                </c:pt>
                <c:pt idx="2">
                  <c:v>322.24087412422045</c:v>
                </c:pt>
                <c:pt idx="3">
                  <c:v>408.90925877494908</c:v>
                </c:pt>
                <c:pt idx="4">
                  <c:v>333.14937438084235</c:v>
                </c:pt>
                <c:pt idx="5">
                  <c:v>302.92732337930818</c:v>
                </c:pt>
                <c:pt idx="6">
                  <c:v>379.59903595894491</c:v>
                </c:pt>
                <c:pt idx="7">
                  <c:v>437.83729863294627</c:v>
                </c:pt>
              </c:numCache>
            </c:numRef>
          </c:val>
        </c:ser>
        <c:ser>
          <c:idx val="0"/>
          <c:order val="2"/>
          <c:tx>
            <c:strRef>
              <c:f>Charts_EI_Sco!$U$26</c:f>
              <c:strCache>
                <c:ptCount val="1"/>
                <c:pt idx="0">
                  <c:v>Leisure Marine</c:v>
                </c:pt>
              </c:strCache>
            </c:strRef>
          </c:tx>
          <c:spPr>
            <a:solidFill>
              <a:schemeClr val="accent3"/>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Charts_EI_Sco!$V$26:$AC$26</c:f>
              <c:numCache>
                <c:formatCode>#,##0_ ;\-#,##0\ </c:formatCode>
                <c:ptCount val="8"/>
                <c:pt idx="0">
                  <c:v>36.497579179804511</c:v>
                </c:pt>
                <c:pt idx="1">
                  <c:v>34.274525994663833</c:v>
                </c:pt>
                <c:pt idx="2">
                  <c:v>39.266492206085175</c:v>
                </c:pt>
                <c:pt idx="3">
                  <c:v>30.133754631828332</c:v>
                </c:pt>
                <c:pt idx="4">
                  <c:v>30.074936262874957</c:v>
                </c:pt>
                <c:pt idx="5">
                  <c:v>31.480782206207113</c:v>
                </c:pt>
                <c:pt idx="6">
                  <c:v>27.885826631767447</c:v>
                </c:pt>
                <c:pt idx="7">
                  <c:v>24.897957074338247</c:v>
                </c:pt>
              </c:numCache>
            </c:numRef>
          </c:val>
        </c:ser>
        <c:ser>
          <c:idx val="1"/>
          <c:order val="3"/>
          <c:tx>
            <c:strRef>
              <c:f>Charts_EI_Sco!$U$28</c:f>
              <c:strCache>
                <c:ptCount val="1"/>
                <c:pt idx="0">
                  <c:v>Marine Offshore Oil &amp; Gas</c:v>
                </c:pt>
              </c:strCache>
            </c:strRef>
          </c:tx>
          <c:spPr>
            <a:solidFill>
              <a:schemeClr val="accent5">
                <a:lumMod val="60000"/>
                <a:lumOff val="40000"/>
              </a:schemeClr>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Charts_EI_Sco!$V$28:$AC$28</c:f>
              <c:numCache>
                <c:formatCode>#,##0_ ;\-#,##0\ </c:formatCode>
                <c:ptCount val="8"/>
                <c:pt idx="0">
                  <c:v>5273.5456274523358</c:v>
                </c:pt>
                <c:pt idx="1">
                  <c:v>4923.8500462476914</c:v>
                </c:pt>
                <c:pt idx="2">
                  <c:v>5172.1802353653957</c:v>
                </c:pt>
                <c:pt idx="3">
                  <c:v>5616.0523957905625</c:v>
                </c:pt>
                <c:pt idx="4">
                  <c:v>6099.4757422814846</c:v>
                </c:pt>
                <c:pt idx="5">
                  <c:v>5748.8604598015745</c:v>
                </c:pt>
                <c:pt idx="6">
                  <c:v>4234.9785406014562</c:v>
                </c:pt>
                <c:pt idx="7">
                  <c:v>4464.2885946862843</c:v>
                </c:pt>
              </c:numCache>
            </c:numRef>
          </c:val>
        </c:ser>
        <c:ser>
          <c:idx val="3"/>
          <c:order val="4"/>
          <c:tx>
            <c:strRef>
              <c:f>Charts_EI_Sco!$U$29</c:f>
              <c:strCache>
                <c:ptCount val="1"/>
                <c:pt idx="0">
                  <c:v>Other Marine</c:v>
                </c:pt>
              </c:strCache>
            </c:strRef>
          </c:tx>
          <c:spPr>
            <a:solidFill>
              <a:schemeClr val="accent4"/>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Charts_EI_Sco!$V$29:$AC$29</c:f>
              <c:numCache>
                <c:formatCode>#,##0_ ;\-#,##0\ </c:formatCode>
                <c:ptCount val="8"/>
                <c:pt idx="0">
                  <c:v>1275.2677779785035</c:v>
                </c:pt>
                <c:pt idx="1">
                  <c:v>1414.5566943051663</c:v>
                </c:pt>
                <c:pt idx="2">
                  <c:v>1844.9392117165344</c:v>
                </c:pt>
                <c:pt idx="3">
                  <c:v>1866.2752959739473</c:v>
                </c:pt>
                <c:pt idx="4">
                  <c:v>1826.1724763283119</c:v>
                </c:pt>
                <c:pt idx="5">
                  <c:v>2195.9979037202429</c:v>
                </c:pt>
                <c:pt idx="6">
                  <c:v>2388.2126732062843</c:v>
                </c:pt>
                <c:pt idx="7">
                  <c:v>2479.2803750790999</c:v>
                </c:pt>
              </c:numCache>
            </c:numRef>
          </c:val>
        </c:ser>
        <c:ser>
          <c:idx val="6"/>
          <c:order val="5"/>
          <c:tx>
            <c:strRef>
              <c:f>Charts_EI_Sco!$U$30</c:f>
              <c:strCache>
                <c:ptCount val="1"/>
                <c:pt idx="0">
                  <c:v>MBS</c:v>
                </c:pt>
              </c:strCache>
            </c:strRef>
          </c:tx>
          <c:spPr>
            <a:solidFill>
              <a:srgbClr val="7030A0"/>
            </a:solidFill>
            <a:ln>
              <a:noFill/>
            </a:ln>
            <a:effectLst/>
          </c:spPr>
          <c:invertIfNegative val="0"/>
          <c:cat>
            <c:numRef>
              <c:f>Charts_EI_Sco!$V$23:$AC$23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Charts_EI_Sco!$V$30:$AC$30</c:f>
              <c:numCache>
                <c:formatCode>#,##0_ ;\-#,##0\ </c:formatCode>
                <c:ptCount val="8"/>
                <c:pt idx="0">
                  <c:v>90.74112997978753</c:v>
                </c:pt>
                <c:pt idx="1">
                  <c:v>106.18346389593097</c:v>
                </c:pt>
                <c:pt idx="2">
                  <c:v>103.85988928553849</c:v>
                </c:pt>
                <c:pt idx="3">
                  <c:v>123.64691100622044</c:v>
                </c:pt>
                <c:pt idx="4">
                  <c:v>107.59264769123793</c:v>
                </c:pt>
                <c:pt idx="5">
                  <c:v>99.942078928756615</c:v>
                </c:pt>
                <c:pt idx="6">
                  <c:v>121.69752581427399</c:v>
                </c:pt>
                <c:pt idx="7">
                  <c:v>129.8212475673707</c:v>
                </c:pt>
              </c:numCache>
            </c:numRef>
          </c:val>
        </c:ser>
        <c:dLbls>
          <c:showLegendKey val="0"/>
          <c:showVal val="0"/>
          <c:showCatName val="0"/>
          <c:showSerName val="0"/>
          <c:showPercent val="0"/>
          <c:showBubbleSize val="0"/>
        </c:dLbls>
        <c:gapWidth val="150"/>
        <c:overlap val="100"/>
        <c:axId val="97624256"/>
        <c:axId val="97626608"/>
      </c:barChart>
      <c:lineChart>
        <c:grouping val="standard"/>
        <c:varyColors val="0"/>
        <c:ser>
          <c:idx val="5"/>
          <c:order val="6"/>
          <c:tx>
            <c:strRef>
              <c:f>Charts_EI_Sco!$B$11</c:f>
              <c:strCache>
                <c:ptCount val="1"/>
                <c:pt idx="0">
                  <c:v>Scotland as % Sector (RHS)</c:v>
                </c:pt>
              </c:strCache>
            </c:strRef>
          </c:tx>
          <c:spPr>
            <a:ln w="28575" cap="rnd">
              <a:solidFill>
                <a:srgbClr val="FF0000"/>
              </a:solidFill>
              <a:round/>
            </a:ln>
            <a:effectLst/>
          </c:spPr>
          <c:marker>
            <c:symbol val="none"/>
          </c:marker>
          <c:cat>
            <c:numRef>
              <c:f>Charts_EI_Sco!$V$23:$AC$23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Charts_EI_Sco!$C$11:$J$11</c:f>
              <c:numCache>
                <c:formatCode>0.0%</c:formatCode>
                <c:ptCount val="8"/>
                <c:pt idx="0">
                  <c:v>0.24802223826357087</c:v>
                </c:pt>
                <c:pt idx="1">
                  <c:v>0.21983687930622522</c:v>
                </c:pt>
                <c:pt idx="2">
                  <c:v>0.26885635000580765</c:v>
                </c:pt>
                <c:pt idx="3">
                  <c:v>0.25467503797643881</c:v>
                </c:pt>
                <c:pt idx="4">
                  <c:v>0.26233153101844797</c:v>
                </c:pt>
                <c:pt idx="5">
                  <c:v>0.27686937337140571</c:v>
                </c:pt>
                <c:pt idx="6">
                  <c:v>0.20946517905243428</c:v>
                </c:pt>
                <c:pt idx="7">
                  <c:v>0.27212851354038031</c:v>
                </c:pt>
              </c:numCache>
            </c:numRef>
          </c:val>
          <c:smooth val="0"/>
        </c:ser>
        <c:dLbls>
          <c:showLegendKey val="0"/>
          <c:showVal val="0"/>
          <c:showCatName val="0"/>
          <c:showSerName val="0"/>
          <c:showPercent val="0"/>
          <c:showBubbleSize val="0"/>
        </c:dLbls>
        <c:marker val="1"/>
        <c:smooth val="0"/>
        <c:axId val="97623080"/>
        <c:axId val="97628176"/>
      </c:lineChart>
      <c:catAx>
        <c:axId val="9762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626608"/>
        <c:crosses val="autoZero"/>
        <c:auto val="1"/>
        <c:lblAlgn val="ctr"/>
        <c:lblOffset val="100"/>
        <c:noMultiLvlLbl val="0"/>
      </c:catAx>
      <c:valAx>
        <c:axId val="97626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million</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624256"/>
        <c:crosses val="autoZero"/>
        <c:crossBetween val="between"/>
      </c:valAx>
      <c:valAx>
        <c:axId val="97628176"/>
        <c:scaling>
          <c:orientation val="minMax"/>
          <c:max val="0.30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Scotland</a:t>
                </a:r>
                <a:r>
                  <a:rPr lang="en-GB" baseline="0"/>
                  <a:t> as % share of UK Maritime sector</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623080"/>
        <c:crosses val="max"/>
        <c:crossBetween val="between"/>
        <c:majorUnit val="5.000000000000001E-2"/>
      </c:valAx>
      <c:catAx>
        <c:axId val="97623080"/>
        <c:scaling>
          <c:orientation val="minMax"/>
        </c:scaling>
        <c:delete val="1"/>
        <c:axPos val="b"/>
        <c:numFmt formatCode="General" sourceLinked="1"/>
        <c:majorTickMark val="out"/>
        <c:minorTickMark val="none"/>
        <c:tickLblPos val="nextTo"/>
        <c:crossAx val="97628176"/>
        <c:crosses val="autoZero"/>
        <c:auto val="1"/>
        <c:lblAlgn val="ctr"/>
        <c:lblOffset val="100"/>
        <c:noMultiLvlLbl val="0"/>
      </c:catAx>
      <c:spPr>
        <a:noFill/>
        <a:ln>
          <a:noFill/>
        </a:ln>
        <a:effectLst/>
      </c:spPr>
    </c:plotArea>
    <c:legend>
      <c:legendPos val="b"/>
      <c:layout>
        <c:manualLayout>
          <c:xMode val="edge"/>
          <c:yMode val="edge"/>
          <c:x val="5.1936641868718478E-2"/>
          <c:y val="0.84119904414933211"/>
          <c:w val="0.89584959796605623"/>
          <c:h val="0.138900458338230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Maritime Turnover (LHS)</c:v>
          </c:tx>
          <c:spPr>
            <a:ln w="28575" cap="rnd">
              <a:solidFill>
                <a:schemeClr val="accent1"/>
              </a:solidFill>
              <a:round/>
            </a:ln>
            <a:effectLst/>
          </c:spPr>
          <c:marker>
            <c:symbol val="none"/>
          </c:marker>
          <c:cat>
            <c:numRef>
              <c:f>'[10]Report chart'!$A$8:$A$16</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'Report chart'!$B$8:$B$16</c:f>
              <c:numCache>
                <c:formatCode>General</c:formatCode>
                <c:ptCount val="9"/>
                <c:pt idx="0">
                  <c:v>10342.332652178229</c:v>
                </c:pt>
                <c:pt idx="1">
                  <c:v>9448.1664468101062</c:v>
                </c:pt>
                <c:pt idx="2">
                  <c:v>9831.8396558736185</c:v>
                </c:pt>
                <c:pt idx="3">
                  <c:v>9803.8693312392734</c:v>
                </c:pt>
                <c:pt idx="4">
                  <c:v>10027.680518118486</c:v>
                </c:pt>
                <c:pt idx="5">
                  <c:v>10180.106489543621</c:v>
                </c:pt>
                <c:pt idx="6">
                  <c:v>10511.114624591637</c:v>
                </c:pt>
                <c:pt idx="7">
                  <c:v>10838.236519556496</c:v>
                </c:pt>
                <c:pt idx="8">
                  <c:v>11172.686753393737</c:v>
                </c:pt>
              </c:numCache>
            </c:numRef>
          </c:val>
          <c:smooth val="0"/>
          <c:extLst xmlns:c16r2="http://schemas.microsoft.com/office/drawing/2015/06/chart">
            <c:ext xmlns:c16="http://schemas.microsoft.com/office/drawing/2014/chart" uri="{C3380CC4-5D6E-409C-BE32-E72D297353CC}">
              <c16:uniqueId val="{00000000-CA65-4B37-AB0D-70D4B0F4D42E}"/>
            </c:ext>
          </c:extLst>
        </c:ser>
        <c:dLbls>
          <c:showLegendKey val="0"/>
          <c:showVal val="0"/>
          <c:showCatName val="0"/>
          <c:showSerName val="0"/>
          <c:showPercent val="0"/>
          <c:showBubbleSize val="0"/>
        </c:dLbls>
        <c:marker val="1"/>
        <c:smooth val="0"/>
        <c:axId val="102317768"/>
        <c:axId val="102318160"/>
      </c:lineChart>
      <c:lineChart>
        <c:grouping val="standard"/>
        <c:varyColors val="0"/>
        <c:ser>
          <c:idx val="1"/>
          <c:order val="1"/>
          <c:tx>
            <c:v>Maritime GVA (RHS)</c:v>
          </c:tx>
          <c:spPr>
            <a:ln w="28575" cap="rnd">
              <a:solidFill>
                <a:schemeClr val="accent2"/>
              </a:solidFill>
              <a:round/>
            </a:ln>
            <a:effectLst/>
          </c:spPr>
          <c:marker>
            <c:symbol val="none"/>
          </c:marker>
          <c:cat>
            <c:multiLvlStrRef>
              <c:f>'[12]Complete GVA Forecast'!$C$5:$M$5</c:f>
            </c:multiLvlStrRef>
          </c:cat>
          <c:val>
            <c:numRef>
              <c:f>'Report chart'!$C$8:$C$16</c:f>
              <c:numCache>
                <c:formatCode>#,##0</c:formatCode>
                <c:ptCount val="9"/>
                <c:pt idx="0">
                  <c:v>3777.4827944073872</c:v>
                </c:pt>
                <c:pt idx="1">
                  <c:v>2848.4347708926075</c:v>
                </c:pt>
                <c:pt idx="2">
                  <c:v>3697.4495765227812</c:v>
                </c:pt>
                <c:pt idx="3" formatCode="General">
                  <c:v>3574.4420298459277</c:v>
                </c:pt>
                <c:pt idx="4" formatCode="General">
                  <c:v>3656.0424761698728</c:v>
                </c:pt>
                <c:pt idx="5" formatCode="General">
                  <c:v>3711.6162277463054</c:v>
                </c:pt>
                <c:pt idx="6" formatCode="General">
                  <c:v>3832.3001485699406</c:v>
                </c:pt>
                <c:pt idx="7" formatCode="General">
                  <c:v>3951.5671655750962</c:v>
                </c:pt>
                <c:pt idx="8" formatCode="General">
                  <c:v>4073.5060585089655</c:v>
                </c:pt>
              </c:numCache>
            </c:numRef>
          </c:val>
          <c:smooth val="0"/>
          <c:extLst xmlns:c16r2="http://schemas.microsoft.com/office/drawing/2015/06/chart">
            <c:ext xmlns:c16="http://schemas.microsoft.com/office/drawing/2014/chart" uri="{C3380CC4-5D6E-409C-BE32-E72D297353CC}">
              <c16:uniqueId val="{00000001-CA65-4B37-AB0D-70D4B0F4D42E}"/>
            </c:ext>
          </c:extLst>
        </c:ser>
        <c:dLbls>
          <c:showLegendKey val="0"/>
          <c:showVal val="0"/>
          <c:showCatName val="0"/>
          <c:showSerName val="0"/>
          <c:showPercent val="0"/>
          <c:showBubbleSize val="0"/>
        </c:dLbls>
        <c:marker val="1"/>
        <c:smooth val="0"/>
        <c:axId val="102320904"/>
        <c:axId val="102318552"/>
      </c:lineChart>
      <c:catAx>
        <c:axId val="102317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2318160"/>
        <c:crosses val="autoZero"/>
        <c:auto val="1"/>
        <c:lblAlgn val="ctr"/>
        <c:lblOffset val="100"/>
        <c:noMultiLvlLbl val="0"/>
      </c:catAx>
      <c:valAx>
        <c:axId val="102318160"/>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2317768"/>
        <c:crosses val="autoZero"/>
        <c:crossBetween val="between"/>
      </c:valAx>
      <c:valAx>
        <c:axId val="102318552"/>
        <c:scaling>
          <c:orientation val="minMax"/>
          <c:max val="5000"/>
          <c:min val="20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2320904"/>
        <c:crosses val="max"/>
        <c:crossBetween val="between"/>
      </c:valAx>
      <c:catAx>
        <c:axId val="102320904"/>
        <c:scaling>
          <c:orientation val="minMax"/>
        </c:scaling>
        <c:delete val="1"/>
        <c:axPos val="b"/>
        <c:numFmt formatCode="General" sourceLinked="1"/>
        <c:majorTickMark val="out"/>
        <c:minorTickMark val="none"/>
        <c:tickLblPos val="nextTo"/>
        <c:crossAx val="10231855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'Scotland Summary'!$C$33</c:f>
              <c:strCache>
                <c:ptCount val="1"/>
                <c:pt idx="0">
                  <c:v>Turnover</c:v>
                </c:pt>
              </c:strCache>
            </c:strRef>
          </c:tx>
          <c:spPr>
            <a:solidFill>
              <a:schemeClr val="accent1"/>
            </a:solidFill>
            <a:ln>
              <a:noFill/>
            </a:ln>
            <a:effectLst/>
          </c:spPr>
          <c:invertIfNegative val="0"/>
          <c:dPt>
            <c:idx val="0"/>
            <c:invertIfNegative val="0"/>
            <c:bubble3D val="0"/>
            <c:spPr>
              <a:solidFill>
                <a:schemeClr val="accent2"/>
              </a:solidFill>
              <a:ln>
                <a:noFill/>
              </a:ln>
              <a:effectLst/>
            </c:spPr>
          </c:dPt>
          <c:cat>
            <c:strRef>
              <c:f>'Scotland Summary'!$B$34:$B$39</c:f>
              <c:strCache>
                <c:ptCount val="6"/>
                <c:pt idx="0">
                  <c:v>Maritime</c:v>
                </c:pt>
                <c:pt idx="1">
                  <c:v>Architectural and engineering activities; </c:v>
                </c:pt>
                <c:pt idx="2">
                  <c:v>Warehousing and support activities  </c:v>
                </c:pt>
                <c:pt idx="3">
                  <c:v>Civil engineering </c:v>
                </c:pt>
                <c:pt idx="4">
                  <c:v>Manufacture of machinery and equipment </c:v>
                </c:pt>
                <c:pt idx="5">
                  <c:v>Postal and courier activities </c:v>
                </c:pt>
              </c:strCache>
            </c:strRef>
          </c:cat>
          <c:val>
            <c:numRef>
              <c:f>'Scotland Summary'!$C$34:$C$39</c:f>
              <c:numCache>
                <c:formatCode>#,##0</c:formatCode>
                <c:ptCount val="6"/>
                <c:pt idx="0" formatCode="_-* #,##0_-;\-* #,##0_-;_-* &quot;-&quot;??_-;_-@_-">
                  <c:v>9876.0142589573661</c:v>
                </c:pt>
                <c:pt idx="1">
                  <c:v>8706</c:v>
                </c:pt>
                <c:pt idx="2">
                  <c:v>6360</c:v>
                </c:pt>
                <c:pt idx="3">
                  <c:v>3480</c:v>
                </c:pt>
                <c:pt idx="4">
                  <c:v>2225</c:v>
                </c:pt>
                <c:pt idx="5">
                  <c:v>1167</c:v>
                </c:pt>
              </c:numCache>
            </c:numRef>
          </c:val>
        </c:ser>
        <c:dLbls>
          <c:showLegendKey val="0"/>
          <c:showVal val="0"/>
          <c:showCatName val="0"/>
          <c:showSerName val="0"/>
          <c:showPercent val="0"/>
          <c:showBubbleSize val="0"/>
        </c:dLbls>
        <c:gapWidth val="219"/>
        <c:axId val="97621512"/>
        <c:axId val="97625824"/>
      </c:barChart>
      <c:lineChart>
        <c:grouping val="standard"/>
        <c:varyColors val="0"/>
        <c:ser>
          <c:idx val="1"/>
          <c:order val="1"/>
          <c:tx>
            <c:strRef>
              <c:f>'Scotland Summary'!$D$33</c:f>
              <c:strCache>
                <c:ptCount val="1"/>
              </c:strCache>
            </c:strRef>
          </c:tx>
          <c:spPr>
            <a:ln w="15875" cap="rnd">
              <a:noFill/>
              <a:round/>
            </a:ln>
            <a:effectLst/>
          </c:spPr>
          <c:marker>
            <c:symbol val="circle"/>
            <c:size val="5"/>
            <c:spPr>
              <a:solidFill>
                <a:schemeClr val="accent5"/>
              </a:solidFill>
              <a:ln w="15875">
                <a:solidFill>
                  <a:schemeClr val="accent5"/>
                </a:solidFill>
              </a:ln>
              <a:effectLst/>
            </c:spPr>
          </c:marker>
          <c:cat>
            <c:strRef>
              <c:f>'Scotland Summary'!$B$34:$B$39</c:f>
              <c:strCache>
                <c:ptCount val="6"/>
                <c:pt idx="0">
                  <c:v>Maritime</c:v>
                </c:pt>
                <c:pt idx="1">
                  <c:v>Architectural and engineering activities; </c:v>
                </c:pt>
                <c:pt idx="2">
                  <c:v>Warehousing and support activities  </c:v>
                </c:pt>
                <c:pt idx="3">
                  <c:v>Civil engineering </c:v>
                </c:pt>
                <c:pt idx="4">
                  <c:v>Manufacture of machinery and equipment </c:v>
                </c:pt>
                <c:pt idx="5">
                  <c:v>Postal and courier activities </c:v>
                </c:pt>
              </c:strCache>
            </c:strRef>
          </c:cat>
          <c:val>
            <c:numRef>
              <c:f>'Scotland Summary'!$D$34:$D$39</c:f>
              <c:numCache>
                <c:formatCode>0.0%</c:formatCode>
                <c:ptCount val="6"/>
                <c:pt idx="0">
                  <c:v>0.23632139868819133</c:v>
                </c:pt>
                <c:pt idx="1">
                  <c:v>0.19538651654537964</c:v>
                </c:pt>
                <c:pt idx="2">
                  <c:v>0.94852941176470584</c:v>
                </c:pt>
                <c:pt idx="3">
                  <c:v>-4.6836483155299917E-2</c:v>
                </c:pt>
                <c:pt idx="4">
                  <c:v>-0.10318419991938735</c:v>
                </c:pt>
                <c:pt idx="5">
                  <c:v>0.29666666666666669</c:v>
                </c:pt>
              </c:numCache>
            </c:numRef>
          </c:val>
          <c:smooth val="0"/>
        </c:ser>
        <c:dLbls>
          <c:showLegendKey val="0"/>
          <c:showVal val="0"/>
          <c:showCatName val="0"/>
          <c:showSerName val="0"/>
          <c:showPercent val="0"/>
          <c:showBubbleSize val="0"/>
        </c:dLbls>
        <c:marker val="1"/>
        <c:smooth val="0"/>
        <c:axId val="97627392"/>
        <c:axId val="97627000"/>
      </c:lineChart>
      <c:catAx>
        <c:axId val="9762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625824"/>
        <c:crosses val="autoZero"/>
        <c:auto val="1"/>
        <c:lblAlgn val="ctr"/>
        <c:lblOffset val="100"/>
        <c:noMultiLvlLbl val="0"/>
      </c:catAx>
      <c:valAx>
        <c:axId val="97625824"/>
        <c:scaling>
          <c:orientation val="minMax"/>
          <c:max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621512"/>
        <c:crosses val="autoZero"/>
        <c:crossBetween val="between"/>
      </c:valAx>
      <c:valAx>
        <c:axId val="97627000"/>
        <c:scaling>
          <c:orientation val="minMax"/>
          <c:max val="1"/>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growth since 2010</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627392"/>
        <c:crosses val="max"/>
        <c:crossBetween val="between"/>
      </c:valAx>
      <c:catAx>
        <c:axId val="97627392"/>
        <c:scaling>
          <c:orientation val="minMax"/>
        </c:scaling>
        <c:delete val="1"/>
        <c:axPos val="b"/>
        <c:numFmt formatCode="General" sourceLinked="1"/>
        <c:majorTickMark val="out"/>
        <c:minorTickMark val="none"/>
        <c:tickLblPos val="nextTo"/>
        <c:crossAx val="97627000"/>
        <c:crosses val="autoZero"/>
        <c:auto val="1"/>
        <c:lblAlgn val="ctr"/>
        <c:lblOffset val="100"/>
        <c:noMultiLvlLbl val="0"/>
      </c:catAx>
      <c:spPr>
        <a:noFill/>
        <a:ln>
          <a:noFill/>
        </a:ln>
        <a:effectLst/>
      </c:spPr>
    </c:plotArea>
    <c:plotVisOnly val="1"/>
    <c:dispBlanksAs val="gap"/>
    <c:showDLblsOverMax val="0"/>
  </c:chart>
  <c:spPr>
    <a:solidFill>
      <a:schemeClr val="bg1"/>
    </a:solidFill>
    <a:ln w="1587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53954245104384"/>
          <c:y val="5.0925925925925923E-2"/>
          <c:w val="0.80311658674434327"/>
          <c:h val="0.71038765014186311"/>
        </c:manualLayout>
      </c:layout>
      <c:barChart>
        <c:barDir val="col"/>
        <c:grouping val="stacked"/>
        <c:varyColors val="0"/>
        <c:ser>
          <c:idx val="2"/>
          <c:order val="0"/>
          <c:tx>
            <c:strRef>
              <c:f>Charts_EI_Sco!$B$4</c:f>
              <c:strCache>
                <c:ptCount val="1"/>
                <c:pt idx="0">
                  <c:v>Shipping</c:v>
                </c:pt>
              </c:strCache>
            </c:strRef>
          </c:tx>
          <c:spPr>
            <a:solidFill>
              <a:schemeClr val="accent1"/>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Charts_EI_Sco!$C$4:$J$4</c:f>
              <c:numCache>
                <c:formatCode>#,##0_ ;\-#,##0\ </c:formatCode>
                <c:ptCount val="8"/>
                <c:pt idx="0">
                  <c:v>439.62092474557153</c:v>
                </c:pt>
                <c:pt idx="1">
                  <c:v>531.6579059853442</c:v>
                </c:pt>
                <c:pt idx="2">
                  <c:v>663.79416682772717</c:v>
                </c:pt>
                <c:pt idx="3">
                  <c:v>485.40148111675029</c:v>
                </c:pt>
                <c:pt idx="4">
                  <c:v>680.49829619374452</c:v>
                </c:pt>
                <c:pt idx="5">
                  <c:v>619.09608333543827</c:v>
                </c:pt>
                <c:pt idx="6">
                  <c:v>817.49576000350089</c:v>
                </c:pt>
                <c:pt idx="7">
                  <c:v>861.54002958260332</c:v>
                </c:pt>
              </c:numCache>
            </c:numRef>
          </c:val>
        </c:ser>
        <c:ser>
          <c:idx val="4"/>
          <c:order val="1"/>
          <c:tx>
            <c:strRef>
              <c:f>Charts_EI_Sco!$B$5</c:f>
              <c:strCache>
                <c:ptCount val="1"/>
                <c:pt idx="0">
                  <c:v>Ports</c:v>
                </c:pt>
              </c:strCache>
            </c:strRef>
          </c:tx>
          <c:spPr>
            <a:solidFill>
              <a:schemeClr val="accent2"/>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Charts_EI_Sco!$C$5:$J$5</c:f>
              <c:numCache>
                <c:formatCode>#,##0_ ;\-#,##0\ </c:formatCode>
                <c:ptCount val="8"/>
                <c:pt idx="0">
                  <c:v>164.17934335272969</c:v>
                </c:pt>
                <c:pt idx="1">
                  <c:v>165.80871272314565</c:v>
                </c:pt>
                <c:pt idx="2">
                  <c:v>236.59875393175267</c:v>
                </c:pt>
                <c:pt idx="3">
                  <c:v>209.82295132319433</c:v>
                </c:pt>
                <c:pt idx="4">
                  <c:v>186.11850708142029</c:v>
                </c:pt>
                <c:pt idx="5">
                  <c:v>168.70852963664203</c:v>
                </c:pt>
                <c:pt idx="6">
                  <c:v>197.55032266493185</c:v>
                </c:pt>
                <c:pt idx="7">
                  <c:v>238.4788887703377</c:v>
                </c:pt>
              </c:numCache>
            </c:numRef>
          </c:val>
        </c:ser>
        <c:ser>
          <c:idx val="0"/>
          <c:order val="2"/>
          <c:tx>
            <c:strRef>
              <c:f>Charts_EI_Sco!$B$6</c:f>
              <c:strCache>
                <c:ptCount val="1"/>
                <c:pt idx="0">
                  <c:v>Leisure Marine</c:v>
                </c:pt>
              </c:strCache>
            </c:strRef>
          </c:tx>
          <c:spPr>
            <a:solidFill>
              <a:schemeClr val="accent3"/>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Charts_EI_Sco!$C$6:$J$6</c:f>
              <c:numCache>
                <c:formatCode>#,##0_ ;\-#,##0\ </c:formatCode>
                <c:ptCount val="8"/>
                <c:pt idx="0">
                  <c:v>20.040328811200464</c:v>
                </c:pt>
                <c:pt idx="1">
                  <c:v>19.926616754533615</c:v>
                </c:pt>
                <c:pt idx="2">
                  <c:v>23.575071992608382</c:v>
                </c:pt>
                <c:pt idx="3">
                  <c:v>21.89165503937144</c:v>
                </c:pt>
                <c:pt idx="4">
                  <c:v>31.559278464419286</c:v>
                </c:pt>
                <c:pt idx="5">
                  <c:v>31.585169017559291</c:v>
                </c:pt>
                <c:pt idx="6">
                  <c:v>27.861955430618</c:v>
                </c:pt>
                <c:pt idx="7">
                  <c:v>15.85636508567447</c:v>
                </c:pt>
              </c:numCache>
            </c:numRef>
          </c:val>
        </c:ser>
        <c:ser>
          <c:idx val="1"/>
          <c:order val="3"/>
          <c:tx>
            <c:strRef>
              <c:f>Charts_EI_Sco!$B$8</c:f>
              <c:strCache>
                <c:ptCount val="1"/>
                <c:pt idx="0">
                  <c:v>Marine Offshore Oil &amp; Gas</c:v>
                </c:pt>
              </c:strCache>
            </c:strRef>
          </c:tx>
          <c:spPr>
            <a:solidFill>
              <a:schemeClr val="accent5">
                <a:lumMod val="60000"/>
                <a:lumOff val="40000"/>
              </a:schemeClr>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Charts_EI_Sco!$C$8:$J$8</c:f>
              <c:numCache>
                <c:formatCode>#,##0_ ;\-#,##0\ </c:formatCode>
                <c:ptCount val="8"/>
                <c:pt idx="0">
                  <c:v>2388.7752518847528</c:v>
                </c:pt>
                <c:pt idx="1">
                  <c:v>1786.112318357119</c:v>
                </c:pt>
                <c:pt idx="2">
                  <c:v>2127.3343517290377</c:v>
                </c:pt>
                <c:pt idx="3">
                  <c:v>2100.5114298662056</c:v>
                </c:pt>
                <c:pt idx="4">
                  <c:v>1906.2275452411725</c:v>
                </c:pt>
                <c:pt idx="5">
                  <c:v>2303.0962294626092</c:v>
                </c:pt>
                <c:pt idx="6">
                  <c:v>1130.2484739273725</c:v>
                </c:pt>
                <c:pt idx="7">
                  <c:v>1951.8012300720623</c:v>
                </c:pt>
              </c:numCache>
            </c:numRef>
          </c:val>
        </c:ser>
        <c:ser>
          <c:idx val="3"/>
          <c:order val="4"/>
          <c:tx>
            <c:strRef>
              <c:f>Charts_EI_Sco!$B$9</c:f>
              <c:strCache>
                <c:ptCount val="1"/>
                <c:pt idx="0">
                  <c:v>Other Marine Engineering</c:v>
                </c:pt>
              </c:strCache>
            </c:strRef>
          </c:tx>
          <c:spPr>
            <a:solidFill>
              <a:schemeClr val="accent4"/>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Charts_EI_Sco!$C$9:$J$9</c:f>
              <c:numCache>
                <c:formatCode>#,##0_ ;\-#,##0\ </c:formatCode>
                <c:ptCount val="8"/>
                <c:pt idx="0">
                  <c:v>335.21713180124561</c:v>
                </c:pt>
                <c:pt idx="1">
                  <c:v>454.25883653467554</c:v>
                </c:pt>
                <c:pt idx="2">
                  <c:v>572.37329318730281</c:v>
                </c:pt>
                <c:pt idx="3">
                  <c:v>603.66620205991057</c:v>
                </c:pt>
                <c:pt idx="4">
                  <c:v>724.87230308914263</c:v>
                </c:pt>
                <c:pt idx="5">
                  <c:v>614.85397004269953</c:v>
                </c:pt>
                <c:pt idx="6">
                  <c:v>634.13641351149136</c:v>
                </c:pt>
                <c:pt idx="7">
                  <c:v>591.51459388997114</c:v>
                </c:pt>
              </c:numCache>
            </c:numRef>
          </c:val>
        </c:ser>
        <c:ser>
          <c:idx val="6"/>
          <c:order val="5"/>
          <c:tx>
            <c:strRef>
              <c:f>Charts_EI_Sco!$B$10</c:f>
              <c:strCache>
                <c:ptCount val="1"/>
                <c:pt idx="0">
                  <c:v>MBS</c:v>
                </c:pt>
              </c:strCache>
            </c:strRef>
          </c:tx>
          <c:spPr>
            <a:solidFill>
              <a:srgbClr val="7030A0"/>
            </a:solidFill>
            <a:ln>
              <a:noFill/>
            </a:ln>
            <a:effectLst/>
          </c:spPr>
          <c:invertIfNegative val="0"/>
          <c:val>
            <c:numRef>
              <c:f>Charts_EI_Sco!$C$10:$J$10</c:f>
              <c:numCache>
                <c:formatCode>#,##0_ ;\-#,##0\ </c:formatCode>
                <c:ptCount val="8"/>
                <c:pt idx="0">
                  <c:v>36.79304322794583</c:v>
                </c:pt>
                <c:pt idx="1">
                  <c:v>42.231206432242566</c:v>
                </c:pt>
                <c:pt idx="2">
                  <c:v>45.26229818237298</c:v>
                </c:pt>
                <c:pt idx="3">
                  <c:v>54.119482201358544</c:v>
                </c:pt>
                <c:pt idx="4">
                  <c:v>50.621312091627551</c:v>
                </c:pt>
                <c:pt idx="5">
                  <c:v>40.947372386211903</c:v>
                </c:pt>
                <c:pt idx="6">
                  <c:v>51.16565893909651</c:v>
                </c:pt>
                <c:pt idx="7">
                  <c:v>54.400283442165787</c:v>
                </c:pt>
              </c:numCache>
            </c:numRef>
          </c:val>
        </c:ser>
        <c:dLbls>
          <c:showLegendKey val="0"/>
          <c:showVal val="0"/>
          <c:showCatName val="0"/>
          <c:showSerName val="0"/>
          <c:showPercent val="0"/>
          <c:showBubbleSize val="0"/>
        </c:dLbls>
        <c:gapWidth val="150"/>
        <c:overlap val="100"/>
        <c:axId val="97622296"/>
        <c:axId val="95846336"/>
      </c:barChart>
      <c:lineChart>
        <c:grouping val="standard"/>
        <c:varyColors val="0"/>
        <c:ser>
          <c:idx val="5"/>
          <c:order val="6"/>
          <c:tx>
            <c:strRef>
              <c:f>Charts_EI_Sco!$B$11</c:f>
              <c:strCache>
                <c:ptCount val="1"/>
                <c:pt idx="0">
                  <c:v>Scotland as % Sector (RHS)</c:v>
                </c:pt>
              </c:strCache>
            </c:strRef>
          </c:tx>
          <c:spPr>
            <a:ln w="28575" cap="rnd">
              <a:solidFill>
                <a:srgbClr val="FF0000"/>
              </a:solidFill>
              <a:round/>
            </a:ln>
            <a:effectLst/>
          </c:spPr>
          <c:marker>
            <c:symbol val="none"/>
          </c:marker>
          <c:cat>
            <c:numRef>
              <c:f>Charts_EI_Sco!$C$3:$H$3</c:f>
              <c:numCache>
                <c:formatCode>General</c:formatCode>
                <c:ptCount val="6"/>
                <c:pt idx="0">
                  <c:v>2010</c:v>
                </c:pt>
                <c:pt idx="1">
                  <c:v>2011</c:v>
                </c:pt>
                <c:pt idx="2">
                  <c:v>2012</c:v>
                </c:pt>
                <c:pt idx="3">
                  <c:v>2013</c:v>
                </c:pt>
                <c:pt idx="4">
                  <c:v>2014</c:v>
                </c:pt>
                <c:pt idx="5">
                  <c:v>2015</c:v>
                </c:pt>
              </c:numCache>
            </c:numRef>
          </c:cat>
          <c:val>
            <c:numRef>
              <c:f>Charts_EI_Sco!$C$11:$J$11</c:f>
              <c:numCache>
                <c:formatCode>0.0%</c:formatCode>
                <c:ptCount val="8"/>
                <c:pt idx="0">
                  <c:v>0.24802223826357087</c:v>
                </c:pt>
                <c:pt idx="1">
                  <c:v>0.21983687930622522</c:v>
                </c:pt>
                <c:pt idx="2">
                  <c:v>0.26885635000580765</c:v>
                </c:pt>
                <c:pt idx="3">
                  <c:v>0.25467503797643881</c:v>
                </c:pt>
                <c:pt idx="4">
                  <c:v>0.26233153101844797</c:v>
                </c:pt>
                <c:pt idx="5">
                  <c:v>0.27686937337140571</c:v>
                </c:pt>
                <c:pt idx="6">
                  <c:v>0.20946517905243428</c:v>
                </c:pt>
                <c:pt idx="7">
                  <c:v>0.27212851354038031</c:v>
                </c:pt>
              </c:numCache>
            </c:numRef>
          </c:val>
          <c:smooth val="0"/>
        </c:ser>
        <c:dLbls>
          <c:showLegendKey val="0"/>
          <c:showVal val="0"/>
          <c:showCatName val="0"/>
          <c:showSerName val="0"/>
          <c:showPercent val="0"/>
          <c:showBubbleSize val="0"/>
        </c:dLbls>
        <c:marker val="1"/>
        <c:smooth val="0"/>
        <c:axId val="101906216"/>
        <c:axId val="101907392"/>
      </c:lineChart>
      <c:catAx>
        <c:axId val="9762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846336"/>
        <c:crosses val="autoZero"/>
        <c:auto val="1"/>
        <c:lblAlgn val="ctr"/>
        <c:lblOffset val="100"/>
        <c:noMultiLvlLbl val="0"/>
      </c:catAx>
      <c:valAx>
        <c:axId val="9584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million</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622296"/>
        <c:crosses val="autoZero"/>
        <c:crossBetween val="between"/>
      </c:valAx>
      <c:valAx>
        <c:axId val="101907392"/>
        <c:scaling>
          <c:orientation val="minMax"/>
          <c:max val="0.30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Scotland</a:t>
                </a:r>
                <a:r>
                  <a:rPr lang="en-GB" baseline="0"/>
                  <a:t> as % share of UK Maritime sector</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6216"/>
        <c:crosses val="max"/>
        <c:crossBetween val="between"/>
        <c:majorUnit val="5.000000000000001E-2"/>
      </c:valAx>
      <c:catAx>
        <c:axId val="101906216"/>
        <c:scaling>
          <c:orientation val="minMax"/>
        </c:scaling>
        <c:delete val="1"/>
        <c:axPos val="b"/>
        <c:numFmt formatCode="General" sourceLinked="1"/>
        <c:majorTickMark val="out"/>
        <c:minorTickMark val="none"/>
        <c:tickLblPos val="nextTo"/>
        <c:crossAx val="101907392"/>
        <c:crosses val="autoZero"/>
        <c:auto val="1"/>
        <c:lblAlgn val="ctr"/>
        <c:lblOffset val="100"/>
        <c:noMultiLvlLbl val="0"/>
      </c:catAx>
      <c:spPr>
        <a:noFill/>
        <a:ln>
          <a:noFill/>
        </a:ln>
        <a:effectLst/>
      </c:spPr>
    </c:plotArea>
    <c:legend>
      <c:legendPos val="b"/>
      <c:layout>
        <c:manualLayout>
          <c:xMode val="edge"/>
          <c:yMode val="edge"/>
          <c:x val="0"/>
          <c:y val="0.82959354379767936"/>
          <c:w val="0.99901668755402251"/>
          <c:h val="0.17040645620232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'Scotland Summary'!$C$24</c:f>
              <c:strCache>
                <c:ptCount val="1"/>
                <c:pt idx="0">
                  <c:v>GVA</c:v>
                </c:pt>
              </c:strCache>
            </c:strRef>
          </c:tx>
          <c:spPr>
            <a:solidFill>
              <a:schemeClr val="accent1"/>
            </a:solidFill>
            <a:ln>
              <a:noFill/>
            </a:ln>
            <a:effectLst/>
          </c:spPr>
          <c:invertIfNegative val="0"/>
          <c:dPt>
            <c:idx val="1"/>
            <c:invertIfNegative val="0"/>
            <c:bubble3D val="0"/>
            <c:spPr>
              <a:solidFill>
                <a:schemeClr val="accent2"/>
              </a:solidFill>
              <a:ln>
                <a:noFill/>
              </a:ln>
              <a:effectLst/>
            </c:spPr>
          </c:dPt>
          <c:cat>
            <c:strRef>
              <c:f>'Scotland Summary'!$B$25:$B$30</c:f>
              <c:strCache>
                <c:ptCount val="6"/>
                <c:pt idx="0">
                  <c:v>Architectural and engineering activities; </c:v>
                </c:pt>
                <c:pt idx="1">
                  <c:v>Maritime</c:v>
                </c:pt>
                <c:pt idx="2">
                  <c:v>Warehousing and support activities  </c:v>
                </c:pt>
                <c:pt idx="3">
                  <c:v>Civil engineering </c:v>
                </c:pt>
                <c:pt idx="4">
                  <c:v>Manufacture of machinery and equipment </c:v>
                </c:pt>
                <c:pt idx="5">
                  <c:v>Postal and courier activities </c:v>
                </c:pt>
              </c:strCache>
            </c:strRef>
          </c:cat>
          <c:val>
            <c:numRef>
              <c:f>'Scotland Summary'!$C$25:$C$30</c:f>
              <c:numCache>
                <c:formatCode>_-* #,##0_-;\-* #,##0_-;_-* "-"??_-;_-@_-</c:formatCode>
                <c:ptCount val="6"/>
                <c:pt idx="0" formatCode="#,##0">
                  <c:v>4271</c:v>
                </c:pt>
                <c:pt idx="1">
                  <c:v>3713.5913908428147</c:v>
                </c:pt>
                <c:pt idx="2" formatCode="#,##0">
                  <c:v>3157</c:v>
                </c:pt>
                <c:pt idx="3" formatCode="#,##0">
                  <c:v>1301</c:v>
                </c:pt>
                <c:pt idx="4" formatCode="#,##0">
                  <c:v>696</c:v>
                </c:pt>
                <c:pt idx="5" formatCode="#,##0">
                  <c:v>676</c:v>
                </c:pt>
              </c:numCache>
            </c:numRef>
          </c:val>
        </c:ser>
        <c:dLbls>
          <c:showLegendKey val="0"/>
          <c:showVal val="0"/>
          <c:showCatName val="0"/>
          <c:showSerName val="0"/>
          <c:showPercent val="0"/>
          <c:showBubbleSize val="0"/>
        </c:dLbls>
        <c:gapWidth val="219"/>
        <c:axId val="101900336"/>
        <c:axId val="101903864"/>
      </c:barChart>
      <c:lineChart>
        <c:grouping val="standard"/>
        <c:varyColors val="0"/>
        <c:ser>
          <c:idx val="1"/>
          <c:order val="1"/>
          <c:tx>
            <c:strRef>
              <c:f>'Scotland Summary'!$D$24</c:f>
              <c:strCache>
                <c:ptCount val="1"/>
              </c:strCache>
            </c:strRef>
          </c:tx>
          <c:spPr>
            <a:ln w="28575" cap="rnd">
              <a:noFill/>
              <a:round/>
            </a:ln>
            <a:effectLst/>
          </c:spPr>
          <c:marker>
            <c:symbol val="circle"/>
            <c:size val="5"/>
            <c:spPr>
              <a:solidFill>
                <a:schemeClr val="accent5"/>
              </a:solidFill>
              <a:ln w="15875">
                <a:solidFill>
                  <a:schemeClr val="accent5"/>
                </a:solidFill>
              </a:ln>
              <a:effectLst/>
            </c:spPr>
          </c:marker>
          <c:cat>
            <c:strRef>
              <c:f>'Scotland Summary'!$B$25:$B$30</c:f>
              <c:strCache>
                <c:ptCount val="6"/>
                <c:pt idx="0">
                  <c:v>Architectural and engineering activities; </c:v>
                </c:pt>
                <c:pt idx="1">
                  <c:v>Maritime</c:v>
                </c:pt>
                <c:pt idx="2">
                  <c:v>Warehousing and support activities  </c:v>
                </c:pt>
                <c:pt idx="3">
                  <c:v>Civil engineering </c:v>
                </c:pt>
                <c:pt idx="4">
                  <c:v>Manufacture of machinery and equipment </c:v>
                </c:pt>
                <c:pt idx="5">
                  <c:v>Postal and courier activities </c:v>
                </c:pt>
              </c:strCache>
            </c:strRef>
          </c:cat>
          <c:val>
            <c:numRef>
              <c:f>'Scotland Summary'!$D$25:$D$30</c:f>
              <c:numCache>
                <c:formatCode>0.0%</c:formatCode>
                <c:ptCount val="6"/>
                <c:pt idx="0">
                  <c:v>7.3925069147598693E-2</c:v>
                </c:pt>
                <c:pt idx="1">
                  <c:v>9.7194007463120791E-2</c:v>
                </c:pt>
                <c:pt idx="2">
                  <c:v>0.70648648648648649</c:v>
                </c:pt>
                <c:pt idx="3">
                  <c:v>5.9446254071661236E-2</c:v>
                </c:pt>
                <c:pt idx="4">
                  <c:v>-0.26193001060445387</c:v>
                </c:pt>
                <c:pt idx="5">
                  <c:v>0.14189189189189189</c:v>
                </c:pt>
              </c:numCache>
            </c:numRef>
          </c:val>
          <c:smooth val="0"/>
        </c:ser>
        <c:dLbls>
          <c:showLegendKey val="0"/>
          <c:showVal val="0"/>
          <c:showCatName val="0"/>
          <c:showSerName val="0"/>
          <c:showPercent val="0"/>
          <c:showBubbleSize val="0"/>
        </c:dLbls>
        <c:marker val="1"/>
        <c:smooth val="0"/>
        <c:axId val="101904256"/>
        <c:axId val="101905432"/>
      </c:lineChart>
      <c:catAx>
        <c:axId val="10190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3864"/>
        <c:crosses val="autoZero"/>
        <c:auto val="1"/>
        <c:lblAlgn val="ctr"/>
        <c:lblOffset val="100"/>
        <c:noMultiLvlLbl val="0"/>
      </c:catAx>
      <c:valAx>
        <c:axId val="101903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0336"/>
        <c:crosses val="autoZero"/>
        <c:crossBetween val="between"/>
      </c:valAx>
      <c:valAx>
        <c:axId val="10190543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growth since 2010</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4256"/>
        <c:crosses val="max"/>
        <c:crossBetween val="between"/>
      </c:valAx>
      <c:catAx>
        <c:axId val="101904256"/>
        <c:scaling>
          <c:orientation val="minMax"/>
        </c:scaling>
        <c:delete val="1"/>
        <c:axPos val="b"/>
        <c:numFmt formatCode="General" sourceLinked="1"/>
        <c:majorTickMark val="out"/>
        <c:minorTickMark val="none"/>
        <c:tickLblPos val="nextTo"/>
        <c:crossAx val="10190543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53954245104384"/>
          <c:y val="5.0925925925925923E-2"/>
          <c:w val="0.80311658674434327"/>
          <c:h val="0.74450387299148579"/>
        </c:manualLayout>
      </c:layout>
      <c:barChart>
        <c:barDir val="col"/>
        <c:grouping val="stacked"/>
        <c:varyColors val="0"/>
        <c:ser>
          <c:idx val="2"/>
          <c:order val="0"/>
          <c:tx>
            <c:strRef>
              <c:f>Charts_EI_Sco!$B$24</c:f>
              <c:strCache>
                <c:ptCount val="1"/>
                <c:pt idx="0">
                  <c:v>Shipping</c:v>
                </c:pt>
              </c:strCache>
            </c:strRef>
          </c:tx>
          <c:spPr>
            <a:solidFill>
              <a:schemeClr val="accent1"/>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Charts_EI_Sco!$C$24:$J$24</c:f>
              <c:numCache>
                <c:formatCode>#,##0_ ;\-#,##0\ </c:formatCode>
                <c:ptCount val="8"/>
                <c:pt idx="0">
                  <c:v>6098.2320879435674</c:v>
                </c:pt>
                <c:pt idx="1">
                  <c:v>7003.5867628962451</c:v>
                </c:pt>
                <c:pt idx="2">
                  <c:v>7633.2425135972489</c:v>
                </c:pt>
                <c:pt idx="3">
                  <c:v>7136.2443873663633</c:v>
                </c:pt>
                <c:pt idx="4">
                  <c:v>8032.0670167207854</c:v>
                </c:pt>
                <c:pt idx="5">
                  <c:v>7151.7250909302957</c:v>
                </c:pt>
                <c:pt idx="6">
                  <c:v>7949.8700088225196</c:v>
                </c:pt>
                <c:pt idx="7">
                  <c:v>8263.8817548859115</c:v>
                </c:pt>
              </c:numCache>
            </c:numRef>
          </c:val>
        </c:ser>
        <c:ser>
          <c:idx val="4"/>
          <c:order val="1"/>
          <c:tx>
            <c:strRef>
              <c:f>Charts_EI_Sco!$B$25</c:f>
              <c:strCache>
                <c:ptCount val="1"/>
                <c:pt idx="0">
                  <c:v>Ports</c:v>
                </c:pt>
              </c:strCache>
            </c:strRef>
          </c:tx>
          <c:spPr>
            <a:solidFill>
              <a:schemeClr val="accent2"/>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Charts_EI_Sco!$C$25:$J$25</c:f>
              <c:numCache>
                <c:formatCode>#,##0_ ;\-#,##0\ </c:formatCode>
                <c:ptCount val="8"/>
                <c:pt idx="0">
                  <c:v>2621.5315259175973</c:v>
                </c:pt>
                <c:pt idx="1">
                  <c:v>2780.278819522905</c:v>
                </c:pt>
                <c:pt idx="2">
                  <c:v>2376.8141864125987</c:v>
                </c:pt>
                <c:pt idx="3">
                  <c:v>2870.6946447945966</c:v>
                </c:pt>
                <c:pt idx="4">
                  <c:v>2384.9758010496626</c:v>
                </c:pt>
                <c:pt idx="5">
                  <c:v>2190.4312034041491</c:v>
                </c:pt>
                <c:pt idx="6">
                  <c:v>2603.6624274116675</c:v>
                </c:pt>
                <c:pt idx="7">
                  <c:v>2704.18114084947</c:v>
                </c:pt>
              </c:numCache>
            </c:numRef>
          </c:val>
        </c:ser>
        <c:ser>
          <c:idx val="0"/>
          <c:order val="2"/>
          <c:tx>
            <c:strRef>
              <c:f>Charts_EI_Sco!$B$26</c:f>
              <c:strCache>
                <c:ptCount val="1"/>
                <c:pt idx="0">
                  <c:v>Leisure Marine</c:v>
                </c:pt>
              </c:strCache>
            </c:strRef>
          </c:tx>
          <c:spPr>
            <a:solidFill>
              <a:schemeClr val="accent3"/>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Charts_EI_Sco!$C$26:$J$26</c:f>
              <c:numCache>
                <c:formatCode>#,##0_ ;\-#,##0\ </c:formatCode>
                <c:ptCount val="8"/>
                <c:pt idx="0">
                  <c:v>699.12108967321444</c:v>
                </c:pt>
                <c:pt idx="1">
                  <c:v>699.05526601508075</c:v>
                </c:pt>
                <c:pt idx="2">
                  <c:v>765.51971781141981</c:v>
                </c:pt>
                <c:pt idx="3">
                  <c:v>662.11983843014946</c:v>
                </c:pt>
                <c:pt idx="4">
                  <c:v>938.62809925114561</c:v>
                </c:pt>
                <c:pt idx="5">
                  <c:v>946.56598646687621</c:v>
                </c:pt>
                <c:pt idx="6">
                  <c:v>858.06540893046838</c:v>
                </c:pt>
                <c:pt idx="7">
                  <c:v>484.26213213480008</c:v>
                </c:pt>
              </c:numCache>
            </c:numRef>
          </c:val>
        </c:ser>
        <c:ser>
          <c:idx val="1"/>
          <c:order val="3"/>
          <c:tx>
            <c:strRef>
              <c:f>Charts_EI_Sco!$B$28</c:f>
              <c:strCache>
                <c:ptCount val="1"/>
                <c:pt idx="0">
                  <c:v>Marine Offshore Oil &amp; Gas</c:v>
                </c:pt>
              </c:strCache>
            </c:strRef>
          </c:tx>
          <c:spPr>
            <a:solidFill>
              <a:schemeClr val="accent5">
                <a:lumMod val="40000"/>
                <a:lumOff val="60000"/>
              </a:schemeClr>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Charts_EI_Sco!$C$28:$J$28</c:f>
              <c:numCache>
                <c:formatCode>#,##0_ ;\-#,##0\ </c:formatCode>
                <c:ptCount val="8"/>
                <c:pt idx="0">
                  <c:v>19123.376623376622</c:v>
                </c:pt>
                <c:pt idx="1">
                  <c:v>18205.689277899342</c:v>
                </c:pt>
                <c:pt idx="2">
                  <c:v>18587.409519631499</c:v>
                </c:pt>
                <c:pt idx="3">
                  <c:v>18060.057197330792</c:v>
                </c:pt>
                <c:pt idx="4">
                  <c:v>21951.317642325488</c:v>
                </c:pt>
                <c:pt idx="5">
                  <c:v>20632.385120350111</c:v>
                </c:pt>
                <c:pt idx="6">
                  <c:v>17017.843085804252</c:v>
                </c:pt>
                <c:pt idx="7">
                  <c:v>17948.113207547169</c:v>
                </c:pt>
              </c:numCache>
            </c:numRef>
          </c:val>
        </c:ser>
        <c:ser>
          <c:idx val="3"/>
          <c:order val="4"/>
          <c:tx>
            <c:strRef>
              <c:f>Charts_EI_Sco!$B$29</c:f>
              <c:strCache>
                <c:ptCount val="1"/>
                <c:pt idx="0">
                  <c:v>Other Marine</c:v>
                </c:pt>
              </c:strCache>
            </c:strRef>
          </c:tx>
          <c:spPr>
            <a:solidFill>
              <a:schemeClr val="accent4"/>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Charts_EI_Sco!$C$29:$J$29</c:f>
              <c:numCache>
                <c:formatCode>#,##0_ ;\-#,##0\ </c:formatCode>
                <c:ptCount val="8"/>
                <c:pt idx="0">
                  <c:v>9000.0621562671149</c:v>
                </c:pt>
                <c:pt idx="1">
                  <c:v>9155.7116524083322</c:v>
                </c:pt>
                <c:pt idx="2">
                  <c:v>10036.508099165567</c:v>
                </c:pt>
                <c:pt idx="3">
                  <c:v>9980.3175096908562</c:v>
                </c:pt>
                <c:pt idx="4">
                  <c:v>11617.608773195669</c:v>
                </c:pt>
                <c:pt idx="5">
                  <c:v>10175.215240097263</c:v>
                </c:pt>
                <c:pt idx="6">
                  <c:v>10972.057473418379</c:v>
                </c:pt>
                <c:pt idx="7">
                  <c:v>11107.480414639344</c:v>
                </c:pt>
              </c:numCache>
            </c:numRef>
          </c:val>
        </c:ser>
        <c:ser>
          <c:idx val="6"/>
          <c:order val="5"/>
          <c:tx>
            <c:strRef>
              <c:f>Charts_EI_Sco!$B$30</c:f>
              <c:strCache>
                <c:ptCount val="1"/>
                <c:pt idx="0">
                  <c:v>MBS</c:v>
                </c:pt>
              </c:strCache>
            </c:strRef>
          </c:tx>
          <c:spPr>
            <a:solidFill>
              <a:srgbClr val="7030A0"/>
            </a:solidFill>
            <a:ln>
              <a:noFill/>
            </a:ln>
            <a:effectLst/>
          </c:spPr>
          <c:invertIfNegative val="0"/>
          <c:val>
            <c:numRef>
              <c:f>Charts_EI_Sco!$C$30:$J$30</c:f>
              <c:numCache>
                <c:formatCode>#,##0_ ;\-#,##0\ </c:formatCode>
                <c:ptCount val="8"/>
                <c:pt idx="0">
                  <c:v>338.5216082693326</c:v>
                </c:pt>
                <c:pt idx="1">
                  <c:v>375.93670960647734</c:v>
                </c:pt>
                <c:pt idx="2">
                  <c:v>374.03932811444838</c:v>
                </c:pt>
                <c:pt idx="3">
                  <c:v>420.95960954579459</c:v>
                </c:pt>
                <c:pt idx="4">
                  <c:v>384.05111233305468</c:v>
                </c:pt>
                <c:pt idx="5">
                  <c:v>366.9410054501206</c:v>
                </c:pt>
                <c:pt idx="6">
                  <c:v>453.7179594755508</c:v>
                </c:pt>
                <c:pt idx="7">
                  <c:v>481.90463786449931</c:v>
                </c:pt>
              </c:numCache>
            </c:numRef>
          </c:val>
        </c:ser>
        <c:dLbls>
          <c:showLegendKey val="0"/>
          <c:showVal val="0"/>
          <c:showCatName val="0"/>
          <c:showSerName val="0"/>
          <c:showPercent val="0"/>
          <c:showBubbleSize val="0"/>
        </c:dLbls>
        <c:gapWidth val="150"/>
        <c:overlap val="100"/>
        <c:axId val="101905824"/>
        <c:axId val="101906608"/>
      </c:barChart>
      <c:lineChart>
        <c:grouping val="standard"/>
        <c:varyColors val="0"/>
        <c:ser>
          <c:idx val="5"/>
          <c:order val="6"/>
          <c:tx>
            <c:strRef>
              <c:f>Charts_EI_Sco!$B$11</c:f>
              <c:strCache>
                <c:ptCount val="1"/>
                <c:pt idx="0">
                  <c:v>Scotland as % Sector (RHS)</c:v>
                </c:pt>
              </c:strCache>
            </c:strRef>
          </c:tx>
          <c:spPr>
            <a:ln w="28575" cap="rnd">
              <a:solidFill>
                <a:srgbClr val="FF0000"/>
              </a:solidFill>
              <a:round/>
            </a:ln>
            <a:effectLst/>
          </c:spPr>
          <c:marker>
            <c:symbol val="none"/>
          </c:marker>
          <c:cat>
            <c:numRef>
              <c:f>Charts_EI_Sco!$C$3:$H$3</c:f>
              <c:numCache>
                <c:formatCode>General</c:formatCode>
                <c:ptCount val="6"/>
                <c:pt idx="0">
                  <c:v>2010</c:v>
                </c:pt>
                <c:pt idx="1">
                  <c:v>2011</c:v>
                </c:pt>
                <c:pt idx="2">
                  <c:v>2012</c:v>
                </c:pt>
                <c:pt idx="3">
                  <c:v>2013</c:v>
                </c:pt>
                <c:pt idx="4">
                  <c:v>2014</c:v>
                </c:pt>
                <c:pt idx="5">
                  <c:v>2015</c:v>
                </c:pt>
              </c:numCache>
            </c:numRef>
          </c:cat>
          <c:val>
            <c:numRef>
              <c:f>Charts_EI_Sco!$C$11:$J$11</c:f>
              <c:numCache>
                <c:formatCode>0.0%</c:formatCode>
                <c:ptCount val="8"/>
                <c:pt idx="0">
                  <c:v>0.24802223826357087</c:v>
                </c:pt>
                <c:pt idx="1">
                  <c:v>0.21983687930622522</c:v>
                </c:pt>
                <c:pt idx="2">
                  <c:v>0.26885635000580765</c:v>
                </c:pt>
                <c:pt idx="3">
                  <c:v>0.25467503797643881</c:v>
                </c:pt>
                <c:pt idx="4">
                  <c:v>0.26233153101844797</c:v>
                </c:pt>
                <c:pt idx="5">
                  <c:v>0.27686937337140571</c:v>
                </c:pt>
                <c:pt idx="6">
                  <c:v>0.20946517905243428</c:v>
                </c:pt>
                <c:pt idx="7">
                  <c:v>0.27212851354038031</c:v>
                </c:pt>
              </c:numCache>
            </c:numRef>
          </c:val>
          <c:smooth val="0"/>
        </c:ser>
        <c:dLbls>
          <c:showLegendKey val="0"/>
          <c:showVal val="0"/>
          <c:showCatName val="0"/>
          <c:showSerName val="0"/>
          <c:showPercent val="0"/>
          <c:showBubbleSize val="0"/>
        </c:dLbls>
        <c:marker val="1"/>
        <c:smooth val="0"/>
        <c:axId val="101900728"/>
        <c:axId val="101904648"/>
      </c:lineChart>
      <c:catAx>
        <c:axId val="10190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6608"/>
        <c:crosses val="autoZero"/>
        <c:auto val="1"/>
        <c:lblAlgn val="ctr"/>
        <c:lblOffset val="100"/>
        <c:noMultiLvlLbl val="0"/>
      </c:catAx>
      <c:valAx>
        <c:axId val="101906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jobs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5824"/>
        <c:crosses val="autoZero"/>
        <c:crossBetween val="between"/>
      </c:valAx>
      <c:valAx>
        <c:axId val="101904648"/>
        <c:scaling>
          <c:orientation val="minMax"/>
          <c:max val="0.30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Scotland</a:t>
                </a:r>
                <a:r>
                  <a:rPr lang="en-GB" baseline="0"/>
                  <a:t> as % share of UK Maritime sector</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0728"/>
        <c:crosses val="max"/>
        <c:crossBetween val="between"/>
        <c:majorUnit val="5.000000000000001E-2"/>
      </c:valAx>
      <c:catAx>
        <c:axId val="101900728"/>
        <c:scaling>
          <c:orientation val="minMax"/>
        </c:scaling>
        <c:delete val="1"/>
        <c:axPos val="b"/>
        <c:numFmt formatCode="General" sourceLinked="1"/>
        <c:majorTickMark val="out"/>
        <c:minorTickMark val="none"/>
        <c:tickLblPos val="nextTo"/>
        <c:crossAx val="101904648"/>
        <c:crosses val="autoZero"/>
        <c:auto val="1"/>
        <c:lblAlgn val="ctr"/>
        <c:lblOffset val="100"/>
        <c:noMultiLvlLbl val="0"/>
      </c:catAx>
      <c:spPr>
        <a:noFill/>
        <a:ln>
          <a:noFill/>
        </a:ln>
        <a:effectLst/>
      </c:spPr>
    </c:plotArea>
    <c:legend>
      <c:legendPos val="b"/>
      <c:layout>
        <c:manualLayout>
          <c:xMode val="edge"/>
          <c:yMode val="edge"/>
          <c:x val="1.7893979445033521E-2"/>
          <c:y val="0.88023558030855897"/>
          <c:w val="0.96853906698060332"/>
          <c:h val="0.119764419691441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53954245104384"/>
          <c:y val="5.0925925925925923E-2"/>
          <c:w val="0.80311658674434327"/>
          <c:h val="0.75057205745535394"/>
        </c:manualLayout>
      </c:layout>
      <c:barChart>
        <c:barDir val="col"/>
        <c:grouping val="stacked"/>
        <c:varyColors val="0"/>
        <c:ser>
          <c:idx val="2"/>
          <c:order val="0"/>
          <c:tx>
            <c:strRef>
              <c:f>Charts_EI_Sco!$U$4</c:f>
              <c:strCache>
                <c:ptCount val="1"/>
                <c:pt idx="0">
                  <c:v>Shipping</c:v>
                </c:pt>
              </c:strCache>
            </c:strRef>
          </c:tx>
          <c:spPr>
            <a:solidFill>
              <a:schemeClr val="accent1"/>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Charts_EI_Sco!$V$4:$AC$4</c:f>
              <c:numCache>
                <c:formatCode>#,##0_ ;\-#,##0\ </c:formatCode>
                <c:ptCount val="8"/>
                <c:pt idx="0">
                  <c:v>145.23307833607191</c:v>
                </c:pt>
                <c:pt idx="1">
                  <c:v>170.59213746566695</c:v>
                </c:pt>
                <c:pt idx="2">
                  <c:v>142.81047845219763</c:v>
                </c:pt>
                <c:pt idx="3">
                  <c:v>221.95958362705912</c:v>
                </c:pt>
                <c:pt idx="4">
                  <c:v>258.60720183885894</c:v>
                </c:pt>
                <c:pt idx="5">
                  <c:v>275.18920091341488</c:v>
                </c:pt>
                <c:pt idx="6">
                  <c:v>313.20090144786292</c:v>
                </c:pt>
                <c:pt idx="7">
                  <c:v>313.75724307627445</c:v>
                </c:pt>
              </c:numCache>
            </c:numRef>
          </c:val>
        </c:ser>
        <c:ser>
          <c:idx val="4"/>
          <c:order val="1"/>
          <c:tx>
            <c:strRef>
              <c:f>Charts_EI_Sco!$U$5</c:f>
              <c:strCache>
                <c:ptCount val="1"/>
                <c:pt idx="0">
                  <c:v>Ports</c:v>
                </c:pt>
              </c:strCache>
            </c:strRef>
          </c:tx>
          <c:spPr>
            <a:solidFill>
              <a:schemeClr val="accent2"/>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Charts_EI_Sco!$V$5:$AC$5</c:f>
              <c:numCache>
                <c:formatCode>#,##0_ ;\-#,##0\ </c:formatCode>
                <c:ptCount val="8"/>
                <c:pt idx="0">
                  <c:v>95.986843564118203</c:v>
                </c:pt>
                <c:pt idx="1">
                  <c:v>94.692050766953471</c:v>
                </c:pt>
                <c:pt idx="2">
                  <c:v>84.496034765675944</c:v>
                </c:pt>
                <c:pt idx="3">
                  <c:v>101.21666096019445</c:v>
                </c:pt>
                <c:pt idx="4">
                  <c:v>89.836762657342888</c:v>
                </c:pt>
                <c:pt idx="5">
                  <c:v>88.712843378611467</c:v>
                </c:pt>
                <c:pt idx="6">
                  <c:v>109.32636718302194</c:v>
                </c:pt>
                <c:pt idx="7">
                  <c:v>111.16375496431721</c:v>
                </c:pt>
              </c:numCache>
            </c:numRef>
          </c:val>
        </c:ser>
        <c:ser>
          <c:idx val="0"/>
          <c:order val="2"/>
          <c:tx>
            <c:strRef>
              <c:f>Charts_EI_Sco!$U$6</c:f>
              <c:strCache>
                <c:ptCount val="1"/>
                <c:pt idx="0">
                  <c:v>Leisure Marine</c:v>
                </c:pt>
              </c:strCache>
            </c:strRef>
          </c:tx>
          <c:spPr>
            <a:solidFill>
              <a:schemeClr val="accent3"/>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Charts_EI_Sco!$V$6:$AC$6</c:f>
              <c:numCache>
                <c:formatCode>#,##0_ ;\-#,##0\ </c:formatCode>
                <c:ptCount val="8"/>
                <c:pt idx="0">
                  <c:v>12.348737142976219</c:v>
                </c:pt>
                <c:pt idx="1">
                  <c:v>11.192637359793736</c:v>
                </c:pt>
                <c:pt idx="2">
                  <c:v>14.148122045541458</c:v>
                </c:pt>
                <c:pt idx="3">
                  <c:v>13.835958654019644</c:v>
                </c:pt>
                <c:pt idx="4">
                  <c:v>20.555623426407703</c:v>
                </c:pt>
                <c:pt idx="5">
                  <c:v>19.93842981328843</c:v>
                </c:pt>
                <c:pt idx="6">
                  <c:v>16.879476138342575</c:v>
                </c:pt>
                <c:pt idx="7">
                  <c:v>10.455459460469553</c:v>
                </c:pt>
              </c:numCache>
            </c:numRef>
          </c:val>
        </c:ser>
        <c:ser>
          <c:idx val="1"/>
          <c:order val="3"/>
          <c:tx>
            <c:strRef>
              <c:f>Charts_EI_Sco!$U$8</c:f>
              <c:strCache>
                <c:ptCount val="1"/>
                <c:pt idx="0">
                  <c:v>Marine Offshore Oil &amp; Gas</c:v>
                </c:pt>
              </c:strCache>
            </c:strRef>
          </c:tx>
          <c:spPr>
            <a:solidFill>
              <a:schemeClr val="accent5">
                <a:lumMod val="40000"/>
                <a:lumOff val="60000"/>
              </a:schemeClr>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Charts_EI_Sco!$V$8:$AC$8</c:f>
              <c:numCache>
                <c:formatCode>#,##0_ ;\-#,##0\ </c:formatCode>
                <c:ptCount val="8"/>
                <c:pt idx="0">
                  <c:v>1550.0330527352712</c:v>
                </c:pt>
                <c:pt idx="1">
                  <c:v>1155.4565478534535</c:v>
                </c:pt>
                <c:pt idx="2">
                  <c:v>1427.5736811097277</c:v>
                </c:pt>
                <c:pt idx="3">
                  <c:v>1480.7662445451733</c:v>
                </c:pt>
                <c:pt idx="4">
                  <c:v>1172.6702158696235</c:v>
                </c:pt>
                <c:pt idx="5">
                  <c:v>1503.2952557177452</c:v>
                </c:pt>
                <c:pt idx="6">
                  <c:v>755.90737369158273</c:v>
                </c:pt>
                <c:pt idx="7">
                  <c:v>1269.7222770124561</c:v>
                </c:pt>
              </c:numCache>
            </c:numRef>
          </c:val>
        </c:ser>
        <c:ser>
          <c:idx val="3"/>
          <c:order val="4"/>
          <c:tx>
            <c:strRef>
              <c:f>Charts_EI_Sco!$U$9</c:f>
              <c:strCache>
                <c:ptCount val="1"/>
                <c:pt idx="0">
                  <c:v>Other Marine</c:v>
                </c:pt>
              </c:strCache>
            </c:strRef>
          </c:tx>
          <c:spPr>
            <a:solidFill>
              <a:schemeClr val="accent4"/>
            </a:solidFill>
            <a:ln>
              <a:noFill/>
            </a:ln>
            <a:effectLst/>
          </c:spPr>
          <c:invertIfNegative val="0"/>
          <c:cat>
            <c:numRef>
              <c:f>Charts_EI_Sco!$C$3:$J$3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Charts_EI_Sco!$V$9:$AC$9</c:f>
              <c:numCache>
                <c:formatCode>#,##0_ ;\-#,##0\ </c:formatCode>
                <c:ptCount val="8"/>
                <c:pt idx="0">
                  <c:v>293.28318507175709</c:v>
                </c:pt>
                <c:pt idx="1">
                  <c:v>355.08499512638878</c:v>
                </c:pt>
                <c:pt idx="2">
                  <c:v>497.01329602966985</c:v>
                </c:pt>
                <c:pt idx="3">
                  <c:v>530.68739202792631</c:v>
                </c:pt>
                <c:pt idx="4">
                  <c:v>478.99127987571364</c:v>
                </c:pt>
                <c:pt idx="5">
                  <c:v>517.40042569086245</c:v>
                </c:pt>
                <c:pt idx="6">
                  <c:v>532.06547946230853</c:v>
                </c:pt>
                <c:pt idx="7">
                  <c:v>570.5435132093819</c:v>
                </c:pt>
              </c:numCache>
            </c:numRef>
          </c:val>
        </c:ser>
        <c:ser>
          <c:idx val="6"/>
          <c:order val="5"/>
          <c:tx>
            <c:strRef>
              <c:f>Charts_EI_Sco!$U$10</c:f>
              <c:strCache>
                <c:ptCount val="1"/>
                <c:pt idx="0">
                  <c:v>MBS</c:v>
                </c:pt>
              </c:strCache>
            </c:strRef>
          </c:tx>
          <c:spPr>
            <a:solidFill>
              <a:srgbClr val="7030A0"/>
            </a:solidFill>
            <a:ln>
              <a:noFill/>
            </a:ln>
            <a:effectLst/>
          </c:spPr>
          <c:invertIfNegative val="0"/>
          <c:cat>
            <c:numRef>
              <c:f>Charts_EI_Sco!$V$3:$AC$3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Charts_EI_Sco!$V$10:$AC$10</c:f>
              <c:numCache>
                <c:formatCode>#,##0_ ;\-#,##0\ </c:formatCode>
                <c:ptCount val="8"/>
                <c:pt idx="0">
                  <c:v>18.585581678404395</c:v>
                </c:pt>
                <c:pt idx="1">
                  <c:v>19.636547742820216</c:v>
                </c:pt>
                <c:pt idx="2">
                  <c:v>20.081681764634432</c:v>
                </c:pt>
                <c:pt idx="3">
                  <c:v>23.795221951828609</c:v>
                </c:pt>
                <c:pt idx="4">
                  <c:v>20.252021553717245</c:v>
                </c:pt>
                <c:pt idx="5">
                  <c:v>19.425481576341515</c:v>
                </c:pt>
                <c:pt idx="6">
                  <c:v>22.040990672152233</c:v>
                </c:pt>
                <c:pt idx="7">
                  <c:v>23.460099452885544</c:v>
                </c:pt>
              </c:numCache>
            </c:numRef>
          </c:val>
        </c:ser>
        <c:dLbls>
          <c:showLegendKey val="0"/>
          <c:showVal val="0"/>
          <c:showCatName val="0"/>
          <c:showSerName val="0"/>
          <c:showPercent val="0"/>
          <c:showBubbleSize val="0"/>
        </c:dLbls>
        <c:gapWidth val="150"/>
        <c:overlap val="100"/>
        <c:axId val="101901120"/>
        <c:axId val="101905040"/>
      </c:barChart>
      <c:lineChart>
        <c:grouping val="standard"/>
        <c:varyColors val="0"/>
        <c:ser>
          <c:idx val="5"/>
          <c:order val="6"/>
          <c:tx>
            <c:strRef>
              <c:f>Charts_EI_Sco!$B$11</c:f>
              <c:strCache>
                <c:ptCount val="1"/>
                <c:pt idx="0">
                  <c:v>Scotland as % Sector (RHS)</c:v>
                </c:pt>
              </c:strCache>
            </c:strRef>
          </c:tx>
          <c:spPr>
            <a:ln w="28575" cap="rnd">
              <a:solidFill>
                <a:srgbClr val="FF0000"/>
              </a:solidFill>
              <a:round/>
            </a:ln>
            <a:effectLst/>
          </c:spPr>
          <c:marker>
            <c:symbol val="none"/>
          </c:marker>
          <c:cat>
            <c:numRef>
              <c:f>Charts_EI_Sco!$V$3:$AC$3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Charts_EI_Sco!$C$11:$J$11</c:f>
              <c:numCache>
                <c:formatCode>0.0%</c:formatCode>
                <c:ptCount val="8"/>
                <c:pt idx="0">
                  <c:v>0.24802223826357087</c:v>
                </c:pt>
                <c:pt idx="1">
                  <c:v>0.21983687930622522</c:v>
                </c:pt>
                <c:pt idx="2">
                  <c:v>0.26885635000580765</c:v>
                </c:pt>
                <c:pt idx="3">
                  <c:v>0.25467503797643881</c:v>
                </c:pt>
                <c:pt idx="4">
                  <c:v>0.26233153101844797</c:v>
                </c:pt>
                <c:pt idx="5">
                  <c:v>0.27686937337140571</c:v>
                </c:pt>
                <c:pt idx="6">
                  <c:v>0.20946517905243428</c:v>
                </c:pt>
                <c:pt idx="7">
                  <c:v>0.27212851354038031</c:v>
                </c:pt>
              </c:numCache>
            </c:numRef>
          </c:val>
          <c:smooth val="0"/>
        </c:ser>
        <c:dLbls>
          <c:showLegendKey val="0"/>
          <c:showVal val="0"/>
          <c:showCatName val="0"/>
          <c:showSerName val="0"/>
          <c:showPercent val="0"/>
          <c:showBubbleSize val="0"/>
        </c:dLbls>
        <c:marker val="1"/>
        <c:smooth val="0"/>
        <c:axId val="101907000"/>
        <c:axId val="101903472"/>
      </c:lineChart>
      <c:catAx>
        <c:axId val="10190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5040"/>
        <c:crosses val="autoZero"/>
        <c:auto val="1"/>
        <c:lblAlgn val="ctr"/>
        <c:lblOffset val="100"/>
        <c:noMultiLvlLbl val="0"/>
      </c:catAx>
      <c:valAx>
        <c:axId val="101905040"/>
        <c:scaling>
          <c:orientation val="minMax"/>
          <c:max val="2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million</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1120"/>
        <c:crosses val="autoZero"/>
        <c:crossBetween val="between"/>
      </c:valAx>
      <c:valAx>
        <c:axId val="101903472"/>
        <c:scaling>
          <c:orientation val="minMax"/>
          <c:max val="0.30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Scotland</a:t>
                </a:r>
                <a:r>
                  <a:rPr lang="en-GB" baseline="0"/>
                  <a:t> as % share of UK Maritime sector</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7000"/>
        <c:crosses val="max"/>
        <c:crossBetween val="between"/>
        <c:majorUnit val="5.000000000000001E-2"/>
      </c:valAx>
      <c:catAx>
        <c:axId val="101907000"/>
        <c:scaling>
          <c:orientation val="minMax"/>
        </c:scaling>
        <c:delete val="1"/>
        <c:axPos val="b"/>
        <c:numFmt formatCode="General" sourceLinked="1"/>
        <c:majorTickMark val="out"/>
        <c:minorTickMark val="none"/>
        <c:tickLblPos val="nextTo"/>
        <c:crossAx val="101903472"/>
        <c:crosses val="autoZero"/>
        <c:auto val="1"/>
        <c:lblAlgn val="ctr"/>
        <c:lblOffset val="100"/>
        <c:noMultiLvlLbl val="0"/>
      </c:catAx>
      <c:spPr>
        <a:noFill/>
        <a:ln>
          <a:noFill/>
        </a:ln>
        <a:effectLst/>
      </c:spPr>
    </c:plotArea>
    <c:legend>
      <c:legendPos val="b"/>
      <c:layout>
        <c:manualLayout>
          <c:xMode val="edge"/>
          <c:yMode val="edge"/>
          <c:x val="4.7786403229996742E-2"/>
          <c:y val="0.87839615148970929"/>
          <c:w val="0.89999991189896367"/>
          <c:h val="0.121603848510290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1847222222222"/>
          <c:y val="4.3117283950617286E-2"/>
          <c:w val="0.80564861111111108"/>
          <c:h val="0.73610802469135805"/>
        </c:manualLayout>
      </c:layout>
      <c:barChart>
        <c:barDir val="col"/>
        <c:grouping val="stacked"/>
        <c:varyColors val="0"/>
        <c:ser>
          <c:idx val="0"/>
          <c:order val="0"/>
          <c:tx>
            <c:strRef>
              <c:f>Charts_Other_Sco!$B$20</c:f>
              <c:strCache>
                <c:ptCount val="1"/>
                <c:pt idx="0">
                  <c:v>Shipping</c:v>
                </c:pt>
              </c:strCache>
            </c:strRef>
          </c:tx>
          <c:spPr>
            <a:solidFill>
              <a:schemeClr val="accent1"/>
            </a:solidFill>
            <a:ln>
              <a:noFill/>
            </a:ln>
            <a:effectLst/>
          </c:spPr>
          <c:invertIfNegative val="0"/>
          <c:cat>
            <c:numRef>
              <c:f>Charts_Other_Sco!$C$19:$K$19</c:f>
              <c:numCache>
                <c:formatCode>General</c:formatCode>
                <c:ptCount val="8"/>
                <c:pt idx="0">
                  <c:v>2010</c:v>
                </c:pt>
                <c:pt idx="1">
                  <c:v>2011</c:v>
                </c:pt>
                <c:pt idx="2">
                  <c:v>2012</c:v>
                </c:pt>
                <c:pt idx="3">
                  <c:v>2013</c:v>
                </c:pt>
                <c:pt idx="4">
                  <c:v>2014</c:v>
                </c:pt>
                <c:pt idx="5">
                  <c:v>2015</c:v>
                </c:pt>
                <c:pt idx="6">
                  <c:v>2016</c:v>
                </c:pt>
                <c:pt idx="7">
                  <c:v>2017</c:v>
                </c:pt>
              </c:numCache>
              <c:extLst/>
            </c:numRef>
          </c:cat>
          <c:val>
            <c:numRef>
              <c:f>Charts_Other_Sco!$C$20:$K$20</c:f>
              <c:numCache>
                <c:formatCode>#,##0_ ;\-#,##0\ </c:formatCode>
                <c:ptCount val="8"/>
                <c:pt idx="0">
                  <c:v>98.421357265035695</c:v>
                </c:pt>
                <c:pt idx="1">
                  <c:v>111.60958031690349</c:v>
                </c:pt>
                <c:pt idx="2">
                  <c:v>134.33146613442165</c:v>
                </c:pt>
                <c:pt idx="3">
                  <c:v>139.96295602967677</c:v>
                </c:pt>
                <c:pt idx="4">
                  <c:v>140.39049497333377</c:v>
                </c:pt>
                <c:pt idx="5">
                  <c:v>152.09123240730173</c:v>
                </c:pt>
                <c:pt idx="6">
                  <c:v>154.11301283220376</c:v>
                </c:pt>
                <c:pt idx="7">
                  <c:v>175.65098178463313</c:v>
                </c:pt>
              </c:numCache>
              <c:extLst/>
            </c:numRef>
          </c:val>
        </c:ser>
        <c:ser>
          <c:idx val="4"/>
          <c:order val="1"/>
          <c:tx>
            <c:strRef>
              <c:f>Charts_Other_Sco!$B$21</c:f>
              <c:strCache>
                <c:ptCount val="1"/>
                <c:pt idx="0">
                  <c:v>Ports</c:v>
                </c:pt>
              </c:strCache>
            </c:strRef>
          </c:tx>
          <c:spPr>
            <a:solidFill>
              <a:schemeClr val="accent2"/>
            </a:solidFill>
            <a:ln>
              <a:noFill/>
            </a:ln>
            <a:effectLst/>
          </c:spPr>
          <c:invertIfNegative val="0"/>
          <c:cat>
            <c:numRef>
              <c:f>Charts_Other_Sco!$C$19:$K$19</c:f>
              <c:numCache>
                <c:formatCode>General</c:formatCode>
                <c:ptCount val="8"/>
                <c:pt idx="0">
                  <c:v>2010</c:v>
                </c:pt>
                <c:pt idx="1">
                  <c:v>2011</c:v>
                </c:pt>
                <c:pt idx="2">
                  <c:v>2012</c:v>
                </c:pt>
                <c:pt idx="3">
                  <c:v>2013</c:v>
                </c:pt>
                <c:pt idx="4">
                  <c:v>2014</c:v>
                </c:pt>
                <c:pt idx="5">
                  <c:v>2015</c:v>
                </c:pt>
                <c:pt idx="6">
                  <c:v>2016</c:v>
                </c:pt>
                <c:pt idx="7">
                  <c:v>2017</c:v>
                </c:pt>
              </c:numCache>
              <c:extLst/>
            </c:numRef>
          </c:cat>
          <c:val>
            <c:numRef>
              <c:f>Charts_Other_Sco!$C$21:$K$21</c:f>
              <c:numCache>
                <c:formatCode>#,##0_ ;\-#,##0\ </c:formatCode>
                <c:ptCount val="8"/>
                <c:pt idx="0">
                  <c:v>29.142144388422341</c:v>
                </c:pt>
                <c:pt idx="1">
                  <c:v>31.940268457250014</c:v>
                </c:pt>
                <c:pt idx="2">
                  <c:v>34.909511046310691</c:v>
                </c:pt>
                <c:pt idx="3">
                  <c:v>41.335105035235088</c:v>
                </c:pt>
                <c:pt idx="4">
                  <c:v>37.488111061582323</c:v>
                </c:pt>
                <c:pt idx="5">
                  <c:v>35.052591526782791</c:v>
                </c:pt>
                <c:pt idx="6">
                  <c:v>43.936564139721959</c:v>
                </c:pt>
                <c:pt idx="7">
                  <c:v>44.367578112147037</c:v>
                </c:pt>
              </c:numCache>
              <c:extLst/>
            </c:numRef>
          </c:val>
        </c:ser>
        <c:ser>
          <c:idx val="2"/>
          <c:order val="2"/>
          <c:tx>
            <c:strRef>
              <c:f>Charts_Other_Sco!$B$22</c:f>
              <c:strCache>
                <c:ptCount val="1"/>
                <c:pt idx="0">
                  <c:v>Leisure Marine</c:v>
                </c:pt>
              </c:strCache>
            </c:strRef>
          </c:tx>
          <c:spPr>
            <a:solidFill>
              <a:schemeClr val="accent3"/>
            </a:solidFill>
            <a:ln>
              <a:noFill/>
            </a:ln>
            <a:effectLst/>
          </c:spPr>
          <c:invertIfNegative val="0"/>
          <c:cat>
            <c:numRef>
              <c:f>Charts_Other_Sco!$C$19:$K$19</c:f>
              <c:numCache>
                <c:formatCode>General</c:formatCode>
                <c:ptCount val="8"/>
                <c:pt idx="0">
                  <c:v>2010</c:v>
                </c:pt>
                <c:pt idx="1">
                  <c:v>2011</c:v>
                </c:pt>
                <c:pt idx="2">
                  <c:v>2012</c:v>
                </c:pt>
                <c:pt idx="3">
                  <c:v>2013</c:v>
                </c:pt>
                <c:pt idx="4">
                  <c:v>2014</c:v>
                </c:pt>
                <c:pt idx="5">
                  <c:v>2015</c:v>
                </c:pt>
                <c:pt idx="6">
                  <c:v>2016</c:v>
                </c:pt>
                <c:pt idx="7">
                  <c:v>2017</c:v>
                </c:pt>
              </c:numCache>
              <c:extLst/>
            </c:numRef>
          </c:cat>
          <c:val>
            <c:numRef>
              <c:f>Charts_Other_Sco!$C$22:$K$22</c:f>
              <c:numCache>
                <c:formatCode>#,##0_ ;\-#,##0\ </c:formatCode>
                <c:ptCount val="8"/>
                <c:pt idx="0">
                  <c:v>12.501710264859517</c:v>
                </c:pt>
                <c:pt idx="1">
                  <c:v>11.025823630785441</c:v>
                </c:pt>
                <c:pt idx="2">
                  <c:v>13.111965066964089</c:v>
                </c:pt>
                <c:pt idx="3">
                  <c:v>10.962077388664369</c:v>
                </c:pt>
                <c:pt idx="4">
                  <c:v>12.493601372027506</c:v>
                </c:pt>
                <c:pt idx="5">
                  <c:v>12.578376535426885</c:v>
                </c:pt>
                <c:pt idx="6">
                  <c:v>11.3530383283791</c:v>
                </c:pt>
                <c:pt idx="7">
                  <c:v>8.1464497658514059</c:v>
                </c:pt>
              </c:numCache>
              <c:extLst/>
            </c:numRef>
          </c:val>
        </c:ser>
        <c:ser>
          <c:idx val="1"/>
          <c:order val="3"/>
          <c:tx>
            <c:strRef>
              <c:f>Charts_Other_Sco!$B$24</c:f>
              <c:strCache>
                <c:ptCount val="1"/>
                <c:pt idx="0">
                  <c:v>Marine Offshore Oil &amp; Gas</c:v>
                </c:pt>
              </c:strCache>
            </c:strRef>
          </c:tx>
          <c:spPr>
            <a:solidFill>
              <a:schemeClr val="accent5">
                <a:lumMod val="40000"/>
                <a:lumOff val="60000"/>
              </a:schemeClr>
            </a:solidFill>
            <a:ln>
              <a:noFill/>
            </a:ln>
            <a:effectLst/>
          </c:spPr>
          <c:invertIfNegative val="0"/>
          <c:cat>
            <c:numRef>
              <c:f>Charts_Other_Sco!$C$19:$K$19</c:f>
              <c:numCache>
                <c:formatCode>General</c:formatCode>
                <c:ptCount val="8"/>
                <c:pt idx="0">
                  <c:v>2010</c:v>
                </c:pt>
                <c:pt idx="1">
                  <c:v>2011</c:v>
                </c:pt>
                <c:pt idx="2">
                  <c:v>2012</c:v>
                </c:pt>
                <c:pt idx="3">
                  <c:v>2013</c:v>
                </c:pt>
                <c:pt idx="4">
                  <c:v>2014</c:v>
                </c:pt>
                <c:pt idx="5">
                  <c:v>2015</c:v>
                </c:pt>
                <c:pt idx="6">
                  <c:v>2016</c:v>
                </c:pt>
                <c:pt idx="7">
                  <c:v>2017</c:v>
                </c:pt>
              </c:numCache>
              <c:extLst/>
            </c:numRef>
          </c:cat>
          <c:val>
            <c:numRef>
              <c:f>Charts_Other_Sco!$C$24:$J$24</c:f>
              <c:numCache>
                <c:formatCode>#,##0_ ;\-#,##0\ </c:formatCode>
                <c:ptCount val="8"/>
                <c:pt idx="0">
                  <c:v>532.07069763064715</c:v>
                </c:pt>
                <c:pt idx="1">
                  <c:v>492.94326439622199</c:v>
                </c:pt>
                <c:pt idx="2">
                  <c:v>545.637584644801</c:v>
                </c:pt>
                <c:pt idx="3">
                  <c:v>460.33676079494637</c:v>
                </c:pt>
                <c:pt idx="4">
                  <c:v>685.79142982561848</c:v>
                </c:pt>
                <c:pt idx="5">
                  <c:v>453.4087141310618</c:v>
                </c:pt>
                <c:pt idx="6">
                  <c:v>449.87792640034871</c:v>
                </c:pt>
                <c:pt idx="7">
                  <c:v>342.08468660312923</c:v>
                </c:pt>
              </c:numCache>
              <c:extLst/>
            </c:numRef>
          </c:val>
        </c:ser>
        <c:ser>
          <c:idx val="3"/>
          <c:order val="4"/>
          <c:tx>
            <c:strRef>
              <c:f>Charts_Other_Sco!$B$25</c:f>
              <c:strCache>
                <c:ptCount val="1"/>
                <c:pt idx="0">
                  <c:v>Other Marine Engineering</c:v>
                </c:pt>
              </c:strCache>
            </c:strRef>
          </c:tx>
          <c:spPr>
            <a:solidFill>
              <a:schemeClr val="accent4"/>
            </a:solidFill>
            <a:ln>
              <a:noFill/>
            </a:ln>
            <a:effectLst/>
          </c:spPr>
          <c:invertIfNegative val="0"/>
          <c:cat>
            <c:numRef>
              <c:f>Charts_Other_Sco!$C$19:$K$19</c:f>
              <c:numCache>
                <c:formatCode>General</c:formatCode>
                <c:ptCount val="8"/>
                <c:pt idx="0">
                  <c:v>2010</c:v>
                </c:pt>
                <c:pt idx="1">
                  <c:v>2011</c:v>
                </c:pt>
                <c:pt idx="2">
                  <c:v>2012</c:v>
                </c:pt>
                <c:pt idx="3">
                  <c:v>2013</c:v>
                </c:pt>
                <c:pt idx="4">
                  <c:v>2014</c:v>
                </c:pt>
                <c:pt idx="5">
                  <c:v>2015</c:v>
                </c:pt>
                <c:pt idx="6">
                  <c:v>2016</c:v>
                </c:pt>
                <c:pt idx="7">
                  <c:v>2017</c:v>
                </c:pt>
              </c:numCache>
              <c:extLst/>
            </c:numRef>
          </c:cat>
          <c:val>
            <c:numRef>
              <c:f>Charts_Other_Sco!$C$25:$J$25</c:f>
              <c:numCache>
                <c:formatCode>#,##0_ ;\-#,##0\ </c:formatCode>
                <c:ptCount val="8"/>
                <c:pt idx="0">
                  <c:v>204.77269506580262</c:v>
                </c:pt>
                <c:pt idx="1">
                  <c:v>211.73041886588311</c:v>
                </c:pt>
                <c:pt idx="2">
                  <c:v>253.01850812303314</c:v>
                </c:pt>
                <c:pt idx="3">
                  <c:v>286.13705167584226</c:v>
                </c:pt>
                <c:pt idx="4">
                  <c:v>329.57575222277751</c:v>
                </c:pt>
                <c:pt idx="5">
                  <c:v>290.91801731935851</c:v>
                </c:pt>
                <c:pt idx="6">
                  <c:v>272.81679926073451</c:v>
                </c:pt>
                <c:pt idx="7">
                  <c:v>298.54974504025341</c:v>
                </c:pt>
              </c:numCache>
              <c:extLst/>
            </c:numRef>
          </c:val>
        </c:ser>
        <c:ser>
          <c:idx val="5"/>
          <c:order val="5"/>
          <c:tx>
            <c:strRef>
              <c:f>Charts_Other_Sco!$B$26</c:f>
              <c:strCache>
                <c:ptCount val="1"/>
                <c:pt idx="0">
                  <c:v>MBS</c:v>
                </c:pt>
              </c:strCache>
            </c:strRef>
          </c:tx>
          <c:spPr>
            <a:solidFill>
              <a:srgbClr val="7030A0"/>
            </a:solidFill>
            <a:ln>
              <a:noFill/>
            </a:ln>
            <a:effectLst/>
          </c:spPr>
          <c:invertIfNegative val="0"/>
          <c:cat>
            <c:numRef>
              <c:f>Charts_Other_Sco!$C$19:$K$19</c:f>
              <c:numCache>
                <c:formatCode>General</c:formatCode>
                <c:ptCount val="8"/>
                <c:pt idx="0">
                  <c:v>2010</c:v>
                </c:pt>
                <c:pt idx="1">
                  <c:v>2011</c:v>
                </c:pt>
                <c:pt idx="2">
                  <c:v>2012</c:v>
                </c:pt>
                <c:pt idx="3">
                  <c:v>2013</c:v>
                </c:pt>
                <c:pt idx="4">
                  <c:v>2014</c:v>
                </c:pt>
                <c:pt idx="5">
                  <c:v>2015</c:v>
                </c:pt>
                <c:pt idx="6">
                  <c:v>2016</c:v>
                </c:pt>
                <c:pt idx="7">
                  <c:v>2017</c:v>
                </c:pt>
              </c:numCache>
              <c:extLst/>
            </c:numRef>
          </c:cat>
          <c:val>
            <c:numRef>
              <c:f>Charts_Other_Sco!$C$26:$J$26</c:f>
              <c:numCache>
                <c:formatCode>#,##0_ ;\-#,##0\ </c:formatCode>
                <c:ptCount val="8"/>
                <c:pt idx="0">
                  <c:v>14.731546414590541</c:v>
                </c:pt>
                <c:pt idx="1">
                  <c:v>15.737104838953918</c:v>
                </c:pt>
                <c:pt idx="2">
                  <c:v>14.850775037043345</c:v>
                </c:pt>
                <c:pt idx="3">
                  <c:v>17.65969810760269</c:v>
                </c:pt>
                <c:pt idx="4">
                  <c:v>16.174357954748146</c:v>
                </c:pt>
                <c:pt idx="5">
                  <c:v>14.419507173299806</c:v>
                </c:pt>
                <c:pt idx="6">
                  <c:v>18.741293566391487</c:v>
                </c:pt>
                <c:pt idx="7">
                  <c:v>19.01668754867147</c:v>
                </c:pt>
              </c:numCache>
              <c:extLst/>
            </c:numRef>
          </c:val>
        </c:ser>
        <c:dLbls>
          <c:showLegendKey val="0"/>
          <c:showVal val="0"/>
          <c:showCatName val="0"/>
          <c:showSerName val="0"/>
          <c:showPercent val="0"/>
          <c:showBubbleSize val="0"/>
        </c:dLbls>
        <c:gapWidth val="150"/>
        <c:overlap val="100"/>
        <c:axId val="101902296"/>
        <c:axId val="101902688"/>
      </c:barChart>
      <c:lineChart>
        <c:grouping val="standard"/>
        <c:varyColors val="0"/>
        <c:ser>
          <c:idx val="6"/>
          <c:order val="6"/>
          <c:tx>
            <c:strRef>
              <c:f>Charts_Other_Sco!$B$28</c:f>
              <c:strCache>
                <c:ptCount val="1"/>
                <c:pt idx="0">
                  <c:v>as % UK Maritime Sector (RHS)</c:v>
                </c:pt>
              </c:strCache>
            </c:strRef>
          </c:tx>
          <c:spPr>
            <a:ln w="28575" cap="rnd">
              <a:solidFill>
                <a:srgbClr val="C00000"/>
              </a:solidFill>
              <a:round/>
            </a:ln>
            <a:effectLst/>
          </c:spPr>
          <c:marker>
            <c:symbol val="none"/>
          </c:marker>
          <c:cat>
            <c:strLit>
              <c:ptCount val="8"/>
              <c:pt idx="0">
                <c:v>100.0%</c:v>
              </c:pt>
              <c:pt idx="1">
                <c:v>200.0%</c:v>
              </c:pt>
              <c:pt idx="2">
                <c:v>300.0%</c:v>
              </c:pt>
              <c:pt idx="3">
                <c:v>400.0%</c:v>
              </c:pt>
              <c:pt idx="4">
                <c:v>500.0%</c:v>
              </c:pt>
              <c:pt idx="5">
                <c:v>600.0%</c:v>
              </c:pt>
              <c:pt idx="6">
                <c:v>700.0%</c:v>
              </c:pt>
              <c:pt idx="7">
                <c:v>800.0%</c:v>
              </c:pt>
              <c:extLst>
                <c:ext xmlns:c15="http://schemas.microsoft.com/office/drawing/2012/chart" uri="{02D57815-91ED-43cb-92C2-25804820EDAC}">
                  <c15:autoCat val="1"/>
                </c:ext>
              </c:extLst>
            </c:strLit>
          </c:cat>
          <c:val>
            <c:numRef>
              <c:f>Charts_Other_Sco!$C$28:$J$28</c:f>
              <c:numCache>
                <c:formatCode>0.0%</c:formatCode>
                <c:ptCount val="8"/>
                <c:pt idx="0">
                  <c:v>0.20443811618135424</c:v>
                </c:pt>
                <c:pt idx="1">
                  <c:v>0.19728027513447072</c:v>
                </c:pt>
                <c:pt idx="2">
                  <c:v>0.20813332053292719</c:v>
                </c:pt>
                <c:pt idx="3">
                  <c:v>0.18806745192249583</c:v>
                </c:pt>
                <c:pt idx="4">
                  <c:v>0.22882036998073443</c:v>
                </c:pt>
                <c:pt idx="5">
                  <c:v>0.19167219015699308</c:v>
                </c:pt>
                <c:pt idx="6">
                  <c:v>0.18599235325853639</c:v>
                </c:pt>
                <c:pt idx="7">
                  <c:v>0.1709976380915757</c:v>
                </c:pt>
              </c:numCache>
              <c:extLst/>
            </c:numRef>
          </c:val>
          <c:smooth val="0"/>
        </c:ser>
        <c:dLbls>
          <c:showLegendKey val="0"/>
          <c:showVal val="0"/>
          <c:showCatName val="0"/>
          <c:showSerName val="0"/>
          <c:showPercent val="0"/>
          <c:showBubbleSize val="0"/>
        </c:dLbls>
        <c:marker val="1"/>
        <c:smooth val="0"/>
        <c:axId val="102316592"/>
        <c:axId val="102316200"/>
      </c:lineChart>
      <c:catAx>
        <c:axId val="10190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2688"/>
        <c:crosses val="autoZero"/>
        <c:auto val="1"/>
        <c:lblAlgn val="ctr"/>
        <c:lblOffset val="100"/>
        <c:noMultiLvlLbl val="0"/>
      </c:catAx>
      <c:valAx>
        <c:axId val="10190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million</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02296"/>
        <c:crosses val="autoZero"/>
        <c:crossBetween val="between"/>
      </c:valAx>
      <c:valAx>
        <c:axId val="102316200"/>
        <c:scaling>
          <c:orientation val="minMax"/>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Scotland as % of UK Maritime</a:t>
                </a:r>
                <a:r>
                  <a:rPr lang="en-GB" baseline="0"/>
                  <a:t> sector</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16592"/>
        <c:crosses val="max"/>
        <c:crossBetween val="between"/>
      </c:valAx>
      <c:catAx>
        <c:axId val="102316592"/>
        <c:scaling>
          <c:orientation val="minMax"/>
        </c:scaling>
        <c:delete val="1"/>
        <c:axPos val="b"/>
        <c:numFmt formatCode="General" sourceLinked="1"/>
        <c:majorTickMark val="out"/>
        <c:minorTickMark val="none"/>
        <c:tickLblPos val="nextTo"/>
        <c:crossAx val="102316200"/>
        <c:crosses val="autoZero"/>
        <c:auto val="1"/>
        <c:lblAlgn val="ctr"/>
        <c:lblOffset val="100"/>
        <c:noMultiLvlLbl val="0"/>
      </c:catAx>
      <c:spPr>
        <a:noFill/>
        <a:ln>
          <a:noFill/>
        </a:ln>
        <a:effectLst/>
      </c:spPr>
    </c:plotArea>
    <c:legend>
      <c:legendPos val="b"/>
      <c:layout>
        <c:manualLayout>
          <c:xMode val="edge"/>
          <c:yMode val="edge"/>
          <c:x val="1.1995811595606779E-2"/>
          <c:y val="0.87241851851851848"/>
          <c:w val="0.97870956951716115"/>
          <c:h val="0.1275815523059617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Charts_Other_Sco!$B$4</c:f>
              <c:strCache>
                <c:ptCount val="1"/>
                <c:pt idx="0">
                  <c:v>Income Tax</c:v>
                </c:pt>
              </c:strCache>
            </c:strRef>
          </c:tx>
          <c:spPr>
            <a:solidFill>
              <a:schemeClr val="accent1"/>
            </a:solidFill>
            <a:ln>
              <a:noFill/>
            </a:ln>
            <a:effectLst/>
          </c:spPr>
          <c:invertIfNegative val="0"/>
          <c:cat>
            <c:numRef>
              <c:f>Charts_Other_Sco!$C$3:$J$3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Charts_Other_Sco!$C$4:$J$4</c:f>
              <c:numCache>
                <c:formatCode>#,##0_ ;\-#,##0\ </c:formatCode>
                <c:ptCount val="8"/>
                <c:pt idx="0">
                  <c:v>244.56737132750348</c:v>
                </c:pt>
                <c:pt idx="1">
                  <c:v>252.56719460688063</c:v>
                </c:pt>
                <c:pt idx="2">
                  <c:v>297.36108146844504</c:v>
                </c:pt>
                <c:pt idx="3">
                  <c:v>262.62958677477741</c:v>
                </c:pt>
                <c:pt idx="4">
                  <c:v>367.07668199162129</c:v>
                </c:pt>
                <c:pt idx="5">
                  <c:v>288.92218385768155</c:v>
                </c:pt>
                <c:pt idx="6">
                  <c:v>314.01385785272504</c:v>
                </c:pt>
                <c:pt idx="7">
                  <c:v>265.24781287902198</c:v>
                </c:pt>
              </c:numCache>
            </c:numRef>
          </c:val>
        </c:ser>
        <c:ser>
          <c:idx val="1"/>
          <c:order val="1"/>
          <c:tx>
            <c:strRef>
              <c:f>Charts_Other_Sco!$B$5</c:f>
              <c:strCache>
                <c:ptCount val="1"/>
                <c:pt idx="0">
                  <c:v>NICs</c:v>
                </c:pt>
              </c:strCache>
            </c:strRef>
          </c:tx>
          <c:spPr>
            <a:solidFill>
              <a:schemeClr val="accent2"/>
            </a:solidFill>
            <a:ln>
              <a:noFill/>
            </a:ln>
            <a:effectLst/>
          </c:spPr>
          <c:invertIfNegative val="0"/>
          <c:cat>
            <c:numRef>
              <c:f>Charts_Other_Sco!$C$3:$J$3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Charts_Other_Sco!$C$5:$J$5</c:f>
              <c:numCache>
                <c:formatCode>#,##0_ ;\-#,##0\ </c:formatCode>
                <c:ptCount val="8"/>
                <c:pt idx="0">
                  <c:v>273.81987143066982</c:v>
                </c:pt>
                <c:pt idx="1">
                  <c:v>286.34669405118495</c:v>
                </c:pt>
                <c:pt idx="2">
                  <c:v>318.01910516706931</c:v>
                </c:pt>
                <c:pt idx="3">
                  <c:v>296.36526455632344</c:v>
                </c:pt>
                <c:pt idx="4">
                  <c:v>377.09598268259253</c:v>
                </c:pt>
                <c:pt idx="5">
                  <c:v>323.31725613391376</c:v>
                </c:pt>
                <c:pt idx="6">
                  <c:v>333.51985358787846</c:v>
                </c:pt>
                <c:pt idx="7">
                  <c:v>303.95540198640447</c:v>
                </c:pt>
              </c:numCache>
            </c:numRef>
          </c:val>
        </c:ser>
        <c:ser>
          <c:idx val="3"/>
          <c:order val="2"/>
          <c:tx>
            <c:strRef>
              <c:f>Charts_Other_Sco!$B$6</c:f>
              <c:strCache>
                <c:ptCount val="1"/>
                <c:pt idx="0">
                  <c:v>VAT</c:v>
                </c:pt>
              </c:strCache>
            </c:strRef>
          </c:tx>
          <c:spPr>
            <a:solidFill>
              <a:schemeClr val="accent3"/>
            </a:solidFill>
            <a:ln>
              <a:noFill/>
            </a:ln>
            <a:effectLst/>
          </c:spPr>
          <c:invertIfNegative val="0"/>
          <c:cat>
            <c:numRef>
              <c:f>Charts_Other_Sco!$C$3:$J$3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Charts_Other_Sco!$C$6:$J$6</c:f>
              <c:numCache>
                <c:formatCode>#,##0_ ;\-#,##0\ </c:formatCode>
                <c:ptCount val="8"/>
                <c:pt idx="0">
                  <c:v>102.13929125931162</c:v>
                </c:pt>
                <c:pt idx="1">
                  <c:v>94.322254494640489</c:v>
                </c:pt>
                <c:pt idx="2">
                  <c:v>98.709633369465479</c:v>
                </c:pt>
                <c:pt idx="3">
                  <c:v>109.83280113237582</c:v>
                </c:pt>
                <c:pt idx="4">
                  <c:v>121.56620852377421</c:v>
                </c:pt>
                <c:pt idx="5">
                  <c:v>119.81986430535063</c:v>
                </c:pt>
                <c:pt idx="6">
                  <c:v>117.35785817546297</c:v>
                </c:pt>
                <c:pt idx="7">
                  <c:v>125.39015413154233</c:v>
                </c:pt>
              </c:numCache>
            </c:numRef>
          </c:val>
        </c:ser>
        <c:ser>
          <c:idx val="2"/>
          <c:order val="3"/>
          <c:tx>
            <c:strRef>
              <c:f>Charts_Other_Sco!$B$7</c:f>
              <c:strCache>
                <c:ptCount val="1"/>
                <c:pt idx="0">
                  <c:v>Corporation Tax</c:v>
                </c:pt>
              </c:strCache>
            </c:strRef>
          </c:tx>
          <c:spPr>
            <a:solidFill>
              <a:schemeClr val="accent5">
                <a:lumMod val="40000"/>
                <a:lumOff val="60000"/>
              </a:schemeClr>
            </a:solidFill>
            <a:ln>
              <a:noFill/>
            </a:ln>
            <a:effectLst/>
          </c:spPr>
          <c:invertIfNegative val="0"/>
          <c:cat>
            <c:numRef>
              <c:f>Charts_Other_Sco!$C$3:$J$3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Charts_Other_Sco!$C$7:$J$7</c:f>
              <c:numCache>
                <c:formatCode>#,##0_ ;\-#,##0\ </c:formatCode>
                <c:ptCount val="8"/>
                <c:pt idx="0">
                  <c:v>239.62793981996853</c:v>
                </c:pt>
                <c:pt idx="1">
                  <c:v>215.83093402711816</c:v>
                </c:pt>
                <c:pt idx="2">
                  <c:v>247.83686546414071</c:v>
                </c:pt>
                <c:pt idx="3">
                  <c:v>250.13362940719622</c:v>
                </c:pt>
                <c:pt idx="4">
                  <c:v>316.91710386824536</c:v>
                </c:pt>
                <c:pt idx="5">
                  <c:v>186.09371240578497</c:v>
                </c:pt>
                <c:pt idx="6">
                  <c:v>155.58809099646703</c:v>
                </c:pt>
                <c:pt idx="7">
                  <c:v>154.42824940230929</c:v>
                </c:pt>
              </c:numCache>
            </c:numRef>
          </c:val>
        </c:ser>
        <c:ser>
          <c:idx val="4"/>
          <c:order val="4"/>
          <c:tx>
            <c:strRef>
              <c:f>Charts_Other_Sco!$B$8</c:f>
              <c:strCache>
                <c:ptCount val="1"/>
                <c:pt idx="0">
                  <c:v>Business Rates</c:v>
                </c:pt>
              </c:strCache>
            </c:strRef>
          </c:tx>
          <c:spPr>
            <a:solidFill>
              <a:schemeClr val="accent4"/>
            </a:solidFill>
            <a:ln>
              <a:noFill/>
            </a:ln>
            <a:effectLst/>
          </c:spPr>
          <c:invertIfNegative val="0"/>
          <c:cat>
            <c:numRef>
              <c:f>Charts_Other_Sco!$C$3:$J$3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Charts_Other_Sco!$C$8:$J$8</c:f>
              <c:numCache>
                <c:formatCode>#,##0_ ;\-#,##0\ </c:formatCode>
                <c:ptCount val="8"/>
                <c:pt idx="0">
                  <c:v>31.485677191904411</c:v>
                </c:pt>
                <c:pt idx="1">
                  <c:v>25.919383326173779</c:v>
                </c:pt>
                <c:pt idx="2">
                  <c:v>33.933124583453413</c:v>
                </c:pt>
                <c:pt idx="3">
                  <c:v>37.432367161294856</c:v>
                </c:pt>
                <c:pt idx="4">
                  <c:v>39.257770343854318</c:v>
                </c:pt>
                <c:pt idx="5">
                  <c:v>40.31542239050053</c:v>
                </c:pt>
                <c:pt idx="6">
                  <c:v>30.358973915246132</c:v>
                </c:pt>
                <c:pt idx="7">
                  <c:v>38.79451045540771</c:v>
                </c:pt>
              </c:numCache>
            </c:numRef>
          </c:val>
        </c:ser>
        <c:dLbls>
          <c:showLegendKey val="0"/>
          <c:showVal val="0"/>
          <c:showCatName val="0"/>
          <c:showSerName val="0"/>
          <c:showPercent val="0"/>
          <c:showBubbleSize val="0"/>
        </c:dLbls>
        <c:gapWidth val="150"/>
        <c:overlap val="100"/>
        <c:axId val="102321296"/>
        <c:axId val="102320512"/>
      </c:barChart>
      <c:catAx>
        <c:axId val="10232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20512"/>
        <c:crosses val="autoZero"/>
        <c:auto val="1"/>
        <c:lblAlgn val="ctr"/>
        <c:lblOffset val="100"/>
        <c:noMultiLvlLbl val="0"/>
      </c:catAx>
      <c:valAx>
        <c:axId val="10232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21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4780334811984"/>
          <c:y val="5.0925925925925923E-2"/>
          <c:w val="0.75091646535629364"/>
          <c:h val="0.72287267640473962"/>
        </c:manualLayout>
      </c:layout>
      <c:barChart>
        <c:barDir val="col"/>
        <c:grouping val="stacked"/>
        <c:varyColors val="0"/>
        <c:ser>
          <c:idx val="0"/>
          <c:order val="0"/>
          <c:tx>
            <c:strRef>
              <c:f>Charts_Other_Sco!$B$37</c:f>
              <c:strCache>
                <c:ptCount val="1"/>
                <c:pt idx="0">
                  <c:v>Shipping</c:v>
                </c:pt>
              </c:strCache>
            </c:strRef>
          </c:tx>
          <c:spPr>
            <a:solidFill>
              <a:schemeClr val="accent1"/>
            </a:solidFill>
            <a:ln>
              <a:noFill/>
            </a:ln>
            <a:effectLst/>
          </c:spPr>
          <c:invertIfNegative val="0"/>
          <c:cat>
            <c:numRef>
              <c:f>Charts_Other_Sco!$C$36:$J$36</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Charts_Other_Sco!$C$37:$J$37</c:f>
              <c:numCache>
                <c:formatCode>#,##0_ ;\-#,##0\ </c:formatCode>
                <c:ptCount val="8"/>
                <c:pt idx="0">
                  <c:v>677.18187369790644</c:v>
                </c:pt>
                <c:pt idx="1">
                  <c:v>1015.5457197841233</c:v>
                </c:pt>
                <c:pt idx="2">
                  <c:v>826.73253079595963</c:v>
                </c:pt>
                <c:pt idx="3">
                  <c:v>1124.8712418767223</c:v>
                </c:pt>
                <c:pt idx="4">
                  <c:v>1017.2488419391334</c:v>
                </c:pt>
                <c:pt idx="5">
                  <c:v>594.80842284508117</c:v>
                </c:pt>
                <c:pt idx="6">
                  <c:v>658.32214398631561</c:v>
                </c:pt>
                <c:pt idx="7">
                  <c:v>677.53359605634728</c:v>
                </c:pt>
              </c:numCache>
            </c:numRef>
          </c:val>
        </c:ser>
        <c:ser>
          <c:idx val="2"/>
          <c:order val="1"/>
          <c:tx>
            <c:strRef>
              <c:f>Charts_Other_Sco!$B$38</c:f>
              <c:strCache>
                <c:ptCount val="1"/>
                <c:pt idx="0">
                  <c:v>Ports</c:v>
                </c:pt>
              </c:strCache>
            </c:strRef>
          </c:tx>
          <c:spPr>
            <a:solidFill>
              <a:schemeClr val="accent2"/>
            </a:solidFill>
            <a:ln>
              <a:noFill/>
            </a:ln>
            <a:effectLst/>
          </c:spPr>
          <c:invertIfNegative val="0"/>
          <c:cat>
            <c:numRef>
              <c:f>Charts_Other_Sco!$C$36:$J$36</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Charts_Other_Sco!$C$38:$J$38</c:f>
              <c:numCache>
                <c:formatCode>#,##0_ ;\-#,##0\ </c:formatCode>
                <c:ptCount val="8"/>
                <c:pt idx="0">
                  <c:v>167.54780303410118</c:v>
                </c:pt>
                <c:pt idx="1">
                  <c:v>240.77988647135624</c:v>
                </c:pt>
                <c:pt idx="2">
                  <c:v>261.69445244130884</c:v>
                </c:pt>
                <c:pt idx="3">
                  <c:v>320.57137068198529</c:v>
                </c:pt>
                <c:pt idx="4">
                  <c:v>227.1510553353495</c:v>
                </c:pt>
                <c:pt idx="5">
                  <c:v>215.56080500106555</c:v>
                </c:pt>
                <c:pt idx="6">
                  <c:v>234.19006477062089</c:v>
                </c:pt>
                <c:pt idx="7">
                  <c:v>267.97075715828038</c:v>
                </c:pt>
              </c:numCache>
            </c:numRef>
          </c:val>
        </c:ser>
        <c:ser>
          <c:idx val="5"/>
          <c:order val="2"/>
          <c:tx>
            <c:strRef>
              <c:f>Charts_Other_Sco!$B$39</c:f>
              <c:strCache>
                <c:ptCount val="1"/>
                <c:pt idx="0">
                  <c:v>Leisure Marine</c:v>
                </c:pt>
              </c:strCache>
            </c:strRef>
          </c:tx>
          <c:spPr>
            <a:solidFill>
              <a:schemeClr val="accent3"/>
            </a:solidFill>
            <a:ln>
              <a:noFill/>
            </a:ln>
            <a:effectLst/>
          </c:spPr>
          <c:invertIfNegative val="0"/>
          <c:cat>
            <c:numRef>
              <c:f>Charts_Other_Sco!$C$36:$J$36</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Charts_Other_Sco!$C$39:$J$39</c:f>
              <c:numCache>
                <c:formatCode>#,##0_ ;\-#,##0\ </c:formatCode>
                <c:ptCount val="8"/>
                <c:pt idx="0">
                  <c:v>0.28386999747761565</c:v>
                </c:pt>
                <c:pt idx="1">
                  <c:v>0.29777534950208756</c:v>
                </c:pt>
                <c:pt idx="2">
                  <c:v>0.75369037651205684</c:v>
                </c:pt>
                <c:pt idx="3">
                  <c:v>0.32310751391296882</c:v>
                </c:pt>
                <c:pt idx="4">
                  <c:v>0.18505699444354126</c:v>
                </c:pt>
                <c:pt idx="5">
                  <c:v>0.34309268696894574</c:v>
                </c:pt>
                <c:pt idx="6">
                  <c:v>0.41871484090381478</c:v>
                </c:pt>
                <c:pt idx="7">
                  <c:v>0</c:v>
                </c:pt>
              </c:numCache>
            </c:numRef>
          </c:val>
        </c:ser>
        <c:ser>
          <c:idx val="3"/>
          <c:order val="3"/>
          <c:tx>
            <c:strRef>
              <c:f>Charts_Other_Sco!$B$41</c:f>
              <c:strCache>
                <c:ptCount val="1"/>
                <c:pt idx="0">
                  <c:v>Marine Offshore Oil &amp; Gas</c:v>
                </c:pt>
              </c:strCache>
            </c:strRef>
          </c:tx>
          <c:spPr>
            <a:solidFill>
              <a:schemeClr val="accent5">
                <a:lumMod val="60000"/>
                <a:lumOff val="40000"/>
              </a:schemeClr>
            </a:solidFill>
            <a:ln>
              <a:noFill/>
            </a:ln>
            <a:effectLst/>
          </c:spPr>
          <c:invertIfNegative val="0"/>
          <c:cat>
            <c:numRef>
              <c:f>Charts_Other_Sco!$C$36:$J$36</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Charts_Other_Sco!$C$41:$J$41</c:f>
              <c:numCache>
                <c:formatCode>#,##0_ ;\-#,##0\ </c:formatCode>
                <c:ptCount val="8"/>
                <c:pt idx="0">
                  <c:v>447.07596333557495</c:v>
                </c:pt>
                <c:pt idx="1">
                  <c:v>564.11882954460009</c:v>
                </c:pt>
                <c:pt idx="2">
                  <c:v>302.81987462769547</c:v>
                </c:pt>
                <c:pt idx="3">
                  <c:v>329.10142440646734</c:v>
                </c:pt>
                <c:pt idx="4">
                  <c:v>413.81690069665217</c:v>
                </c:pt>
                <c:pt idx="5">
                  <c:v>445.09165205819687</c:v>
                </c:pt>
                <c:pt idx="6">
                  <c:v>287.22194725174597</c:v>
                </c:pt>
                <c:pt idx="7">
                  <c:v>300.12709311032364</c:v>
                </c:pt>
              </c:numCache>
            </c:numRef>
          </c:val>
        </c:ser>
        <c:ser>
          <c:idx val="4"/>
          <c:order val="4"/>
          <c:tx>
            <c:strRef>
              <c:f>Charts_Other_Sco!$B$42</c:f>
              <c:strCache>
                <c:ptCount val="1"/>
                <c:pt idx="0">
                  <c:v>Other Marine Engineering</c:v>
                </c:pt>
              </c:strCache>
            </c:strRef>
          </c:tx>
          <c:spPr>
            <a:solidFill>
              <a:schemeClr val="accent4"/>
            </a:solidFill>
            <a:ln>
              <a:noFill/>
            </a:ln>
            <a:effectLst/>
          </c:spPr>
          <c:invertIfNegative val="0"/>
          <c:cat>
            <c:numRef>
              <c:f>Charts_Other_Sco!$C$36:$J$36</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Charts_Other_Sco!$C$42:$J$42</c:f>
              <c:numCache>
                <c:formatCode>#,##0_ ;\-#,##0\ </c:formatCode>
                <c:ptCount val="8"/>
                <c:pt idx="0">
                  <c:v>689.46584504040288</c:v>
                </c:pt>
                <c:pt idx="1">
                  <c:v>388.48023539700091</c:v>
                </c:pt>
                <c:pt idx="2">
                  <c:v>513.17636517494748</c:v>
                </c:pt>
                <c:pt idx="3">
                  <c:v>729.76972776768059</c:v>
                </c:pt>
                <c:pt idx="4">
                  <c:v>786.0372009161207</c:v>
                </c:pt>
                <c:pt idx="5">
                  <c:v>770.98117037859515</c:v>
                </c:pt>
                <c:pt idx="6">
                  <c:v>811.06317066992062</c:v>
                </c:pt>
                <c:pt idx="7">
                  <c:v>542.78698117024646</c:v>
                </c:pt>
              </c:numCache>
            </c:numRef>
          </c:val>
        </c:ser>
        <c:ser>
          <c:idx val="6"/>
          <c:order val="5"/>
          <c:tx>
            <c:strRef>
              <c:f>Charts_Other_Sco!$B$43</c:f>
              <c:strCache>
                <c:ptCount val="1"/>
                <c:pt idx="0">
                  <c:v>MBS</c:v>
                </c:pt>
              </c:strCache>
            </c:strRef>
          </c:tx>
          <c:spPr>
            <a:solidFill>
              <a:srgbClr val="7030A0"/>
            </a:solidFill>
            <a:ln>
              <a:noFill/>
            </a:ln>
            <a:effectLst/>
          </c:spPr>
          <c:invertIfNegative val="0"/>
          <c:cat>
            <c:numRef>
              <c:f>Charts_Other_Sco!$C$36:$J$36</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Charts_Other_Sco!$C$43:$J$43</c:f>
              <c:numCache>
                <c:formatCode>#,##0_ ;\-#,##0\ </c:formatCode>
                <c:ptCount val="8"/>
                <c:pt idx="0">
                  <c:v>14.699578879030128</c:v>
                </c:pt>
                <c:pt idx="1">
                  <c:v>18.455198148671965</c:v>
                </c:pt>
                <c:pt idx="2">
                  <c:v>18.312416556000084</c:v>
                </c:pt>
                <c:pt idx="3">
                  <c:v>24.599047479059546</c:v>
                </c:pt>
                <c:pt idx="4">
                  <c:v>22.789871723869904</c:v>
                </c:pt>
                <c:pt idx="5">
                  <c:v>19.450581722420868</c:v>
                </c:pt>
                <c:pt idx="6">
                  <c:v>24.370266509078427</c:v>
                </c:pt>
                <c:pt idx="7">
                  <c:v>26.196150129005165</c:v>
                </c:pt>
              </c:numCache>
            </c:numRef>
          </c:val>
        </c:ser>
        <c:dLbls>
          <c:showLegendKey val="0"/>
          <c:showVal val="0"/>
          <c:showCatName val="0"/>
          <c:showSerName val="0"/>
          <c:showPercent val="0"/>
          <c:showBubbleSize val="0"/>
        </c:dLbls>
        <c:gapWidth val="150"/>
        <c:overlap val="100"/>
        <c:axId val="102321688"/>
        <c:axId val="102315024"/>
      </c:barChart>
      <c:lineChart>
        <c:grouping val="standard"/>
        <c:varyColors val="0"/>
        <c:ser>
          <c:idx val="7"/>
          <c:order val="6"/>
          <c:tx>
            <c:strRef>
              <c:f>Charts_Other_Sco!$B$44</c:f>
              <c:strCache>
                <c:ptCount val="1"/>
                <c:pt idx="0">
                  <c:v>as % UK Maritime Sector (RHS)</c:v>
                </c:pt>
              </c:strCache>
            </c:strRef>
          </c:tx>
          <c:spPr>
            <a:ln w="28575" cap="rnd">
              <a:solidFill>
                <a:srgbClr val="C00000"/>
              </a:solidFill>
              <a:round/>
            </a:ln>
            <a:effectLst/>
          </c:spPr>
          <c:marker>
            <c:symbol val="none"/>
          </c:marker>
          <c:cat>
            <c:numRef>
              <c:f>Charts_Other_Sco!$C$36:$J$36</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Charts_Other_Sco!$C$44:$J$44</c:f>
              <c:numCache>
                <c:formatCode>0.0%</c:formatCode>
                <c:ptCount val="8"/>
                <c:pt idx="0">
                  <c:v>0.13092916308989258</c:v>
                </c:pt>
                <c:pt idx="1">
                  <c:v>0.13438198222035788</c:v>
                </c:pt>
                <c:pt idx="2">
                  <c:v>0.1227012207325032</c:v>
                </c:pt>
                <c:pt idx="3">
                  <c:v>0.16773727532290572</c:v>
                </c:pt>
                <c:pt idx="4">
                  <c:v>0.16998106625804432</c:v>
                </c:pt>
                <c:pt idx="5">
                  <c:v>0.16674449466756189</c:v>
                </c:pt>
                <c:pt idx="6">
                  <c:v>0.16239331927882059</c:v>
                </c:pt>
                <c:pt idx="7">
                  <c:v>0.14600331642596634</c:v>
                </c:pt>
              </c:numCache>
            </c:numRef>
          </c:val>
          <c:smooth val="0"/>
        </c:ser>
        <c:dLbls>
          <c:showLegendKey val="0"/>
          <c:showVal val="0"/>
          <c:showCatName val="0"/>
          <c:showSerName val="0"/>
          <c:showPercent val="0"/>
          <c:showBubbleSize val="0"/>
        </c:dLbls>
        <c:marker val="1"/>
        <c:smooth val="0"/>
        <c:axId val="102315416"/>
        <c:axId val="102320120"/>
      </c:lineChart>
      <c:catAx>
        <c:axId val="102321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15024"/>
        <c:crosses val="autoZero"/>
        <c:auto val="1"/>
        <c:lblAlgn val="ctr"/>
        <c:lblOffset val="100"/>
        <c:noMultiLvlLbl val="0"/>
      </c:catAx>
      <c:valAx>
        <c:axId val="10231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million</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21688"/>
        <c:crosses val="autoZero"/>
        <c:crossBetween val="between"/>
      </c:valAx>
      <c:valAx>
        <c:axId val="102320120"/>
        <c:scaling>
          <c:orientation val="minMax"/>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Scotland</a:t>
                </a:r>
                <a:r>
                  <a:rPr lang="en-GB" baseline="0"/>
                  <a:t> as % share of UK Maritime sector</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15416"/>
        <c:crosses val="max"/>
        <c:crossBetween val="between"/>
      </c:valAx>
      <c:catAx>
        <c:axId val="102315416"/>
        <c:scaling>
          <c:orientation val="minMax"/>
        </c:scaling>
        <c:delete val="1"/>
        <c:axPos val="b"/>
        <c:numFmt formatCode="General" sourceLinked="1"/>
        <c:majorTickMark val="out"/>
        <c:minorTickMark val="none"/>
        <c:tickLblPos val="nextTo"/>
        <c:crossAx val="102320120"/>
        <c:crosses val="autoZero"/>
        <c:auto val="1"/>
        <c:lblAlgn val="ctr"/>
        <c:lblOffset val="100"/>
        <c:noMultiLvlLbl val="0"/>
      </c:catAx>
      <c:spPr>
        <a:noFill/>
        <a:ln>
          <a:noFill/>
        </a:ln>
        <a:effectLst/>
      </c:spPr>
    </c:plotArea>
    <c:legend>
      <c:legendPos val="b"/>
      <c:layout>
        <c:manualLayout>
          <c:xMode val="edge"/>
          <c:yMode val="edge"/>
          <c:x val="1.3178477690288714E-2"/>
          <c:y val="0.855138944465205"/>
          <c:w val="0.97786563307493535"/>
          <c:h val="0.14486105553479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0.40936</cdr:x>
      <cdr:y>0.03753</cdr:y>
    </cdr:from>
    <cdr:to>
      <cdr:x>0.40936</cdr:x>
      <cdr:y>0.8481</cdr:y>
    </cdr:to>
    <cdr:cxnSp macro="">
      <cdr:nvCxnSpPr>
        <cdr:cNvPr id="3" name="Straight Connector 2">
          <a:extLst xmlns:a="http://schemas.openxmlformats.org/drawingml/2006/main">
            <a:ext uri="{FF2B5EF4-FFF2-40B4-BE49-F238E27FC236}">
              <a16:creationId xmlns="" xmlns:a16="http://schemas.microsoft.com/office/drawing/2014/main" id="{27895203-03A7-427C-9D5F-7E0C5DBC28B3}"/>
            </a:ext>
          </a:extLst>
        </cdr:cNvPr>
        <cdr:cNvCxnSpPr/>
      </cdr:nvCxnSpPr>
      <cdr:spPr>
        <a:xfrm xmlns:a="http://schemas.openxmlformats.org/drawingml/2006/main" flipV="1">
          <a:off x="2346251" y="145034"/>
          <a:ext cx="0" cy="3132000"/>
        </a:xfrm>
        <a:prstGeom xmlns:a="http://schemas.openxmlformats.org/drawingml/2006/main" prst="line">
          <a:avLst/>
        </a:prstGeom>
        <a:ln xmlns:a="http://schemas.openxmlformats.org/drawingml/2006/main">
          <a:solidFill>
            <a:schemeClr val="accent5">
              <a:lumMod val="60000"/>
              <a:lumOff val="40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ebr Colours">
      <a:dk1>
        <a:sysClr val="windowText" lastClr="000000"/>
      </a:dk1>
      <a:lt1>
        <a:sysClr val="window" lastClr="FFFFFF"/>
      </a:lt1>
      <a:dk2>
        <a:srgbClr val="008C9B"/>
      </a:dk2>
      <a:lt2>
        <a:srgbClr val="EEECE1"/>
      </a:lt2>
      <a:accent1>
        <a:srgbClr val="008C9B"/>
      </a:accent1>
      <a:accent2>
        <a:srgbClr val="00AEEF"/>
      </a:accent2>
      <a:accent3>
        <a:srgbClr val="6D6E71"/>
      </a:accent3>
      <a:accent4>
        <a:srgbClr val="BCBEC0"/>
      </a:accent4>
      <a:accent5>
        <a:srgbClr val="ED1C24"/>
      </a:accent5>
      <a:accent6>
        <a:srgbClr val="004A53"/>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ebr Colours">
    <a:dk1>
      <a:sysClr val="windowText" lastClr="000000"/>
    </a:dk1>
    <a:lt1>
      <a:sysClr val="window" lastClr="FFFFFF"/>
    </a:lt1>
    <a:dk2>
      <a:srgbClr val="008C9B"/>
    </a:dk2>
    <a:lt2>
      <a:srgbClr val="EEECE1"/>
    </a:lt2>
    <a:accent1>
      <a:srgbClr val="008C9B"/>
    </a:accent1>
    <a:accent2>
      <a:srgbClr val="00AEEF"/>
    </a:accent2>
    <a:accent3>
      <a:srgbClr val="6D6E71"/>
    </a:accent3>
    <a:accent4>
      <a:srgbClr val="BCBEC0"/>
    </a:accent4>
    <a:accent5>
      <a:srgbClr val="ED1C24"/>
    </a:accent5>
    <a:accent6>
      <a:srgbClr val="004A53"/>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CAFE-A50F-4CEE-8C0F-D7DB41F9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Cebr_Word report template</Template>
  <TotalTime>0</TotalTime>
  <Pages>39</Pages>
  <Words>11981</Words>
  <Characters>68297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80118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Lea</dc:creator>
  <cp:keywords/>
  <dc:description/>
  <cp:lastModifiedBy>Daryn Park</cp:lastModifiedBy>
  <cp:revision>2</cp:revision>
  <cp:lastPrinted>2017-08-30T08:50:00Z</cp:lastPrinted>
  <dcterms:created xsi:type="dcterms:W3CDTF">2019-08-15T13:41:00Z</dcterms:created>
  <dcterms:modified xsi:type="dcterms:W3CDTF">2019-08-15T13:41:00Z</dcterms:modified>
</cp:coreProperties>
</file>