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21"/>
      </w:tblGrid>
      <w:tr w:rsidR="00F757B0" w14:paraId="046F00B2" w14:textId="77777777" w:rsidTr="00355E7A">
        <w:trPr>
          <w:trHeight w:hRule="exact" w:val="6670"/>
        </w:trPr>
        <w:tc>
          <w:tcPr>
            <w:tcW w:w="9421" w:type="dxa"/>
          </w:tcPr>
          <w:p w14:paraId="37459B99" w14:textId="77777777" w:rsidR="00F757B0" w:rsidRDefault="00F757B0" w:rsidP="00A76027"/>
        </w:tc>
      </w:tr>
      <w:tr w:rsidR="00F757B0" w14:paraId="125717DD" w14:textId="77777777" w:rsidTr="00E12240">
        <w:trPr>
          <w:trHeight w:hRule="exact" w:val="4423"/>
        </w:trPr>
        <w:tc>
          <w:tcPr>
            <w:tcW w:w="9421" w:type="dxa"/>
          </w:tcPr>
          <w:p w14:paraId="317A6469" w14:textId="3D0D2523" w:rsidR="00F757B0" w:rsidRDefault="003C1C00" w:rsidP="00F757B0">
            <w:pPr>
              <w:pStyle w:val="Documenttitle"/>
            </w:pPr>
            <w:r>
              <w:t>Port Freight Investment Model</w:t>
            </w:r>
          </w:p>
          <w:p w14:paraId="3F6AEF61" w14:textId="012E128A" w:rsidR="00F757B0" w:rsidRDefault="00040DD1" w:rsidP="00F757B0">
            <w:pPr>
              <w:pStyle w:val="Documentsubtitle"/>
            </w:pPr>
            <w:r>
              <w:t xml:space="preserve">A </w:t>
            </w:r>
            <w:r w:rsidR="00202AAE">
              <w:t xml:space="preserve">Cebr </w:t>
            </w:r>
            <w:r>
              <w:t xml:space="preserve">report for Maritime UK </w:t>
            </w:r>
          </w:p>
          <w:p w14:paraId="046E30E9" w14:textId="77777777" w:rsidR="00F757B0" w:rsidRDefault="00040DD1" w:rsidP="00F757B0">
            <w:pPr>
              <w:pStyle w:val="Documentoutline"/>
            </w:pPr>
            <w:r>
              <w:t>August 2019</w:t>
            </w:r>
            <w:bookmarkStart w:id="0" w:name="_GoBack"/>
            <w:bookmarkEnd w:id="0"/>
          </w:p>
        </w:tc>
      </w:tr>
    </w:tbl>
    <w:p w14:paraId="323B3C1F" w14:textId="77777777" w:rsidR="0008458B" w:rsidRDefault="0008458B"/>
    <w:p w14:paraId="3BF10AC6" w14:textId="6C4E54C1" w:rsidR="00040DD1" w:rsidRDefault="00040DD1" w:rsidP="003C1C00">
      <w:pPr>
        <w:pStyle w:val="Disclaimer"/>
        <w:tabs>
          <w:tab w:val="right" w:pos="9412"/>
        </w:tabs>
      </w:pPr>
    </w:p>
    <w:p w14:paraId="3D095734" w14:textId="77777777" w:rsidR="003C1C00" w:rsidRPr="000757FE" w:rsidRDefault="003C1C00" w:rsidP="003C1C00">
      <w:pPr>
        <w:pStyle w:val="Heading1"/>
      </w:pPr>
      <w:bookmarkStart w:id="1" w:name="_Toc491351244"/>
      <w:bookmarkStart w:id="2" w:name="_Toc16062796"/>
      <w:r>
        <w:lastRenderedPageBreak/>
        <w:t>The effect of port freight investment on capacity</w:t>
      </w:r>
    </w:p>
    <w:p w14:paraId="2A633B16" w14:textId="77777777" w:rsidR="003C1C00" w:rsidRDefault="003C1C00" w:rsidP="003C1C00">
      <w:r>
        <w:t>As outlined in the Maritime 2050 report</w:t>
      </w:r>
      <w:r>
        <w:rPr>
          <w:rStyle w:val="FootnoteReference"/>
        </w:rPr>
        <w:footnoteReference w:id="1"/>
      </w:r>
      <w:r>
        <w:t>, the UK relies significantly on the Maritime Sector for trade. 95% of the UK’s trade volume is transported by ships. Shipping also provides 48% of the UK’s food supply and 25% of the country’s energy supply.</w:t>
      </w:r>
      <w:r>
        <w:rPr>
          <w:rStyle w:val="FootnoteReference"/>
        </w:rPr>
        <w:footnoteReference w:id="2"/>
      </w:r>
      <w:r>
        <w:t xml:space="preserve"> It is estimated that by 2050 tonnage passing through UK ports could be 39% greater than current levels.</w:t>
      </w:r>
      <w:r>
        <w:rPr>
          <w:rStyle w:val="FootnoteReference"/>
        </w:rPr>
        <w:footnoteReference w:id="3"/>
      </w:r>
      <w:r>
        <w:t xml:space="preserve"> As such, it is vitally important that UK ports can handle this volume that passes through them in an efficient manner. The focus of this analysis is purely on the economic impact of varying volumes of goods passing through UK ports.</w:t>
      </w:r>
    </w:p>
    <w:p w14:paraId="3BDE82A0" w14:textId="77777777" w:rsidR="003C1C00" w:rsidRDefault="003C1C00" w:rsidP="003C1C00">
      <w:r>
        <w:t>This section looks into the impact of port freight investment on capacity throughput in UK ports. We compute impacts from the investment on national GDP, port revenues and port GVA. It is worth noting that the transmission mechanism modelled is port freight investment increasing capacity, and this in turn having the aforementioned benefits to GDP, ports revenue and GVA. As such, we are solely focusing on the ‘volume’ benefits of investment, including investment in activities such as pilotage and stevedoring. Investment with the aim of supporting ‘value’ activities, such as cargo storage revenue and container destuffing is not considered as part of this analysis, as it is much less directly related to changes in capacity. Given this, our analysis on port freight investment likely understates the total economic contribution supported by additional port investment.</w:t>
      </w:r>
    </w:p>
    <w:p w14:paraId="6246007A" w14:textId="77777777" w:rsidR="003C1C00" w:rsidRDefault="003C1C00" w:rsidP="003C1C00">
      <w:r>
        <w:t xml:space="preserve">There is currently significant investment in ports, both major and minor, throughout the UK. </w:t>
      </w:r>
      <w:r w:rsidRPr="00E66D83">
        <w:rPr>
          <w:szCs w:val="22"/>
        </w:rPr>
        <w:t>In 2018, the British Ports Association conducted a study, which showed that there were 1.7bn port projects in the pipeline.</w:t>
      </w:r>
      <w:r>
        <w:rPr>
          <w:rStyle w:val="FootnoteReference"/>
          <w:szCs w:val="22"/>
        </w:rPr>
        <w:footnoteReference w:id="4"/>
      </w:r>
      <w:r>
        <w:rPr>
          <w:szCs w:val="22"/>
        </w:rPr>
        <w:t xml:space="preserve"> </w:t>
      </w:r>
      <w:r>
        <w:t>This analysis will provide impact assessments on the current outturn of investment and under three capital expenditure (CapEx) scenarios:</w:t>
      </w:r>
    </w:p>
    <w:p w14:paraId="328D25AF" w14:textId="77777777" w:rsidR="003C1C00" w:rsidRDefault="003C1C00" w:rsidP="003C1C00">
      <w:pPr>
        <w:pStyle w:val="ListParagraph"/>
        <w:numPr>
          <w:ilvl w:val="0"/>
          <w:numId w:val="24"/>
        </w:numPr>
        <w:contextualSpacing w:val="0"/>
      </w:pPr>
      <w:r>
        <w:t>If CapEx had been 10% greater than outturn;</w:t>
      </w:r>
    </w:p>
    <w:p w14:paraId="6BEB6A7C" w14:textId="77777777" w:rsidR="003C1C00" w:rsidRDefault="003C1C00" w:rsidP="003C1C00">
      <w:pPr>
        <w:pStyle w:val="ListParagraph"/>
        <w:numPr>
          <w:ilvl w:val="0"/>
          <w:numId w:val="24"/>
        </w:numPr>
        <w:contextualSpacing w:val="0"/>
      </w:pPr>
      <w:r>
        <w:t>If CapEx had been 20% greater than outturn; and</w:t>
      </w:r>
    </w:p>
    <w:p w14:paraId="416114ED" w14:textId="77777777" w:rsidR="003C1C00" w:rsidRDefault="003C1C00" w:rsidP="003C1C00">
      <w:pPr>
        <w:pStyle w:val="ListParagraph"/>
        <w:numPr>
          <w:ilvl w:val="0"/>
          <w:numId w:val="24"/>
        </w:numPr>
        <w:contextualSpacing w:val="0"/>
      </w:pPr>
      <w:r>
        <w:t>If CapEx had been 40% greater than outturn.</w:t>
      </w:r>
    </w:p>
    <w:p w14:paraId="446CA7EE" w14:textId="77777777" w:rsidR="003C1C00" w:rsidRDefault="003C1C00" w:rsidP="003C1C00">
      <w:pPr>
        <w:spacing w:before="120"/>
      </w:pPr>
      <w:r w:rsidRPr="00E66D83">
        <w:rPr>
          <w:szCs w:val="22"/>
        </w:rPr>
        <w:t>Due</w:t>
      </w:r>
      <w:r>
        <w:t xml:space="preserve"> to the sensitive and competitive nature of port investment plans, we only present the impacts in relation to the different CapEx scenarios and aggregate investment. Aggregate data on investment and depreciation was provided for UK Major Ports Group Members and select other large port operators. The data showed that, on average, CapEx was £540 million and was 200% of depreciation over the three years. </w:t>
      </w:r>
    </w:p>
    <w:p w14:paraId="17733B84" w14:textId="77777777" w:rsidR="003C1C00" w:rsidRDefault="003C1C00" w:rsidP="003C1C00">
      <w:r>
        <w:t xml:space="preserve">We have not attempted to forecast or extrapolate investment impacts beyond the three years as CapEx can be volatile and year to year variations large. Thus, extrapolating impacts would likely incur large errors and would be unlikely to provide useful insight. Rather this analysis presents the impact of port freight investment in 2015, 2016 and 2017. </w:t>
      </w:r>
    </w:p>
    <w:p w14:paraId="3ABEF991" w14:textId="77777777" w:rsidR="003C1C00" w:rsidRDefault="003C1C00" w:rsidP="003C1C00">
      <w:r>
        <w:lastRenderedPageBreak/>
        <w:t>Our analysis employs two scenarios to estimate the impact of port freight investment on GDP, revenue and GVA. Principally, our analysis relies on the estimation of capacity change as a result of the investment. The two scenarios employed are:</w:t>
      </w:r>
    </w:p>
    <w:p w14:paraId="4B78F582" w14:textId="77777777" w:rsidR="003C1C00" w:rsidRDefault="003C1C00" w:rsidP="003C1C00">
      <w:pPr>
        <w:pStyle w:val="ListParagraph"/>
        <w:numPr>
          <w:ilvl w:val="0"/>
          <w:numId w:val="23"/>
        </w:numPr>
        <w:ind w:left="714" w:hanging="357"/>
        <w:contextualSpacing w:val="0"/>
      </w:pPr>
      <w:r>
        <w:t>Port freight investment has a capacity elasticity of 0.11 i.e. for a 1% increase in investment, the capacity UK ports can handle increases by 0.11%.</w:t>
      </w:r>
      <w:r>
        <w:rPr>
          <w:rStyle w:val="FootnoteReference"/>
        </w:rPr>
        <w:footnoteReference w:id="5"/>
      </w:r>
    </w:p>
    <w:p w14:paraId="7A6F6127" w14:textId="77777777" w:rsidR="003C1C00" w:rsidRDefault="003C1C00" w:rsidP="003C1C00">
      <w:pPr>
        <w:pStyle w:val="ListParagraph"/>
        <w:numPr>
          <w:ilvl w:val="0"/>
          <w:numId w:val="23"/>
        </w:numPr>
        <w:ind w:left="714" w:hanging="357"/>
        <w:contextualSpacing w:val="0"/>
      </w:pPr>
      <w:r>
        <w:t>Port freight investment has a capacity to capital stock relationship of 0.09 i.e. when the capital stock of UK ports increase by 1%, capacity handled increases by 0.09%. This was derived from calculating the capital stock from the depreciation data provided from UK Major Ports Group and using the ratio between it and total throughput in UK ports.</w:t>
      </w:r>
    </w:p>
    <w:p w14:paraId="1DEF08B6" w14:textId="77777777" w:rsidR="003C1C00" w:rsidRDefault="003C1C00" w:rsidP="003C1C00">
      <w:pPr>
        <w:pStyle w:val="Heading2"/>
      </w:pPr>
      <w:r>
        <w:t xml:space="preserve"> Impact on GDP</w:t>
      </w:r>
    </w:p>
    <w:p w14:paraId="762DE530" w14:textId="77777777" w:rsidR="003C1C00" w:rsidRDefault="003C1C00" w:rsidP="003C1C00">
      <w:r>
        <w:t>Port freight investment is far reaching beyond ports; there is an impact on the whole of the economy as a result of the additional throughput the ports can handle. Park and Seo (2016) found a container throughput elasticity on GDP of 0.06 i.e. for every 1% increase in container throughput, GDP in the country increases by 0.06%.</w:t>
      </w:r>
      <w:r w:rsidRPr="00A1220B">
        <w:rPr>
          <w:rStyle w:val="FootnoteReference"/>
        </w:rPr>
        <w:footnoteReference w:id="6"/>
      </w:r>
      <w:r>
        <w:t xml:space="preserve"> This is the primary metric of how we estimate the port freight investment impact on GDP. </w:t>
      </w:r>
    </w:p>
    <w:p w14:paraId="59BE4FAF" w14:textId="77777777" w:rsidR="003C1C00" w:rsidRDefault="003C1C00" w:rsidP="003C1C00">
      <w:r>
        <w:t xml:space="preserve">The CapEx in each year increases the capacity UK ports can handle. This is detailed below in </w:t>
      </w:r>
      <w:r>
        <w:fldChar w:fldCharType="begin"/>
      </w:r>
      <w:r>
        <w:instrText xml:space="preserve"> REF _Ref15398376 \h  \* MERGEFORMAT </w:instrText>
      </w:r>
      <w:r>
        <w:fldChar w:fldCharType="separate"/>
      </w:r>
      <w:r>
        <w:t xml:space="preserve">Table </w:t>
      </w:r>
      <w:r>
        <w:rPr>
          <w:noProof/>
        </w:rPr>
        <w:t>1</w:t>
      </w:r>
      <w:r>
        <w:fldChar w:fldCharType="end"/>
      </w:r>
      <w:r>
        <w:t xml:space="preserve"> for both scenarios. For the GDP impact, this capacity is then computed as a percentage of total volume of maritime trade in each year – it is the additional volume for that year as a result of the productive investment. This volume is then multiplied by the elasticity found in Park and Seo’s study to produce a percentage increase in GDP for the given year. This then can be used to derive the absolute value that the investment attributed to GDP in each year, due to the increased capacity supported.</w:t>
      </w:r>
    </w:p>
    <w:p w14:paraId="7503C01E" w14:textId="77777777" w:rsidR="003C1C00" w:rsidRDefault="003C1C00" w:rsidP="003C1C00">
      <w:pPr>
        <w:pStyle w:val="Caption"/>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Port freight investment impact on capacity in UK ports, 2015 to 2017 </w:t>
      </w:r>
    </w:p>
    <w:tbl>
      <w:tblPr>
        <w:tblW w:w="9099" w:type="dxa"/>
        <w:tblLook w:val="04A0" w:firstRow="1" w:lastRow="0" w:firstColumn="1" w:lastColumn="0" w:noHBand="0" w:noVBand="1"/>
      </w:tblPr>
      <w:tblGrid>
        <w:gridCol w:w="1386"/>
        <w:gridCol w:w="1542"/>
        <w:gridCol w:w="1542"/>
        <w:gridCol w:w="1544"/>
        <w:gridCol w:w="1542"/>
        <w:gridCol w:w="1543"/>
      </w:tblGrid>
      <w:tr w:rsidR="003C1C00" w:rsidRPr="004A59E6" w14:paraId="4F441A2C" w14:textId="77777777" w:rsidTr="006F0DCB">
        <w:trPr>
          <w:trHeight w:val="835"/>
        </w:trPr>
        <w:tc>
          <w:tcPr>
            <w:tcW w:w="1386" w:type="dxa"/>
            <w:tcBorders>
              <w:top w:val="nil"/>
              <w:left w:val="nil"/>
              <w:bottom w:val="nil"/>
              <w:right w:val="nil"/>
            </w:tcBorders>
            <w:shd w:val="clear" w:color="auto" w:fill="auto"/>
            <w:noWrap/>
            <w:vAlign w:val="bottom"/>
            <w:hideMark/>
          </w:tcPr>
          <w:p w14:paraId="2BEE2D0B" w14:textId="77777777" w:rsidR="003C1C00" w:rsidRPr="004A59E6" w:rsidRDefault="003C1C00" w:rsidP="006F0DCB">
            <w:pPr>
              <w:spacing w:after="0"/>
              <w:rPr>
                <w:rFonts w:ascii="Times New Roman" w:eastAsia="Times New Roman" w:hAnsi="Times New Roman"/>
                <w:sz w:val="20"/>
                <w:szCs w:val="24"/>
                <w:lang w:eastAsia="en-GB"/>
              </w:rPr>
            </w:pPr>
          </w:p>
        </w:tc>
        <w:tc>
          <w:tcPr>
            <w:tcW w:w="4628" w:type="dxa"/>
            <w:gridSpan w:val="3"/>
            <w:tcBorders>
              <w:top w:val="nil"/>
              <w:left w:val="nil"/>
              <w:bottom w:val="single" w:sz="8" w:space="0" w:color="FFFFFF"/>
              <w:right w:val="single" w:sz="8" w:space="0" w:color="FFFFFF"/>
            </w:tcBorders>
            <w:shd w:val="clear" w:color="000000" w:fill="008C9B"/>
            <w:vAlign w:val="center"/>
            <w:hideMark/>
          </w:tcPr>
          <w:p w14:paraId="6B42D96F" w14:textId="77777777" w:rsidR="003C1C00" w:rsidRPr="004A59E6"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Data provided</w:t>
            </w:r>
          </w:p>
        </w:tc>
        <w:tc>
          <w:tcPr>
            <w:tcW w:w="3085" w:type="dxa"/>
            <w:gridSpan w:val="2"/>
            <w:tcBorders>
              <w:top w:val="nil"/>
              <w:left w:val="nil"/>
              <w:bottom w:val="single" w:sz="8" w:space="0" w:color="FFFFFF"/>
              <w:right w:val="single" w:sz="8" w:space="0" w:color="FFFFFF"/>
            </w:tcBorders>
            <w:shd w:val="clear" w:color="000000" w:fill="008C9B"/>
            <w:vAlign w:val="center"/>
            <w:hideMark/>
          </w:tcPr>
          <w:p w14:paraId="7E9C5A60" w14:textId="77777777" w:rsidR="003C1C00" w:rsidRPr="004A59E6" w:rsidRDefault="003C1C00" w:rsidP="006F0DCB">
            <w:pPr>
              <w:spacing w:after="0"/>
              <w:jc w:val="center"/>
              <w:rPr>
                <w:rFonts w:ascii="Calibri" w:eastAsia="Times New Roman" w:hAnsi="Calibri" w:cs="Calibri"/>
                <w:b/>
                <w:bCs/>
                <w:color w:val="FFFFFF"/>
                <w:sz w:val="20"/>
                <w:lang w:eastAsia="en-GB"/>
              </w:rPr>
            </w:pPr>
            <w:r w:rsidRPr="004A59E6">
              <w:rPr>
                <w:rFonts w:ascii="Calibri" w:eastAsia="Times New Roman" w:hAnsi="Calibri" w:cs="Calibri"/>
                <w:b/>
                <w:bCs/>
                <w:color w:val="FFFFFF"/>
                <w:sz w:val="20"/>
                <w:lang w:eastAsia="en-GB"/>
              </w:rPr>
              <w:t>Capacity increase from investment, 000s tonnes</w:t>
            </w:r>
          </w:p>
        </w:tc>
      </w:tr>
      <w:tr w:rsidR="003C1C00" w:rsidRPr="004A59E6" w14:paraId="7AC9F14B" w14:textId="77777777" w:rsidTr="006F0DCB">
        <w:trPr>
          <w:trHeight w:val="478"/>
        </w:trPr>
        <w:tc>
          <w:tcPr>
            <w:tcW w:w="1386" w:type="dxa"/>
            <w:tcBorders>
              <w:top w:val="nil"/>
              <w:left w:val="nil"/>
              <w:bottom w:val="nil"/>
              <w:right w:val="nil"/>
            </w:tcBorders>
            <w:shd w:val="clear" w:color="auto" w:fill="auto"/>
            <w:noWrap/>
            <w:vAlign w:val="bottom"/>
            <w:hideMark/>
          </w:tcPr>
          <w:p w14:paraId="02ACE939" w14:textId="77777777" w:rsidR="003C1C00" w:rsidRPr="004A59E6" w:rsidRDefault="003C1C00" w:rsidP="006F0DCB">
            <w:pPr>
              <w:spacing w:after="0"/>
              <w:jc w:val="center"/>
              <w:rPr>
                <w:rFonts w:ascii="Calibri" w:eastAsia="Times New Roman" w:hAnsi="Calibri" w:cs="Calibri"/>
                <w:b/>
                <w:bCs/>
                <w:color w:val="FFFFFF"/>
                <w:sz w:val="20"/>
                <w:lang w:eastAsia="en-GB"/>
              </w:rPr>
            </w:pPr>
          </w:p>
        </w:tc>
        <w:tc>
          <w:tcPr>
            <w:tcW w:w="1542" w:type="dxa"/>
            <w:tcBorders>
              <w:top w:val="nil"/>
              <w:left w:val="nil"/>
              <w:bottom w:val="single" w:sz="8" w:space="0" w:color="FFFFFF"/>
              <w:right w:val="single" w:sz="8" w:space="0" w:color="FFFFFF"/>
            </w:tcBorders>
            <w:shd w:val="clear" w:color="000000" w:fill="008C9B"/>
            <w:vAlign w:val="center"/>
            <w:hideMark/>
          </w:tcPr>
          <w:p w14:paraId="3E7BDE03" w14:textId="77777777" w:rsidR="003C1C00" w:rsidRPr="004A59E6"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 £m</w:t>
            </w:r>
          </w:p>
        </w:tc>
        <w:tc>
          <w:tcPr>
            <w:tcW w:w="1542" w:type="dxa"/>
            <w:tcBorders>
              <w:top w:val="nil"/>
              <w:left w:val="nil"/>
              <w:bottom w:val="single" w:sz="8" w:space="0" w:color="FFFFFF"/>
              <w:right w:val="single" w:sz="8" w:space="0" w:color="FFFFFF"/>
            </w:tcBorders>
            <w:shd w:val="clear" w:color="000000" w:fill="008C9B"/>
            <w:vAlign w:val="center"/>
            <w:hideMark/>
          </w:tcPr>
          <w:p w14:paraId="3100FCAC" w14:textId="77777777" w:rsidR="003C1C00" w:rsidRPr="004A59E6" w:rsidRDefault="003C1C00" w:rsidP="006F0DCB">
            <w:pPr>
              <w:spacing w:after="0"/>
              <w:jc w:val="center"/>
              <w:rPr>
                <w:rFonts w:ascii="Calibri" w:eastAsia="Times New Roman" w:hAnsi="Calibri" w:cs="Calibri"/>
                <w:b/>
                <w:bCs/>
                <w:color w:val="FFFFFF"/>
                <w:sz w:val="20"/>
                <w:lang w:eastAsia="en-GB"/>
              </w:rPr>
            </w:pPr>
            <w:r w:rsidRPr="004A59E6">
              <w:rPr>
                <w:rFonts w:ascii="Calibri" w:eastAsia="Times New Roman" w:hAnsi="Calibri" w:cs="Calibri"/>
                <w:b/>
                <w:bCs/>
                <w:color w:val="FFFFFF"/>
                <w:sz w:val="20"/>
                <w:lang w:eastAsia="en-GB"/>
              </w:rPr>
              <w:t>Depreciation</w:t>
            </w:r>
            <w:r>
              <w:rPr>
                <w:rFonts w:ascii="Calibri" w:eastAsia="Times New Roman" w:hAnsi="Calibri" w:cs="Calibri"/>
                <w:b/>
                <w:bCs/>
                <w:color w:val="FFFFFF"/>
                <w:sz w:val="20"/>
                <w:lang w:eastAsia="en-GB"/>
              </w:rPr>
              <w:t>, £m</w:t>
            </w:r>
          </w:p>
        </w:tc>
        <w:tc>
          <w:tcPr>
            <w:tcW w:w="1542" w:type="dxa"/>
            <w:tcBorders>
              <w:top w:val="nil"/>
              <w:left w:val="nil"/>
              <w:bottom w:val="single" w:sz="8" w:space="0" w:color="FFFFFF"/>
              <w:right w:val="single" w:sz="8" w:space="0" w:color="FFFFFF"/>
            </w:tcBorders>
            <w:shd w:val="clear" w:color="000000" w:fill="008C9B"/>
            <w:vAlign w:val="center"/>
            <w:hideMark/>
          </w:tcPr>
          <w:p w14:paraId="0DEA2C54" w14:textId="77777777" w:rsidR="003C1C00" w:rsidRPr="004A59E6"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4A59E6">
              <w:rPr>
                <w:rFonts w:ascii="Calibri" w:eastAsia="Times New Roman" w:hAnsi="Calibri" w:cs="Calibri"/>
                <w:b/>
                <w:bCs/>
                <w:color w:val="FFFFFF"/>
                <w:sz w:val="20"/>
                <w:lang w:eastAsia="en-GB"/>
              </w:rPr>
              <w:t xml:space="preserve"> as % of depreciation</w:t>
            </w:r>
          </w:p>
        </w:tc>
        <w:tc>
          <w:tcPr>
            <w:tcW w:w="1542" w:type="dxa"/>
            <w:tcBorders>
              <w:top w:val="nil"/>
              <w:left w:val="nil"/>
              <w:bottom w:val="single" w:sz="8" w:space="0" w:color="FFFFFF"/>
              <w:right w:val="single" w:sz="8" w:space="0" w:color="FFFFFF"/>
            </w:tcBorders>
            <w:shd w:val="clear" w:color="000000" w:fill="008C9B"/>
            <w:vAlign w:val="center"/>
            <w:hideMark/>
          </w:tcPr>
          <w:p w14:paraId="6BB33DD2" w14:textId="77777777" w:rsidR="003C1C00" w:rsidRPr="004A59E6" w:rsidRDefault="003C1C00" w:rsidP="006F0DCB">
            <w:pPr>
              <w:spacing w:after="0"/>
              <w:jc w:val="center"/>
              <w:rPr>
                <w:rFonts w:ascii="Calibri" w:eastAsia="Times New Roman" w:hAnsi="Calibri" w:cs="Calibri"/>
                <w:b/>
                <w:bCs/>
                <w:color w:val="FFFFFF"/>
                <w:sz w:val="20"/>
                <w:lang w:eastAsia="en-GB"/>
              </w:rPr>
            </w:pPr>
            <w:r w:rsidRPr="004A59E6">
              <w:rPr>
                <w:rFonts w:ascii="Calibri" w:eastAsia="Times New Roman" w:hAnsi="Calibri" w:cs="Calibri"/>
                <w:b/>
                <w:bCs/>
                <w:color w:val="FFFFFF"/>
                <w:sz w:val="20"/>
                <w:lang w:eastAsia="en-GB"/>
              </w:rPr>
              <w:t>Scenario (1)</w:t>
            </w:r>
          </w:p>
        </w:tc>
        <w:tc>
          <w:tcPr>
            <w:tcW w:w="1542" w:type="dxa"/>
            <w:tcBorders>
              <w:top w:val="nil"/>
              <w:left w:val="nil"/>
              <w:bottom w:val="single" w:sz="8" w:space="0" w:color="FFFFFF"/>
              <w:right w:val="single" w:sz="8" w:space="0" w:color="FFFFFF"/>
            </w:tcBorders>
            <w:shd w:val="clear" w:color="000000" w:fill="008C9B"/>
            <w:vAlign w:val="center"/>
            <w:hideMark/>
          </w:tcPr>
          <w:p w14:paraId="5657A10A" w14:textId="77777777" w:rsidR="003C1C00" w:rsidRPr="004A59E6" w:rsidRDefault="003C1C00" w:rsidP="006F0DCB">
            <w:pPr>
              <w:spacing w:after="0"/>
              <w:jc w:val="center"/>
              <w:rPr>
                <w:rFonts w:ascii="Calibri" w:eastAsia="Times New Roman" w:hAnsi="Calibri" w:cs="Calibri"/>
                <w:b/>
                <w:bCs/>
                <w:color w:val="FFFFFF"/>
                <w:sz w:val="20"/>
                <w:lang w:eastAsia="en-GB"/>
              </w:rPr>
            </w:pPr>
            <w:r w:rsidRPr="004A59E6">
              <w:rPr>
                <w:rFonts w:ascii="Calibri" w:eastAsia="Times New Roman" w:hAnsi="Calibri" w:cs="Calibri"/>
                <w:b/>
                <w:bCs/>
                <w:color w:val="FFFFFF"/>
                <w:sz w:val="20"/>
                <w:lang w:eastAsia="en-GB"/>
              </w:rPr>
              <w:t>Scenario (2)</w:t>
            </w:r>
          </w:p>
        </w:tc>
      </w:tr>
      <w:tr w:rsidR="003C1C00" w:rsidRPr="004A59E6" w14:paraId="396058B2" w14:textId="77777777" w:rsidTr="006F0DCB">
        <w:trPr>
          <w:trHeight w:val="294"/>
        </w:trPr>
        <w:tc>
          <w:tcPr>
            <w:tcW w:w="138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303AC355" w14:textId="77777777" w:rsidR="003C1C00" w:rsidRPr="004A59E6" w:rsidRDefault="003C1C00" w:rsidP="006F0DCB">
            <w:pPr>
              <w:spacing w:after="0"/>
              <w:jc w:val="center"/>
              <w:rPr>
                <w:rFonts w:ascii="Calibri" w:eastAsia="Times New Roman" w:hAnsi="Calibri" w:cs="Calibri"/>
                <w:b/>
                <w:bCs/>
                <w:color w:val="FFFFFF"/>
                <w:sz w:val="20"/>
                <w:lang w:eastAsia="en-GB"/>
              </w:rPr>
            </w:pPr>
            <w:r w:rsidRPr="004A59E6">
              <w:rPr>
                <w:rFonts w:ascii="Calibri" w:eastAsia="Times New Roman" w:hAnsi="Calibri" w:cs="Calibri"/>
                <w:b/>
                <w:bCs/>
                <w:color w:val="FFFFFF"/>
                <w:sz w:val="20"/>
                <w:lang w:eastAsia="en-GB"/>
              </w:rPr>
              <w:t>2015</w:t>
            </w:r>
          </w:p>
        </w:tc>
        <w:tc>
          <w:tcPr>
            <w:tcW w:w="1542" w:type="dxa"/>
            <w:tcBorders>
              <w:top w:val="nil"/>
              <w:left w:val="nil"/>
              <w:bottom w:val="single" w:sz="8" w:space="0" w:color="FFFFFF"/>
              <w:right w:val="single" w:sz="8" w:space="0" w:color="FFFFFF"/>
            </w:tcBorders>
            <w:shd w:val="clear" w:color="000000" w:fill="D0CECE"/>
            <w:vAlign w:val="center"/>
            <w:hideMark/>
          </w:tcPr>
          <w:p w14:paraId="59645BBC" w14:textId="77777777" w:rsidR="003C1C00" w:rsidRPr="004A59E6"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561</w:t>
            </w:r>
          </w:p>
        </w:tc>
        <w:tc>
          <w:tcPr>
            <w:tcW w:w="1542" w:type="dxa"/>
            <w:tcBorders>
              <w:top w:val="nil"/>
              <w:left w:val="nil"/>
              <w:bottom w:val="single" w:sz="8" w:space="0" w:color="FFFFFF"/>
              <w:right w:val="single" w:sz="8" w:space="0" w:color="FFFFFF"/>
            </w:tcBorders>
            <w:shd w:val="clear" w:color="000000" w:fill="D0CECE"/>
            <w:vAlign w:val="center"/>
            <w:hideMark/>
          </w:tcPr>
          <w:p w14:paraId="7A201C8D" w14:textId="77777777" w:rsidR="003C1C00" w:rsidRPr="004A59E6"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254</w:t>
            </w:r>
          </w:p>
        </w:tc>
        <w:tc>
          <w:tcPr>
            <w:tcW w:w="1542" w:type="dxa"/>
            <w:tcBorders>
              <w:top w:val="nil"/>
              <w:left w:val="nil"/>
              <w:bottom w:val="single" w:sz="8" w:space="0" w:color="FFFFFF"/>
              <w:right w:val="single" w:sz="8" w:space="0" w:color="FFFFFF"/>
            </w:tcBorders>
            <w:shd w:val="clear" w:color="000000" w:fill="D0CECE"/>
            <w:vAlign w:val="center"/>
            <w:hideMark/>
          </w:tcPr>
          <w:p w14:paraId="3CF44495" w14:textId="77777777" w:rsidR="003C1C00" w:rsidRPr="004A59E6" w:rsidRDefault="003C1C00" w:rsidP="006F0DCB">
            <w:pPr>
              <w:spacing w:after="0"/>
              <w:jc w:val="center"/>
              <w:rPr>
                <w:rFonts w:ascii="Calibri" w:eastAsia="Times New Roman" w:hAnsi="Calibri" w:cs="Calibri"/>
                <w:color w:val="000000"/>
                <w:sz w:val="20"/>
                <w:lang w:eastAsia="en-GB"/>
              </w:rPr>
            </w:pPr>
            <w:r w:rsidRPr="004A59E6">
              <w:rPr>
                <w:rFonts w:ascii="Calibri" w:eastAsia="Times New Roman" w:hAnsi="Calibri" w:cs="Calibri"/>
                <w:color w:val="000000"/>
                <w:sz w:val="20"/>
                <w:lang w:eastAsia="en-GB"/>
              </w:rPr>
              <w:t>194%</w:t>
            </w:r>
          </w:p>
        </w:tc>
        <w:tc>
          <w:tcPr>
            <w:tcW w:w="1542" w:type="dxa"/>
            <w:tcBorders>
              <w:top w:val="nil"/>
              <w:left w:val="nil"/>
              <w:bottom w:val="single" w:sz="8" w:space="0" w:color="FFFFFF"/>
              <w:right w:val="single" w:sz="8" w:space="0" w:color="FFFFFF"/>
            </w:tcBorders>
            <w:shd w:val="clear" w:color="000000" w:fill="D0CECE"/>
            <w:vAlign w:val="center"/>
            <w:hideMark/>
          </w:tcPr>
          <w:p w14:paraId="01F7EF9C" w14:textId="77777777" w:rsidR="003C1C00" w:rsidRPr="004A59E6" w:rsidRDefault="003C1C00" w:rsidP="006F0DCB">
            <w:pPr>
              <w:spacing w:after="0"/>
              <w:jc w:val="center"/>
              <w:rPr>
                <w:rFonts w:ascii="Calibri" w:eastAsia="Times New Roman" w:hAnsi="Calibri" w:cs="Calibri"/>
                <w:color w:val="000000"/>
                <w:sz w:val="20"/>
                <w:lang w:eastAsia="en-GB"/>
              </w:rPr>
            </w:pPr>
            <w:r w:rsidRPr="004A59E6">
              <w:rPr>
                <w:rFonts w:ascii="Calibri" w:eastAsia="Times New Roman" w:hAnsi="Calibri" w:cs="Calibri"/>
                <w:color w:val="000000"/>
                <w:sz w:val="20"/>
                <w:lang w:eastAsia="en-GB"/>
              </w:rPr>
              <w:t>62,776</w:t>
            </w:r>
          </w:p>
        </w:tc>
        <w:tc>
          <w:tcPr>
            <w:tcW w:w="1542" w:type="dxa"/>
            <w:tcBorders>
              <w:top w:val="nil"/>
              <w:left w:val="nil"/>
              <w:bottom w:val="single" w:sz="8" w:space="0" w:color="FFFFFF"/>
              <w:right w:val="single" w:sz="8" w:space="0" w:color="FFFFFF"/>
            </w:tcBorders>
            <w:shd w:val="clear" w:color="000000" w:fill="D0CECE"/>
            <w:vAlign w:val="center"/>
            <w:hideMark/>
          </w:tcPr>
          <w:p w14:paraId="1FAFE13B" w14:textId="77777777" w:rsidR="003C1C00" w:rsidRPr="004A59E6" w:rsidRDefault="003C1C00" w:rsidP="006F0DCB">
            <w:pPr>
              <w:spacing w:after="0"/>
              <w:jc w:val="center"/>
              <w:rPr>
                <w:rFonts w:ascii="Calibri" w:eastAsia="Times New Roman" w:hAnsi="Calibri" w:cs="Calibri"/>
                <w:color w:val="000000"/>
                <w:sz w:val="20"/>
                <w:lang w:eastAsia="en-GB"/>
              </w:rPr>
            </w:pPr>
            <w:r w:rsidRPr="004A59E6">
              <w:rPr>
                <w:rFonts w:ascii="Calibri" w:eastAsia="Times New Roman" w:hAnsi="Calibri" w:cs="Calibri"/>
                <w:color w:val="000000"/>
                <w:sz w:val="20"/>
                <w:lang w:eastAsia="en-GB"/>
              </w:rPr>
              <w:t>50,519</w:t>
            </w:r>
          </w:p>
        </w:tc>
      </w:tr>
      <w:tr w:rsidR="003C1C00" w:rsidRPr="004A59E6" w14:paraId="2EAD8C7F" w14:textId="77777777" w:rsidTr="006F0DCB">
        <w:trPr>
          <w:trHeight w:val="294"/>
        </w:trPr>
        <w:tc>
          <w:tcPr>
            <w:tcW w:w="138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4037815A" w14:textId="77777777" w:rsidR="003C1C00" w:rsidRPr="004A59E6" w:rsidRDefault="003C1C00" w:rsidP="006F0DCB">
            <w:pPr>
              <w:spacing w:after="0"/>
              <w:jc w:val="center"/>
              <w:rPr>
                <w:rFonts w:ascii="Calibri" w:eastAsia="Times New Roman" w:hAnsi="Calibri" w:cs="Calibri"/>
                <w:b/>
                <w:bCs/>
                <w:color w:val="FFFFFF"/>
                <w:sz w:val="20"/>
                <w:lang w:eastAsia="en-GB"/>
              </w:rPr>
            </w:pPr>
            <w:r w:rsidRPr="004A59E6">
              <w:rPr>
                <w:rFonts w:ascii="Calibri" w:eastAsia="Times New Roman" w:hAnsi="Calibri" w:cs="Calibri"/>
                <w:b/>
                <w:bCs/>
                <w:color w:val="FFFFFF"/>
                <w:sz w:val="20"/>
                <w:lang w:eastAsia="en-GB"/>
              </w:rPr>
              <w:t>2016</w:t>
            </w:r>
          </w:p>
        </w:tc>
        <w:tc>
          <w:tcPr>
            <w:tcW w:w="1542" w:type="dxa"/>
            <w:tcBorders>
              <w:top w:val="nil"/>
              <w:left w:val="single" w:sz="8" w:space="0" w:color="FFFFFF"/>
              <w:bottom w:val="single" w:sz="12" w:space="0" w:color="FFFFFF"/>
              <w:right w:val="single" w:sz="12" w:space="0" w:color="FFFFFF"/>
            </w:tcBorders>
            <w:shd w:val="clear" w:color="000000" w:fill="E7EEEF"/>
            <w:vAlign w:val="center"/>
            <w:hideMark/>
          </w:tcPr>
          <w:p w14:paraId="2C6A279F" w14:textId="77777777" w:rsidR="003C1C00" w:rsidRPr="004A59E6"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546</w:t>
            </w:r>
          </w:p>
        </w:tc>
        <w:tc>
          <w:tcPr>
            <w:tcW w:w="1542" w:type="dxa"/>
            <w:tcBorders>
              <w:top w:val="nil"/>
              <w:left w:val="single" w:sz="8" w:space="0" w:color="FFFFFF"/>
              <w:bottom w:val="single" w:sz="12" w:space="0" w:color="FFFFFF"/>
              <w:right w:val="single" w:sz="12" w:space="0" w:color="FFFFFF"/>
            </w:tcBorders>
            <w:shd w:val="clear" w:color="000000" w:fill="E7EEEF"/>
            <w:vAlign w:val="center"/>
            <w:hideMark/>
          </w:tcPr>
          <w:p w14:paraId="7F7ED500" w14:textId="77777777" w:rsidR="003C1C00" w:rsidRPr="004A59E6"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272</w:t>
            </w:r>
          </w:p>
        </w:tc>
        <w:tc>
          <w:tcPr>
            <w:tcW w:w="1542" w:type="dxa"/>
            <w:tcBorders>
              <w:top w:val="nil"/>
              <w:left w:val="single" w:sz="8" w:space="0" w:color="FFFFFF"/>
              <w:bottom w:val="single" w:sz="12" w:space="0" w:color="FFFFFF"/>
              <w:right w:val="single" w:sz="12" w:space="0" w:color="FFFFFF"/>
            </w:tcBorders>
            <w:shd w:val="clear" w:color="000000" w:fill="E7EEEF"/>
            <w:vAlign w:val="center"/>
            <w:hideMark/>
          </w:tcPr>
          <w:p w14:paraId="3FBE63D3" w14:textId="77777777" w:rsidR="003C1C00" w:rsidRPr="004A59E6" w:rsidRDefault="003C1C00" w:rsidP="006F0DCB">
            <w:pPr>
              <w:spacing w:after="0"/>
              <w:jc w:val="center"/>
              <w:rPr>
                <w:rFonts w:ascii="Calibri" w:eastAsia="Times New Roman" w:hAnsi="Calibri" w:cs="Calibri"/>
                <w:color w:val="000000"/>
                <w:sz w:val="20"/>
                <w:lang w:eastAsia="en-GB"/>
              </w:rPr>
            </w:pPr>
            <w:r w:rsidRPr="004A59E6">
              <w:rPr>
                <w:rFonts w:ascii="Calibri" w:eastAsia="Times New Roman" w:hAnsi="Calibri" w:cs="Calibri"/>
                <w:color w:val="000000"/>
                <w:sz w:val="20"/>
                <w:lang w:eastAsia="en-GB"/>
              </w:rPr>
              <w:t>205%</w:t>
            </w:r>
          </w:p>
        </w:tc>
        <w:tc>
          <w:tcPr>
            <w:tcW w:w="1542" w:type="dxa"/>
            <w:tcBorders>
              <w:top w:val="nil"/>
              <w:left w:val="single" w:sz="8" w:space="0" w:color="FFFFFF"/>
              <w:bottom w:val="single" w:sz="12" w:space="0" w:color="FFFFFF"/>
              <w:right w:val="single" w:sz="12" w:space="0" w:color="FFFFFF"/>
            </w:tcBorders>
            <w:shd w:val="clear" w:color="000000" w:fill="E7EEEF"/>
            <w:vAlign w:val="center"/>
            <w:hideMark/>
          </w:tcPr>
          <w:p w14:paraId="06087531" w14:textId="77777777" w:rsidR="003C1C00" w:rsidRPr="004A59E6" w:rsidRDefault="003C1C00" w:rsidP="006F0DCB">
            <w:pPr>
              <w:spacing w:after="0"/>
              <w:jc w:val="center"/>
              <w:rPr>
                <w:rFonts w:ascii="Calibri" w:eastAsia="Times New Roman" w:hAnsi="Calibri" w:cs="Calibri"/>
                <w:color w:val="000000"/>
                <w:sz w:val="20"/>
                <w:lang w:eastAsia="en-GB"/>
              </w:rPr>
            </w:pPr>
            <w:r w:rsidRPr="004A59E6">
              <w:rPr>
                <w:rFonts w:ascii="Calibri" w:eastAsia="Times New Roman" w:hAnsi="Calibri" w:cs="Calibri"/>
                <w:color w:val="000000"/>
                <w:sz w:val="20"/>
                <w:lang w:eastAsia="en-GB"/>
              </w:rPr>
              <w:t>61,103</w:t>
            </w:r>
          </w:p>
        </w:tc>
        <w:tc>
          <w:tcPr>
            <w:tcW w:w="1542" w:type="dxa"/>
            <w:tcBorders>
              <w:top w:val="nil"/>
              <w:left w:val="single" w:sz="8" w:space="0" w:color="FFFFFF"/>
              <w:bottom w:val="single" w:sz="12" w:space="0" w:color="FFFFFF"/>
              <w:right w:val="single" w:sz="12" w:space="0" w:color="FFFFFF"/>
            </w:tcBorders>
            <w:shd w:val="clear" w:color="000000" w:fill="E7EEEF"/>
            <w:vAlign w:val="center"/>
            <w:hideMark/>
          </w:tcPr>
          <w:p w14:paraId="0D847C9F" w14:textId="77777777" w:rsidR="003C1C00" w:rsidRPr="004A59E6" w:rsidRDefault="003C1C00" w:rsidP="006F0DCB">
            <w:pPr>
              <w:spacing w:after="0"/>
              <w:jc w:val="center"/>
              <w:rPr>
                <w:rFonts w:ascii="Calibri" w:eastAsia="Times New Roman" w:hAnsi="Calibri" w:cs="Calibri"/>
                <w:color w:val="000000"/>
                <w:sz w:val="20"/>
                <w:lang w:eastAsia="en-GB"/>
              </w:rPr>
            </w:pPr>
            <w:r w:rsidRPr="004A59E6">
              <w:rPr>
                <w:rFonts w:ascii="Calibri" w:eastAsia="Times New Roman" w:hAnsi="Calibri" w:cs="Calibri"/>
                <w:color w:val="000000"/>
                <w:sz w:val="20"/>
                <w:lang w:eastAsia="en-GB"/>
              </w:rPr>
              <w:t>49,172</w:t>
            </w:r>
          </w:p>
        </w:tc>
      </w:tr>
      <w:tr w:rsidR="003C1C00" w:rsidRPr="004A59E6" w14:paraId="3E9A4955" w14:textId="77777777" w:rsidTr="006F0DCB">
        <w:trPr>
          <w:trHeight w:val="294"/>
        </w:trPr>
        <w:tc>
          <w:tcPr>
            <w:tcW w:w="138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52F3A878" w14:textId="77777777" w:rsidR="003C1C00" w:rsidRPr="004A59E6" w:rsidRDefault="003C1C00" w:rsidP="006F0DCB">
            <w:pPr>
              <w:spacing w:after="0"/>
              <w:jc w:val="center"/>
              <w:rPr>
                <w:rFonts w:ascii="Calibri" w:eastAsia="Times New Roman" w:hAnsi="Calibri" w:cs="Calibri"/>
                <w:b/>
                <w:bCs/>
                <w:color w:val="FFFFFF"/>
                <w:sz w:val="20"/>
                <w:lang w:eastAsia="en-GB"/>
              </w:rPr>
            </w:pPr>
            <w:r w:rsidRPr="004A59E6">
              <w:rPr>
                <w:rFonts w:ascii="Calibri" w:eastAsia="Times New Roman" w:hAnsi="Calibri" w:cs="Calibri"/>
                <w:b/>
                <w:bCs/>
                <w:color w:val="FFFFFF"/>
                <w:sz w:val="20"/>
                <w:lang w:eastAsia="en-GB"/>
              </w:rPr>
              <w:t>2017</w:t>
            </w:r>
          </w:p>
        </w:tc>
        <w:tc>
          <w:tcPr>
            <w:tcW w:w="1542" w:type="dxa"/>
            <w:tcBorders>
              <w:top w:val="nil"/>
              <w:left w:val="nil"/>
              <w:bottom w:val="single" w:sz="8" w:space="0" w:color="FFFFFF"/>
              <w:right w:val="single" w:sz="8" w:space="0" w:color="FFFFFF"/>
            </w:tcBorders>
            <w:shd w:val="clear" w:color="000000" w:fill="D0CECE"/>
            <w:vAlign w:val="center"/>
            <w:hideMark/>
          </w:tcPr>
          <w:p w14:paraId="6892F69B" w14:textId="77777777" w:rsidR="003C1C00" w:rsidRPr="004A59E6"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507</w:t>
            </w:r>
          </w:p>
        </w:tc>
        <w:tc>
          <w:tcPr>
            <w:tcW w:w="1542" w:type="dxa"/>
            <w:tcBorders>
              <w:top w:val="nil"/>
              <w:left w:val="nil"/>
              <w:bottom w:val="single" w:sz="8" w:space="0" w:color="FFFFFF"/>
              <w:right w:val="single" w:sz="8" w:space="0" w:color="FFFFFF"/>
            </w:tcBorders>
            <w:shd w:val="clear" w:color="000000" w:fill="D0CECE"/>
            <w:vAlign w:val="center"/>
            <w:hideMark/>
          </w:tcPr>
          <w:p w14:paraId="690B918A" w14:textId="77777777" w:rsidR="003C1C00" w:rsidRPr="004A59E6"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286</w:t>
            </w:r>
          </w:p>
        </w:tc>
        <w:tc>
          <w:tcPr>
            <w:tcW w:w="1542" w:type="dxa"/>
            <w:tcBorders>
              <w:top w:val="nil"/>
              <w:left w:val="nil"/>
              <w:bottom w:val="single" w:sz="8" w:space="0" w:color="FFFFFF"/>
              <w:right w:val="single" w:sz="8" w:space="0" w:color="FFFFFF"/>
            </w:tcBorders>
            <w:shd w:val="clear" w:color="000000" w:fill="D0CECE"/>
            <w:vAlign w:val="center"/>
            <w:hideMark/>
          </w:tcPr>
          <w:p w14:paraId="7BDB5749" w14:textId="77777777" w:rsidR="003C1C00" w:rsidRPr="004A59E6" w:rsidRDefault="003C1C00" w:rsidP="006F0DCB">
            <w:pPr>
              <w:spacing w:after="0"/>
              <w:jc w:val="center"/>
              <w:rPr>
                <w:rFonts w:ascii="Calibri" w:eastAsia="Times New Roman" w:hAnsi="Calibri" w:cs="Calibri"/>
                <w:color w:val="000000"/>
                <w:sz w:val="20"/>
                <w:lang w:eastAsia="en-GB"/>
              </w:rPr>
            </w:pPr>
            <w:r w:rsidRPr="004A59E6">
              <w:rPr>
                <w:rFonts w:ascii="Calibri" w:eastAsia="Times New Roman" w:hAnsi="Calibri" w:cs="Calibri"/>
                <w:color w:val="000000"/>
                <w:sz w:val="20"/>
                <w:lang w:eastAsia="en-GB"/>
              </w:rPr>
              <w:t>200%</w:t>
            </w:r>
          </w:p>
        </w:tc>
        <w:tc>
          <w:tcPr>
            <w:tcW w:w="1542" w:type="dxa"/>
            <w:tcBorders>
              <w:top w:val="nil"/>
              <w:left w:val="nil"/>
              <w:bottom w:val="single" w:sz="8" w:space="0" w:color="FFFFFF"/>
              <w:right w:val="single" w:sz="8" w:space="0" w:color="FFFFFF"/>
            </w:tcBorders>
            <w:shd w:val="clear" w:color="000000" w:fill="D0CECE"/>
            <w:vAlign w:val="center"/>
            <w:hideMark/>
          </w:tcPr>
          <w:p w14:paraId="28B08AE6" w14:textId="77777777" w:rsidR="003C1C00" w:rsidRPr="004A59E6" w:rsidRDefault="003C1C00" w:rsidP="006F0DCB">
            <w:pPr>
              <w:spacing w:after="0"/>
              <w:jc w:val="center"/>
              <w:rPr>
                <w:rFonts w:ascii="Calibri" w:eastAsia="Times New Roman" w:hAnsi="Calibri" w:cs="Calibri"/>
                <w:color w:val="000000"/>
                <w:sz w:val="20"/>
                <w:lang w:eastAsia="en-GB"/>
              </w:rPr>
            </w:pPr>
            <w:r w:rsidRPr="004A59E6">
              <w:rPr>
                <w:rFonts w:ascii="Calibri" w:eastAsia="Times New Roman" w:hAnsi="Calibri" w:cs="Calibri"/>
                <w:color w:val="000000"/>
                <w:sz w:val="20"/>
                <w:lang w:eastAsia="en-GB"/>
              </w:rPr>
              <w:t>56,815</w:t>
            </w:r>
          </w:p>
        </w:tc>
        <w:tc>
          <w:tcPr>
            <w:tcW w:w="1542" w:type="dxa"/>
            <w:tcBorders>
              <w:top w:val="nil"/>
              <w:left w:val="nil"/>
              <w:bottom w:val="single" w:sz="8" w:space="0" w:color="FFFFFF"/>
              <w:right w:val="single" w:sz="8" w:space="0" w:color="FFFFFF"/>
            </w:tcBorders>
            <w:shd w:val="clear" w:color="000000" w:fill="D0CECE"/>
            <w:vAlign w:val="center"/>
            <w:hideMark/>
          </w:tcPr>
          <w:p w14:paraId="17CD6B4E" w14:textId="77777777" w:rsidR="003C1C00" w:rsidRPr="004A59E6" w:rsidRDefault="003C1C00" w:rsidP="006F0DCB">
            <w:pPr>
              <w:spacing w:after="0"/>
              <w:jc w:val="center"/>
              <w:rPr>
                <w:rFonts w:ascii="Calibri" w:eastAsia="Times New Roman" w:hAnsi="Calibri" w:cs="Calibri"/>
                <w:color w:val="000000"/>
                <w:sz w:val="20"/>
                <w:lang w:eastAsia="en-GB"/>
              </w:rPr>
            </w:pPr>
            <w:r w:rsidRPr="004A59E6">
              <w:rPr>
                <w:rFonts w:ascii="Calibri" w:eastAsia="Times New Roman" w:hAnsi="Calibri" w:cs="Calibri"/>
                <w:color w:val="000000"/>
                <w:sz w:val="20"/>
                <w:lang w:eastAsia="en-GB"/>
              </w:rPr>
              <w:t>45,722</w:t>
            </w:r>
          </w:p>
        </w:tc>
      </w:tr>
    </w:tbl>
    <w:p w14:paraId="3FFC0BFC" w14:textId="77777777" w:rsidR="003C1C00" w:rsidRPr="00722909" w:rsidRDefault="003C1C00" w:rsidP="003C1C00">
      <w:pPr>
        <w:jc w:val="right"/>
        <w:rPr>
          <w:i/>
          <w:sz w:val="18"/>
        </w:rPr>
      </w:pPr>
      <w:r>
        <w:t xml:space="preserve"> </w:t>
      </w:r>
      <w:r>
        <w:rPr>
          <w:i/>
          <w:sz w:val="18"/>
        </w:rPr>
        <w:t>Source: UK Major Ports Group data on investment, United Nations, Cebr analysis</w:t>
      </w:r>
    </w:p>
    <w:p w14:paraId="43648EAD" w14:textId="77777777" w:rsidR="003C1C00" w:rsidRDefault="003C1C00" w:rsidP="003C1C00">
      <w:r>
        <w:fldChar w:fldCharType="begin"/>
      </w:r>
      <w:r>
        <w:instrText xml:space="preserve"> REF _Ref15398741 \h </w:instrText>
      </w:r>
      <w:r>
        <w:fldChar w:fldCharType="separate"/>
      </w:r>
      <w:r>
        <w:t xml:space="preserve">Table </w:t>
      </w:r>
      <w:r>
        <w:rPr>
          <w:noProof/>
        </w:rPr>
        <w:t>2</w:t>
      </w:r>
      <w:r>
        <w:fldChar w:fldCharType="end"/>
      </w:r>
      <w:r>
        <w:t xml:space="preserve"> and </w:t>
      </w:r>
      <w:r>
        <w:fldChar w:fldCharType="begin"/>
      </w:r>
      <w:r>
        <w:instrText xml:space="preserve"> REF _Ref15398745 \h </w:instrText>
      </w:r>
      <w:r>
        <w:fldChar w:fldCharType="separate"/>
      </w:r>
      <w:r>
        <w:t xml:space="preserve">Table </w:t>
      </w:r>
      <w:r>
        <w:rPr>
          <w:noProof/>
        </w:rPr>
        <w:t>4</w:t>
      </w:r>
      <w:r>
        <w:fldChar w:fldCharType="end"/>
      </w:r>
      <w:r>
        <w:t xml:space="preserve"> below breakdown the port freight investment impacts for Scenario 1) and Scenario 2) under the different CapEx situations. Supplementary tables, 3 and 5, are included to highlight the additionality of the greater CapEx scenarios. The way in which to interpret this data is that under standard CapEx in Scenario 1), the aggregate gain to the economy from port freight investment is £438 million (</w:t>
      </w:r>
      <w:r>
        <w:fldChar w:fldCharType="begin"/>
      </w:r>
      <w:r>
        <w:instrText xml:space="preserve"> REF _Ref15398741 \h </w:instrText>
      </w:r>
      <w:r>
        <w:fldChar w:fldCharType="separate"/>
      </w:r>
      <w:r>
        <w:t xml:space="preserve">Table </w:t>
      </w:r>
      <w:r>
        <w:rPr>
          <w:noProof/>
        </w:rPr>
        <w:t>2</w:t>
      </w:r>
      <w:r>
        <w:fldChar w:fldCharType="end"/>
      </w:r>
      <w:r>
        <w:t xml:space="preserve">). The aggregate impact under ‘CapEx + 40%’ of £528 million implies that the gain to the economy over the three years would have been £90 million greater than the outturn – </w:t>
      </w:r>
      <w:r>
        <w:fldChar w:fldCharType="begin"/>
      </w:r>
      <w:r>
        <w:instrText xml:space="preserve"> REF _Ref15399470 \h </w:instrText>
      </w:r>
      <w:r>
        <w:fldChar w:fldCharType="separate"/>
      </w:r>
      <w:r>
        <w:t xml:space="preserve">Table </w:t>
      </w:r>
      <w:r>
        <w:rPr>
          <w:noProof/>
        </w:rPr>
        <w:t>3</w:t>
      </w:r>
      <w:r>
        <w:fldChar w:fldCharType="end"/>
      </w:r>
      <w:r>
        <w:t xml:space="preserve"> strips this </w:t>
      </w:r>
      <w:r>
        <w:lastRenderedPageBreak/>
        <w:t>out and displays just the additionality from the counterfactual CapEx. Again, this is purely the increase in GDP that arises from the increased capacity supported by the additional CapEx.</w:t>
      </w:r>
    </w:p>
    <w:p w14:paraId="03C24B4F" w14:textId="77777777" w:rsidR="003C1C00" w:rsidRDefault="003C1C00" w:rsidP="003C1C00"/>
    <w:p w14:paraId="4FCFBB9D" w14:textId="77777777" w:rsidR="003C1C00" w:rsidRDefault="003C1C00" w:rsidP="003C1C00"/>
    <w:p w14:paraId="6F5D4C6D" w14:textId="77777777" w:rsidR="003C1C00" w:rsidRDefault="003C1C00" w:rsidP="003C1C00">
      <w:pPr>
        <w:pStyle w:val="Caption"/>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Port Freight Investment Impact on UK GDP under Scenario 1)</w:t>
      </w:r>
    </w:p>
    <w:tbl>
      <w:tblPr>
        <w:tblW w:w="9346" w:type="dxa"/>
        <w:tblLook w:val="04A0" w:firstRow="1" w:lastRow="0" w:firstColumn="1" w:lastColumn="0" w:noHBand="0" w:noVBand="1"/>
      </w:tblPr>
      <w:tblGrid>
        <w:gridCol w:w="1450"/>
        <w:gridCol w:w="1974"/>
        <w:gridCol w:w="1974"/>
        <w:gridCol w:w="1974"/>
        <w:gridCol w:w="1974"/>
      </w:tblGrid>
      <w:tr w:rsidR="003C1C00" w:rsidRPr="00722909" w14:paraId="275061A6" w14:textId="77777777" w:rsidTr="006F0DCB">
        <w:trPr>
          <w:trHeight w:val="300"/>
        </w:trPr>
        <w:tc>
          <w:tcPr>
            <w:tcW w:w="1450" w:type="dxa"/>
            <w:tcBorders>
              <w:top w:val="nil"/>
              <w:left w:val="nil"/>
              <w:bottom w:val="nil"/>
              <w:right w:val="nil"/>
            </w:tcBorders>
            <w:shd w:val="clear" w:color="auto" w:fill="auto"/>
            <w:noWrap/>
            <w:vAlign w:val="bottom"/>
            <w:hideMark/>
          </w:tcPr>
          <w:p w14:paraId="6949DBFE" w14:textId="77777777" w:rsidR="003C1C00" w:rsidRPr="00722909" w:rsidRDefault="003C1C00" w:rsidP="006F0DCB">
            <w:pPr>
              <w:spacing w:after="0"/>
              <w:jc w:val="center"/>
              <w:rPr>
                <w:rFonts w:ascii="Calibri" w:eastAsia="Times New Roman" w:hAnsi="Calibri" w:cs="Calibri"/>
                <w:b/>
                <w:bCs/>
                <w:color w:val="FFFFFF"/>
                <w:sz w:val="20"/>
                <w:lang w:eastAsia="en-GB"/>
              </w:rPr>
            </w:pPr>
          </w:p>
        </w:tc>
        <w:tc>
          <w:tcPr>
            <w:tcW w:w="7896" w:type="dxa"/>
            <w:gridSpan w:val="4"/>
            <w:tcBorders>
              <w:top w:val="single" w:sz="8" w:space="0" w:color="FFFFFF"/>
              <w:left w:val="nil"/>
              <w:bottom w:val="single" w:sz="8" w:space="0" w:color="FFFFFF"/>
              <w:right w:val="single" w:sz="8" w:space="0" w:color="FFFFFF"/>
            </w:tcBorders>
            <w:shd w:val="clear" w:color="000000" w:fill="008C9B"/>
            <w:vAlign w:val="center"/>
            <w:hideMark/>
          </w:tcPr>
          <w:p w14:paraId="51899CC7" w14:textId="77777777" w:rsidR="003C1C00" w:rsidRPr="00722909" w:rsidRDefault="003C1C00" w:rsidP="006F0DCB">
            <w:pPr>
              <w:spacing w:after="0"/>
              <w:jc w:val="center"/>
              <w:rPr>
                <w:rFonts w:ascii="Calibri" w:eastAsia="Times New Roman" w:hAnsi="Calibri" w:cs="Calibri"/>
                <w:b/>
                <w:bCs/>
                <w:color w:val="FFFFFF"/>
                <w:sz w:val="20"/>
                <w:lang w:eastAsia="en-GB"/>
              </w:rPr>
            </w:pPr>
            <w:r w:rsidRPr="00722909">
              <w:rPr>
                <w:rFonts w:ascii="Calibri" w:eastAsia="Times New Roman" w:hAnsi="Calibri" w:cs="Calibri"/>
                <w:b/>
                <w:bCs/>
                <w:color w:val="FFFFFF"/>
                <w:sz w:val="20"/>
                <w:lang w:eastAsia="en-GB"/>
              </w:rPr>
              <w:t>Additional GDP from Port Freight Investment, £m</w:t>
            </w:r>
          </w:p>
        </w:tc>
      </w:tr>
      <w:tr w:rsidR="003C1C00" w:rsidRPr="00722909" w14:paraId="3B3C972F" w14:textId="77777777" w:rsidTr="006F0DCB">
        <w:trPr>
          <w:trHeight w:val="500"/>
        </w:trPr>
        <w:tc>
          <w:tcPr>
            <w:tcW w:w="1450" w:type="dxa"/>
            <w:tcBorders>
              <w:top w:val="nil"/>
              <w:left w:val="nil"/>
              <w:bottom w:val="nil"/>
              <w:right w:val="nil"/>
            </w:tcBorders>
            <w:shd w:val="clear" w:color="auto" w:fill="auto"/>
            <w:noWrap/>
            <w:vAlign w:val="bottom"/>
            <w:hideMark/>
          </w:tcPr>
          <w:p w14:paraId="51BEF199" w14:textId="77777777" w:rsidR="003C1C00" w:rsidRPr="00722909" w:rsidRDefault="003C1C00" w:rsidP="006F0DCB">
            <w:pPr>
              <w:spacing w:after="0"/>
              <w:jc w:val="center"/>
              <w:rPr>
                <w:rFonts w:ascii="Calibri" w:eastAsia="Times New Roman" w:hAnsi="Calibri" w:cs="Calibri"/>
                <w:b/>
                <w:bCs/>
                <w:color w:val="FFFFFF"/>
                <w:sz w:val="20"/>
                <w:lang w:eastAsia="en-GB"/>
              </w:rPr>
            </w:pPr>
          </w:p>
        </w:tc>
        <w:tc>
          <w:tcPr>
            <w:tcW w:w="1974" w:type="dxa"/>
            <w:tcBorders>
              <w:top w:val="nil"/>
              <w:left w:val="nil"/>
              <w:bottom w:val="single" w:sz="8" w:space="0" w:color="FFFFFF"/>
              <w:right w:val="single" w:sz="8" w:space="0" w:color="FFFFFF"/>
            </w:tcBorders>
            <w:shd w:val="clear" w:color="000000" w:fill="008C9B"/>
            <w:vAlign w:val="center"/>
            <w:hideMark/>
          </w:tcPr>
          <w:p w14:paraId="254761AF" w14:textId="77777777" w:rsidR="003C1C00" w:rsidRPr="00722909" w:rsidRDefault="003C1C00" w:rsidP="006F0DCB">
            <w:pPr>
              <w:spacing w:after="0"/>
              <w:jc w:val="center"/>
              <w:rPr>
                <w:rFonts w:ascii="Calibri" w:eastAsia="Times New Roman" w:hAnsi="Calibri" w:cs="Calibri"/>
                <w:b/>
                <w:bCs/>
                <w:color w:val="FFFFFF"/>
                <w:sz w:val="20"/>
                <w:lang w:eastAsia="en-GB"/>
              </w:rPr>
            </w:pPr>
            <w:r w:rsidRPr="00722909">
              <w:rPr>
                <w:rFonts w:ascii="Calibri" w:eastAsia="Times New Roman" w:hAnsi="Calibri" w:cs="Calibri"/>
                <w:b/>
                <w:bCs/>
                <w:color w:val="FFFFFF"/>
                <w:sz w:val="20"/>
                <w:lang w:eastAsia="en-GB"/>
              </w:rPr>
              <w:t xml:space="preserve">Standard </w:t>
            </w:r>
            <w:r>
              <w:rPr>
                <w:rFonts w:ascii="Calibri" w:eastAsia="Times New Roman" w:hAnsi="Calibri" w:cs="Calibri"/>
                <w:b/>
                <w:bCs/>
                <w:color w:val="FFFFFF"/>
                <w:sz w:val="20"/>
                <w:lang w:eastAsia="en-GB"/>
              </w:rPr>
              <w:t>CapEx</w:t>
            </w:r>
          </w:p>
        </w:tc>
        <w:tc>
          <w:tcPr>
            <w:tcW w:w="1974" w:type="dxa"/>
            <w:tcBorders>
              <w:top w:val="nil"/>
              <w:left w:val="nil"/>
              <w:bottom w:val="single" w:sz="8" w:space="0" w:color="FFFFFF"/>
              <w:right w:val="single" w:sz="8" w:space="0" w:color="FFFFFF"/>
            </w:tcBorders>
            <w:shd w:val="clear" w:color="000000" w:fill="008C9B"/>
            <w:vAlign w:val="center"/>
            <w:hideMark/>
          </w:tcPr>
          <w:p w14:paraId="3E7B4E04" w14:textId="77777777" w:rsidR="003C1C00" w:rsidRPr="00722909"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722909">
              <w:rPr>
                <w:rFonts w:ascii="Calibri" w:eastAsia="Times New Roman" w:hAnsi="Calibri" w:cs="Calibri"/>
                <w:b/>
                <w:bCs/>
                <w:color w:val="FFFFFF"/>
                <w:sz w:val="20"/>
                <w:lang w:eastAsia="en-GB"/>
              </w:rPr>
              <w:t xml:space="preserve"> + 10%</w:t>
            </w:r>
          </w:p>
        </w:tc>
        <w:tc>
          <w:tcPr>
            <w:tcW w:w="1974" w:type="dxa"/>
            <w:tcBorders>
              <w:top w:val="nil"/>
              <w:left w:val="nil"/>
              <w:bottom w:val="single" w:sz="8" w:space="0" w:color="FFFFFF"/>
              <w:right w:val="single" w:sz="8" w:space="0" w:color="FFFFFF"/>
            </w:tcBorders>
            <w:shd w:val="clear" w:color="000000" w:fill="008C9B"/>
            <w:vAlign w:val="center"/>
            <w:hideMark/>
          </w:tcPr>
          <w:p w14:paraId="1B6CC852" w14:textId="77777777" w:rsidR="003C1C00" w:rsidRPr="00722909"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722909">
              <w:rPr>
                <w:rFonts w:ascii="Calibri" w:eastAsia="Times New Roman" w:hAnsi="Calibri" w:cs="Calibri"/>
                <w:b/>
                <w:bCs/>
                <w:color w:val="FFFFFF"/>
                <w:sz w:val="20"/>
                <w:lang w:eastAsia="en-GB"/>
              </w:rPr>
              <w:t xml:space="preserve"> + 20%</w:t>
            </w:r>
          </w:p>
        </w:tc>
        <w:tc>
          <w:tcPr>
            <w:tcW w:w="1974" w:type="dxa"/>
            <w:tcBorders>
              <w:top w:val="nil"/>
              <w:left w:val="nil"/>
              <w:bottom w:val="single" w:sz="8" w:space="0" w:color="FFFFFF"/>
              <w:right w:val="single" w:sz="8" w:space="0" w:color="FFFFFF"/>
            </w:tcBorders>
            <w:shd w:val="clear" w:color="000000" w:fill="008C9B"/>
            <w:vAlign w:val="center"/>
            <w:hideMark/>
          </w:tcPr>
          <w:p w14:paraId="374DB59A" w14:textId="77777777" w:rsidR="003C1C00" w:rsidRPr="00722909"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722909">
              <w:rPr>
                <w:rFonts w:ascii="Calibri" w:eastAsia="Times New Roman" w:hAnsi="Calibri" w:cs="Calibri"/>
                <w:b/>
                <w:bCs/>
                <w:color w:val="FFFFFF"/>
                <w:sz w:val="20"/>
                <w:lang w:eastAsia="en-GB"/>
              </w:rPr>
              <w:t xml:space="preserve"> + 40%</w:t>
            </w:r>
          </w:p>
        </w:tc>
      </w:tr>
      <w:tr w:rsidR="003C1C00" w:rsidRPr="00722909" w14:paraId="4AA7F938" w14:textId="77777777" w:rsidTr="006F0DCB">
        <w:trPr>
          <w:trHeight w:val="303"/>
        </w:trPr>
        <w:tc>
          <w:tcPr>
            <w:tcW w:w="1450"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1E80AF6E" w14:textId="77777777" w:rsidR="003C1C00" w:rsidRPr="00722909" w:rsidRDefault="003C1C00" w:rsidP="006F0DCB">
            <w:pPr>
              <w:spacing w:after="0"/>
              <w:jc w:val="center"/>
              <w:rPr>
                <w:rFonts w:ascii="Calibri" w:eastAsia="Times New Roman" w:hAnsi="Calibri" w:cs="Calibri"/>
                <w:b/>
                <w:bCs/>
                <w:color w:val="FFFFFF"/>
                <w:sz w:val="20"/>
                <w:lang w:eastAsia="en-GB"/>
              </w:rPr>
            </w:pPr>
            <w:r w:rsidRPr="00722909">
              <w:rPr>
                <w:rFonts w:ascii="Calibri" w:eastAsia="Times New Roman" w:hAnsi="Calibri" w:cs="Calibri"/>
                <w:b/>
                <w:bCs/>
                <w:color w:val="FFFFFF"/>
                <w:sz w:val="20"/>
                <w:lang w:eastAsia="en-GB"/>
              </w:rPr>
              <w:t>2015</w:t>
            </w:r>
          </w:p>
        </w:tc>
        <w:tc>
          <w:tcPr>
            <w:tcW w:w="1974" w:type="dxa"/>
            <w:tcBorders>
              <w:top w:val="nil"/>
              <w:left w:val="nil"/>
              <w:bottom w:val="single" w:sz="8" w:space="0" w:color="FFFFFF"/>
              <w:right w:val="single" w:sz="8" w:space="0" w:color="FFFFFF"/>
            </w:tcBorders>
            <w:shd w:val="clear" w:color="000000" w:fill="D0CECE"/>
            <w:vAlign w:val="center"/>
            <w:hideMark/>
          </w:tcPr>
          <w:p w14:paraId="49D6E222"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147</w:t>
            </w:r>
          </w:p>
        </w:tc>
        <w:tc>
          <w:tcPr>
            <w:tcW w:w="1974" w:type="dxa"/>
            <w:tcBorders>
              <w:top w:val="nil"/>
              <w:left w:val="nil"/>
              <w:bottom w:val="single" w:sz="8" w:space="0" w:color="FFFFFF"/>
              <w:right w:val="single" w:sz="8" w:space="0" w:color="FFFFFF"/>
            </w:tcBorders>
            <w:shd w:val="clear" w:color="000000" w:fill="D0CECE"/>
            <w:vAlign w:val="center"/>
            <w:hideMark/>
          </w:tcPr>
          <w:p w14:paraId="53ADFDA7"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161</w:t>
            </w:r>
          </w:p>
        </w:tc>
        <w:tc>
          <w:tcPr>
            <w:tcW w:w="1974" w:type="dxa"/>
            <w:tcBorders>
              <w:top w:val="nil"/>
              <w:left w:val="nil"/>
              <w:bottom w:val="single" w:sz="8" w:space="0" w:color="FFFFFF"/>
              <w:right w:val="single" w:sz="8" w:space="0" w:color="FFFFFF"/>
            </w:tcBorders>
            <w:shd w:val="clear" w:color="000000" w:fill="D0CECE"/>
            <w:vAlign w:val="center"/>
            <w:hideMark/>
          </w:tcPr>
          <w:p w14:paraId="54E8DE90"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176</w:t>
            </w:r>
          </w:p>
        </w:tc>
        <w:tc>
          <w:tcPr>
            <w:tcW w:w="1974" w:type="dxa"/>
            <w:tcBorders>
              <w:top w:val="nil"/>
              <w:left w:val="nil"/>
              <w:bottom w:val="single" w:sz="8" w:space="0" w:color="FFFFFF"/>
              <w:right w:val="single" w:sz="8" w:space="0" w:color="FFFFFF"/>
            </w:tcBorders>
            <w:shd w:val="clear" w:color="000000" w:fill="D0CECE"/>
            <w:vAlign w:val="center"/>
            <w:hideMark/>
          </w:tcPr>
          <w:p w14:paraId="04AF0D90"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205</w:t>
            </w:r>
          </w:p>
        </w:tc>
      </w:tr>
      <w:tr w:rsidR="003C1C00" w:rsidRPr="00722909" w14:paraId="4C13E4AB" w14:textId="77777777" w:rsidTr="006F0DCB">
        <w:trPr>
          <w:trHeight w:val="303"/>
        </w:trPr>
        <w:tc>
          <w:tcPr>
            <w:tcW w:w="1450"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2910C41E" w14:textId="77777777" w:rsidR="003C1C00" w:rsidRPr="00722909" w:rsidRDefault="003C1C00" w:rsidP="006F0DCB">
            <w:pPr>
              <w:spacing w:after="0"/>
              <w:jc w:val="center"/>
              <w:rPr>
                <w:rFonts w:ascii="Calibri" w:eastAsia="Times New Roman" w:hAnsi="Calibri" w:cs="Calibri"/>
                <w:b/>
                <w:bCs/>
                <w:color w:val="FFFFFF"/>
                <w:sz w:val="20"/>
                <w:lang w:eastAsia="en-GB"/>
              </w:rPr>
            </w:pPr>
            <w:r w:rsidRPr="00722909">
              <w:rPr>
                <w:rFonts w:ascii="Calibri" w:eastAsia="Times New Roman" w:hAnsi="Calibri" w:cs="Calibri"/>
                <w:b/>
                <w:bCs/>
                <w:color w:val="FFFFFF"/>
                <w:sz w:val="20"/>
                <w:lang w:eastAsia="en-GB"/>
              </w:rPr>
              <w:t>2016</w:t>
            </w:r>
          </w:p>
        </w:tc>
        <w:tc>
          <w:tcPr>
            <w:tcW w:w="1974" w:type="dxa"/>
            <w:tcBorders>
              <w:top w:val="nil"/>
              <w:left w:val="single" w:sz="8" w:space="0" w:color="FFFFFF"/>
              <w:bottom w:val="single" w:sz="12" w:space="0" w:color="FFFFFF"/>
              <w:right w:val="single" w:sz="12" w:space="0" w:color="FFFFFF"/>
            </w:tcBorders>
            <w:shd w:val="clear" w:color="000000" w:fill="E7EEEF"/>
            <w:vAlign w:val="center"/>
            <w:hideMark/>
          </w:tcPr>
          <w:p w14:paraId="03408686"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149</w:t>
            </w:r>
          </w:p>
        </w:tc>
        <w:tc>
          <w:tcPr>
            <w:tcW w:w="1974" w:type="dxa"/>
            <w:tcBorders>
              <w:top w:val="nil"/>
              <w:left w:val="single" w:sz="8" w:space="0" w:color="FFFFFF"/>
              <w:bottom w:val="single" w:sz="12" w:space="0" w:color="FFFFFF"/>
              <w:right w:val="single" w:sz="12" w:space="0" w:color="FFFFFF"/>
            </w:tcBorders>
            <w:shd w:val="clear" w:color="000000" w:fill="E7EEEF"/>
            <w:vAlign w:val="center"/>
            <w:hideMark/>
          </w:tcPr>
          <w:p w14:paraId="5D756B11"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152</w:t>
            </w:r>
          </w:p>
        </w:tc>
        <w:tc>
          <w:tcPr>
            <w:tcW w:w="1974" w:type="dxa"/>
            <w:tcBorders>
              <w:top w:val="nil"/>
              <w:left w:val="single" w:sz="8" w:space="0" w:color="FFFFFF"/>
              <w:bottom w:val="single" w:sz="12" w:space="0" w:color="FFFFFF"/>
              <w:right w:val="single" w:sz="12" w:space="0" w:color="FFFFFF"/>
            </w:tcBorders>
            <w:shd w:val="clear" w:color="000000" w:fill="E7EEEF"/>
            <w:vAlign w:val="center"/>
            <w:hideMark/>
          </w:tcPr>
          <w:p w14:paraId="7C994158"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154</w:t>
            </w:r>
          </w:p>
        </w:tc>
        <w:tc>
          <w:tcPr>
            <w:tcW w:w="1974" w:type="dxa"/>
            <w:tcBorders>
              <w:top w:val="nil"/>
              <w:left w:val="single" w:sz="8" w:space="0" w:color="FFFFFF"/>
              <w:bottom w:val="single" w:sz="12" w:space="0" w:color="FFFFFF"/>
              <w:right w:val="single" w:sz="12" w:space="0" w:color="FFFFFF"/>
            </w:tcBorders>
            <w:shd w:val="clear" w:color="000000" w:fill="E7EEEF"/>
            <w:vAlign w:val="center"/>
            <w:hideMark/>
          </w:tcPr>
          <w:p w14:paraId="1E6CB978"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157</w:t>
            </w:r>
          </w:p>
        </w:tc>
      </w:tr>
      <w:tr w:rsidR="003C1C00" w:rsidRPr="00722909" w14:paraId="7112EF3D" w14:textId="77777777" w:rsidTr="006F0DCB">
        <w:trPr>
          <w:trHeight w:val="303"/>
        </w:trPr>
        <w:tc>
          <w:tcPr>
            <w:tcW w:w="1450" w:type="dxa"/>
            <w:tcBorders>
              <w:top w:val="nil"/>
              <w:left w:val="single" w:sz="8" w:space="0" w:color="FFFFFF"/>
              <w:bottom w:val="single" w:sz="4" w:space="0" w:color="auto"/>
              <w:right w:val="single" w:sz="12" w:space="0" w:color="FFFFFF"/>
            </w:tcBorders>
            <w:shd w:val="clear" w:color="000000" w:fill="008C9B"/>
            <w:vAlign w:val="center"/>
            <w:hideMark/>
          </w:tcPr>
          <w:p w14:paraId="3238572D" w14:textId="77777777" w:rsidR="003C1C00" w:rsidRPr="00722909" w:rsidRDefault="003C1C00" w:rsidP="006F0DCB">
            <w:pPr>
              <w:spacing w:after="0"/>
              <w:jc w:val="center"/>
              <w:rPr>
                <w:rFonts w:ascii="Calibri" w:eastAsia="Times New Roman" w:hAnsi="Calibri" w:cs="Calibri"/>
                <w:b/>
                <w:bCs/>
                <w:color w:val="FFFFFF"/>
                <w:sz w:val="20"/>
                <w:lang w:eastAsia="en-GB"/>
              </w:rPr>
            </w:pPr>
            <w:r w:rsidRPr="00722909">
              <w:rPr>
                <w:rFonts w:ascii="Calibri" w:eastAsia="Times New Roman" w:hAnsi="Calibri" w:cs="Calibri"/>
                <w:b/>
                <w:bCs/>
                <w:color w:val="FFFFFF"/>
                <w:sz w:val="20"/>
                <w:lang w:eastAsia="en-GB"/>
              </w:rPr>
              <w:t>2017</w:t>
            </w:r>
          </w:p>
        </w:tc>
        <w:tc>
          <w:tcPr>
            <w:tcW w:w="1974" w:type="dxa"/>
            <w:tcBorders>
              <w:top w:val="nil"/>
              <w:left w:val="nil"/>
              <w:bottom w:val="single" w:sz="4" w:space="0" w:color="auto"/>
              <w:right w:val="single" w:sz="8" w:space="0" w:color="FFFFFF"/>
            </w:tcBorders>
            <w:shd w:val="clear" w:color="000000" w:fill="D0CECE"/>
            <w:vAlign w:val="center"/>
            <w:hideMark/>
          </w:tcPr>
          <w:p w14:paraId="36753822"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142</w:t>
            </w:r>
          </w:p>
        </w:tc>
        <w:tc>
          <w:tcPr>
            <w:tcW w:w="1974" w:type="dxa"/>
            <w:tcBorders>
              <w:top w:val="nil"/>
              <w:left w:val="nil"/>
              <w:bottom w:val="single" w:sz="4" w:space="0" w:color="auto"/>
              <w:right w:val="single" w:sz="8" w:space="0" w:color="FFFFFF"/>
            </w:tcBorders>
            <w:shd w:val="clear" w:color="000000" w:fill="D0CECE"/>
            <w:vAlign w:val="center"/>
            <w:hideMark/>
          </w:tcPr>
          <w:p w14:paraId="49F74193"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160</w:t>
            </w:r>
          </w:p>
        </w:tc>
        <w:tc>
          <w:tcPr>
            <w:tcW w:w="1974" w:type="dxa"/>
            <w:tcBorders>
              <w:top w:val="nil"/>
              <w:left w:val="nil"/>
              <w:bottom w:val="single" w:sz="4" w:space="0" w:color="auto"/>
              <w:right w:val="single" w:sz="8" w:space="0" w:color="FFFFFF"/>
            </w:tcBorders>
            <w:shd w:val="clear" w:color="000000" w:fill="D0CECE"/>
            <w:vAlign w:val="center"/>
            <w:hideMark/>
          </w:tcPr>
          <w:p w14:paraId="2D9B7A59"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162</w:t>
            </w:r>
          </w:p>
        </w:tc>
        <w:tc>
          <w:tcPr>
            <w:tcW w:w="1974" w:type="dxa"/>
            <w:tcBorders>
              <w:top w:val="nil"/>
              <w:left w:val="nil"/>
              <w:bottom w:val="single" w:sz="4" w:space="0" w:color="auto"/>
              <w:right w:val="single" w:sz="8" w:space="0" w:color="FFFFFF"/>
            </w:tcBorders>
            <w:shd w:val="clear" w:color="000000" w:fill="D0CECE"/>
            <w:vAlign w:val="center"/>
            <w:hideMark/>
          </w:tcPr>
          <w:p w14:paraId="40B168EC"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165</w:t>
            </w:r>
          </w:p>
        </w:tc>
      </w:tr>
      <w:tr w:rsidR="003C1C00" w:rsidRPr="00722909" w14:paraId="45551C35" w14:textId="77777777" w:rsidTr="006F0DCB">
        <w:trPr>
          <w:trHeight w:val="303"/>
        </w:trPr>
        <w:tc>
          <w:tcPr>
            <w:tcW w:w="1450" w:type="dxa"/>
            <w:tcBorders>
              <w:top w:val="nil"/>
              <w:left w:val="single" w:sz="8" w:space="0" w:color="FFFFFF"/>
              <w:bottom w:val="single" w:sz="12" w:space="0" w:color="FFFFFF"/>
              <w:right w:val="single" w:sz="12" w:space="0" w:color="FFFFFF"/>
            </w:tcBorders>
            <w:shd w:val="clear" w:color="000000" w:fill="008C9B"/>
            <w:vAlign w:val="center"/>
            <w:hideMark/>
          </w:tcPr>
          <w:p w14:paraId="7E70D844" w14:textId="77777777" w:rsidR="003C1C00" w:rsidRPr="00722909" w:rsidRDefault="003C1C00" w:rsidP="006F0DCB">
            <w:pPr>
              <w:spacing w:after="0"/>
              <w:jc w:val="center"/>
              <w:rPr>
                <w:rFonts w:ascii="Calibri" w:eastAsia="Times New Roman" w:hAnsi="Calibri" w:cs="Calibri"/>
                <w:b/>
                <w:bCs/>
                <w:color w:val="FFFFFF"/>
                <w:sz w:val="20"/>
                <w:lang w:eastAsia="en-GB"/>
              </w:rPr>
            </w:pPr>
            <w:r w:rsidRPr="00722909">
              <w:rPr>
                <w:rFonts w:ascii="Calibri" w:eastAsia="Times New Roman" w:hAnsi="Calibri" w:cs="Calibri"/>
                <w:b/>
                <w:bCs/>
                <w:color w:val="FFFFFF"/>
                <w:sz w:val="20"/>
                <w:lang w:eastAsia="en-GB"/>
              </w:rPr>
              <w:t>Aggregate</w:t>
            </w:r>
            <w:r>
              <w:rPr>
                <w:rFonts w:ascii="Calibri" w:eastAsia="Times New Roman" w:hAnsi="Calibri" w:cs="Calibri"/>
                <w:b/>
                <w:bCs/>
                <w:color w:val="FFFFFF"/>
                <w:sz w:val="20"/>
                <w:lang w:eastAsia="en-GB"/>
              </w:rPr>
              <w:t xml:space="preserve"> effect on GDP</w:t>
            </w:r>
          </w:p>
        </w:tc>
        <w:tc>
          <w:tcPr>
            <w:tcW w:w="1974" w:type="dxa"/>
            <w:tcBorders>
              <w:top w:val="nil"/>
              <w:left w:val="single" w:sz="8" w:space="0" w:color="FFFFFF"/>
              <w:bottom w:val="single" w:sz="12" w:space="0" w:color="FFFFFF"/>
              <w:right w:val="single" w:sz="12" w:space="0" w:color="FFFFFF"/>
            </w:tcBorders>
            <w:shd w:val="clear" w:color="000000" w:fill="E7EEEF"/>
            <w:vAlign w:val="center"/>
            <w:hideMark/>
          </w:tcPr>
          <w:p w14:paraId="4A259220"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438</w:t>
            </w:r>
          </w:p>
        </w:tc>
        <w:tc>
          <w:tcPr>
            <w:tcW w:w="1974" w:type="dxa"/>
            <w:tcBorders>
              <w:top w:val="nil"/>
              <w:left w:val="single" w:sz="8" w:space="0" w:color="FFFFFF"/>
              <w:bottom w:val="single" w:sz="12" w:space="0" w:color="FFFFFF"/>
              <w:right w:val="single" w:sz="12" w:space="0" w:color="FFFFFF"/>
            </w:tcBorders>
            <w:shd w:val="clear" w:color="000000" w:fill="E7EEEF"/>
            <w:vAlign w:val="center"/>
            <w:hideMark/>
          </w:tcPr>
          <w:p w14:paraId="1E63C558"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474</w:t>
            </w:r>
          </w:p>
        </w:tc>
        <w:tc>
          <w:tcPr>
            <w:tcW w:w="1974" w:type="dxa"/>
            <w:tcBorders>
              <w:top w:val="nil"/>
              <w:left w:val="single" w:sz="8" w:space="0" w:color="FFFFFF"/>
              <w:bottom w:val="single" w:sz="12" w:space="0" w:color="FFFFFF"/>
              <w:right w:val="single" w:sz="12" w:space="0" w:color="FFFFFF"/>
            </w:tcBorders>
            <w:shd w:val="clear" w:color="000000" w:fill="E7EEEF"/>
            <w:vAlign w:val="center"/>
            <w:hideMark/>
          </w:tcPr>
          <w:p w14:paraId="74969423"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492</w:t>
            </w:r>
          </w:p>
        </w:tc>
        <w:tc>
          <w:tcPr>
            <w:tcW w:w="1974" w:type="dxa"/>
            <w:tcBorders>
              <w:top w:val="nil"/>
              <w:left w:val="single" w:sz="8" w:space="0" w:color="FFFFFF"/>
              <w:bottom w:val="single" w:sz="12" w:space="0" w:color="FFFFFF"/>
              <w:right w:val="single" w:sz="12" w:space="0" w:color="FFFFFF"/>
            </w:tcBorders>
            <w:shd w:val="clear" w:color="000000" w:fill="E7EEEF"/>
            <w:vAlign w:val="center"/>
            <w:hideMark/>
          </w:tcPr>
          <w:p w14:paraId="4FBDF461" w14:textId="77777777" w:rsidR="003C1C00" w:rsidRPr="00722909" w:rsidRDefault="003C1C00" w:rsidP="006F0DCB">
            <w:pPr>
              <w:spacing w:after="0"/>
              <w:jc w:val="center"/>
              <w:rPr>
                <w:rFonts w:ascii="Calibri" w:eastAsia="Times New Roman" w:hAnsi="Calibri" w:cs="Calibri"/>
                <w:color w:val="000000"/>
                <w:sz w:val="20"/>
                <w:lang w:eastAsia="en-GB"/>
              </w:rPr>
            </w:pPr>
            <w:r w:rsidRPr="00722909">
              <w:rPr>
                <w:rFonts w:ascii="Calibri" w:eastAsia="Times New Roman" w:hAnsi="Calibri" w:cs="Calibri"/>
                <w:color w:val="000000"/>
                <w:sz w:val="20"/>
                <w:lang w:eastAsia="en-GB"/>
              </w:rPr>
              <w:t>528</w:t>
            </w:r>
          </w:p>
        </w:tc>
      </w:tr>
    </w:tbl>
    <w:p w14:paraId="6D27F777" w14:textId="77777777" w:rsidR="003C1C00" w:rsidRPr="009B3337" w:rsidRDefault="003C1C00" w:rsidP="003C1C00">
      <w:pPr>
        <w:jc w:val="right"/>
        <w:rPr>
          <w:i/>
          <w:sz w:val="18"/>
        </w:rPr>
      </w:pPr>
      <w:r>
        <w:rPr>
          <w:i/>
          <w:sz w:val="18"/>
        </w:rPr>
        <w:t>Source: UK Major Ports Group data on investment, Park. J., &amp; Seo. Y., United Nations, Cebr analysis</w:t>
      </w:r>
    </w:p>
    <w:p w14:paraId="314D84BF" w14:textId="77777777" w:rsidR="003C1C00" w:rsidRDefault="003C1C00" w:rsidP="003C1C00">
      <w:pPr>
        <w:pStyle w:val="Caption"/>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Scenario 1) impact – additionality from greater CapEx compared to baseline, £m</w:t>
      </w:r>
    </w:p>
    <w:tbl>
      <w:tblPr>
        <w:tblW w:w="9345" w:type="dxa"/>
        <w:tblLook w:val="04A0" w:firstRow="1" w:lastRow="0" w:firstColumn="1" w:lastColumn="0" w:noHBand="0" w:noVBand="1"/>
      </w:tblPr>
      <w:tblGrid>
        <w:gridCol w:w="1450"/>
        <w:gridCol w:w="1593"/>
        <w:gridCol w:w="2117"/>
        <w:gridCol w:w="2235"/>
        <w:gridCol w:w="1950"/>
      </w:tblGrid>
      <w:tr w:rsidR="003C1C00" w:rsidRPr="00810D7C" w14:paraId="472C7DE5" w14:textId="77777777" w:rsidTr="006F0DCB">
        <w:trPr>
          <w:trHeight w:val="541"/>
        </w:trPr>
        <w:tc>
          <w:tcPr>
            <w:tcW w:w="1450" w:type="dxa"/>
            <w:tcBorders>
              <w:top w:val="nil"/>
              <w:left w:val="nil"/>
              <w:bottom w:val="nil"/>
              <w:right w:val="nil"/>
            </w:tcBorders>
            <w:shd w:val="clear" w:color="auto" w:fill="auto"/>
            <w:noWrap/>
            <w:vAlign w:val="bottom"/>
            <w:hideMark/>
          </w:tcPr>
          <w:p w14:paraId="05EA5840" w14:textId="77777777" w:rsidR="003C1C00" w:rsidRPr="00810D7C" w:rsidRDefault="003C1C00" w:rsidP="006F0DCB">
            <w:pPr>
              <w:spacing w:after="0"/>
              <w:rPr>
                <w:rFonts w:ascii="Times New Roman" w:eastAsia="Times New Roman" w:hAnsi="Times New Roman"/>
                <w:sz w:val="20"/>
                <w:szCs w:val="24"/>
                <w:lang w:eastAsia="en-GB"/>
              </w:rPr>
            </w:pPr>
          </w:p>
        </w:tc>
        <w:tc>
          <w:tcPr>
            <w:tcW w:w="1593" w:type="dxa"/>
            <w:tcBorders>
              <w:top w:val="nil"/>
              <w:left w:val="nil"/>
              <w:bottom w:val="single" w:sz="8" w:space="0" w:color="FFFFFF"/>
              <w:right w:val="single" w:sz="8" w:space="0" w:color="FFFFFF"/>
            </w:tcBorders>
            <w:shd w:val="clear" w:color="000000" w:fill="008C9B"/>
            <w:vAlign w:val="center"/>
            <w:hideMark/>
          </w:tcPr>
          <w:p w14:paraId="0A483FF5" w14:textId="77777777" w:rsidR="003C1C00" w:rsidRPr="00810D7C" w:rsidRDefault="003C1C00" w:rsidP="006F0DCB">
            <w:pPr>
              <w:spacing w:after="0"/>
              <w:jc w:val="center"/>
              <w:rPr>
                <w:rFonts w:ascii="Calibri" w:eastAsia="Times New Roman" w:hAnsi="Calibri" w:cs="Calibri"/>
                <w:b/>
                <w:bCs/>
                <w:color w:val="FFFFFF"/>
                <w:sz w:val="20"/>
                <w:lang w:eastAsia="en-GB"/>
              </w:rPr>
            </w:pPr>
            <w:r w:rsidRPr="00810D7C">
              <w:rPr>
                <w:rFonts w:ascii="Calibri" w:eastAsia="Times New Roman" w:hAnsi="Calibri" w:cs="Calibri"/>
                <w:b/>
                <w:bCs/>
                <w:color w:val="FFFFFF"/>
                <w:sz w:val="20"/>
                <w:lang w:eastAsia="en-GB"/>
              </w:rPr>
              <w:t xml:space="preserve">Standard </w:t>
            </w:r>
            <w:r>
              <w:rPr>
                <w:rFonts w:ascii="Calibri" w:eastAsia="Times New Roman" w:hAnsi="Calibri" w:cs="Calibri"/>
                <w:b/>
                <w:bCs/>
                <w:color w:val="FFFFFF"/>
                <w:sz w:val="20"/>
                <w:lang w:eastAsia="en-GB"/>
              </w:rPr>
              <w:t>CapEx</w:t>
            </w:r>
          </w:p>
        </w:tc>
        <w:tc>
          <w:tcPr>
            <w:tcW w:w="2117" w:type="dxa"/>
            <w:tcBorders>
              <w:top w:val="nil"/>
              <w:left w:val="nil"/>
              <w:bottom w:val="single" w:sz="8" w:space="0" w:color="FFFFFF"/>
              <w:right w:val="single" w:sz="8" w:space="0" w:color="FFFFFF"/>
            </w:tcBorders>
            <w:shd w:val="clear" w:color="000000" w:fill="008C9B"/>
            <w:vAlign w:val="center"/>
            <w:hideMark/>
          </w:tcPr>
          <w:p w14:paraId="10CA5008" w14:textId="77777777" w:rsidR="003C1C00" w:rsidRPr="00810D7C"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810D7C">
              <w:rPr>
                <w:rFonts w:ascii="Calibri" w:eastAsia="Times New Roman" w:hAnsi="Calibri" w:cs="Calibri"/>
                <w:b/>
                <w:bCs/>
                <w:color w:val="FFFFFF"/>
                <w:sz w:val="20"/>
                <w:lang w:eastAsia="en-GB"/>
              </w:rPr>
              <w:t xml:space="preserve"> + 10%</w:t>
            </w:r>
          </w:p>
        </w:tc>
        <w:tc>
          <w:tcPr>
            <w:tcW w:w="2235" w:type="dxa"/>
            <w:tcBorders>
              <w:top w:val="nil"/>
              <w:left w:val="nil"/>
              <w:bottom w:val="single" w:sz="8" w:space="0" w:color="FFFFFF"/>
              <w:right w:val="single" w:sz="8" w:space="0" w:color="FFFFFF"/>
            </w:tcBorders>
            <w:shd w:val="clear" w:color="000000" w:fill="008C9B"/>
            <w:vAlign w:val="center"/>
            <w:hideMark/>
          </w:tcPr>
          <w:p w14:paraId="3C6CF4F5" w14:textId="77777777" w:rsidR="003C1C00" w:rsidRPr="00810D7C"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810D7C">
              <w:rPr>
                <w:rFonts w:ascii="Calibri" w:eastAsia="Times New Roman" w:hAnsi="Calibri" w:cs="Calibri"/>
                <w:b/>
                <w:bCs/>
                <w:color w:val="FFFFFF"/>
                <w:sz w:val="20"/>
                <w:lang w:eastAsia="en-GB"/>
              </w:rPr>
              <w:t xml:space="preserve"> + 20%</w:t>
            </w:r>
          </w:p>
        </w:tc>
        <w:tc>
          <w:tcPr>
            <w:tcW w:w="1950" w:type="dxa"/>
            <w:tcBorders>
              <w:top w:val="nil"/>
              <w:left w:val="nil"/>
              <w:bottom w:val="single" w:sz="8" w:space="0" w:color="FFFFFF"/>
              <w:right w:val="single" w:sz="8" w:space="0" w:color="FFFFFF"/>
            </w:tcBorders>
            <w:shd w:val="clear" w:color="000000" w:fill="008C9B"/>
            <w:vAlign w:val="center"/>
            <w:hideMark/>
          </w:tcPr>
          <w:p w14:paraId="3AFE41BB" w14:textId="77777777" w:rsidR="003C1C00" w:rsidRPr="00810D7C"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810D7C">
              <w:rPr>
                <w:rFonts w:ascii="Calibri" w:eastAsia="Times New Roman" w:hAnsi="Calibri" w:cs="Calibri"/>
                <w:b/>
                <w:bCs/>
                <w:color w:val="FFFFFF"/>
                <w:sz w:val="20"/>
                <w:lang w:eastAsia="en-GB"/>
              </w:rPr>
              <w:t xml:space="preserve"> + 40%</w:t>
            </w:r>
          </w:p>
        </w:tc>
      </w:tr>
      <w:tr w:rsidR="003C1C00" w:rsidRPr="00810D7C" w14:paraId="03E7C3CB" w14:textId="77777777" w:rsidTr="006F0DCB">
        <w:trPr>
          <w:trHeight w:val="300"/>
        </w:trPr>
        <w:tc>
          <w:tcPr>
            <w:tcW w:w="1450"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10E6A7AA" w14:textId="77777777" w:rsidR="003C1C00" w:rsidRPr="00810D7C" w:rsidRDefault="003C1C00" w:rsidP="006F0DCB">
            <w:pPr>
              <w:spacing w:after="0"/>
              <w:jc w:val="center"/>
              <w:rPr>
                <w:rFonts w:ascii="Calibri" w:eastAsia="Times New Roman" w:hAnsi="Calibri" w:cs="Calibri"/>
                <w:b/>
                <w:bCs/>
                <w:color w:val="FFFFFF"/>
                <w:sz w:val="20"/>
                <w:lang w:eastAsia="en-GB"/>
              </w:rPr>
            </w:pPr>
            <w:r w:rsidRPr="00810D7C">
              <w:rPr>
                <w:rFonts w:ascii="Calibri" w:eastAsia="Times New Roman" w:hAnsi="Calibri" w:cs="Calibri"/>
                <w:b/>
                <w:bCs/>
                <w:color w:val="FFFFFF"/>
                <w:sz w:val="20"/>
                <w:lang w:eastAsia="en-GB"/>
              </w:rPr>
              <w:t>2015</w:t>
            </w:r>
          </w:p>
        </w:tc>
        <w:tc>
          <w:tcPr>
            <w:tcW w:w="1593" w:type="dxa"/>
            <w:tcBorders>
              <w:top w:val="nil"/>
              <w:left w:val="nil"/>
              <w:bottom w:val="single" w:sz="8" w:space="0" w:color="FFFFFF"/>
              <w:right w:val="single" w:sz="8" w:space="0" w:color="FFFFFF"/>
            </w:tcBorders>
            <w:shd w:val="clear" w:color="000000" w:fill="D0CECE"/>
            <w:vAlign w:val="center"/>
            <w:hideMark/>
          </w:tcPr>
          <w:p w14:paraId="7BBAE6B1"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0</w:t>
            </w:r>
          </w:p>
        </w:tc>
        <w:tc>
          <w:tcPr>
            <w:tcW w:w="2117" w:type="dxa"/>
            <w:tcBorders>
              <w:top w:val="nil"/>
              <w:left w:val="nil"/>
              <w:bottom w:val="single" w:sz="8" w:space="0" w:color="FFFFFF"/>
              <w:right w:val="single" w:sz="8" w:space="0" w:color="FFFFFF"/>
            </w:tcBorders>
            <w:shd w:val="clear" w:color="000000" w:fill="D0CECE"/>
            <w:vAlign w:val="center"/>
            <w:hideMark/>
          </w:tcPr>
          <w:p w14:paraId="4C310E82"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15</w:t>
            </w:r>
          </w:p>
        </w:tc>
        <w:tc>
          <w:tcPr>
            <w:tcW w:w="2235" w:type="dxa"/>
            <w:tcBorders>
              <w:top w:val="nil"/>
              <w:left w:val="nil"/>
              <w:bottom w:val="single" w:sz="8" w:space="0" w:color="FFFFFF"/>
              <w:right w:val="single" w:sz="8" w:space="0" w:color="FFFFFF"/>
            </w:tcBorders>
            <w:shd w:val="clear" w:color="000000" w:fill="D0CECE"/>
            <w:vAlign w:val="center"/>
            <w:hideMark/>
          </w:tcPr>
          <w:p w14:paraId="110674F6"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29</w:t>
            </w:r>
          </w:p>
        </w:tc>
        <w:tc>
          <w:tcPr>
            <w:tcW w:w="1950" w:type="dxa"/>
            <w:tcBorders>
              <w:top w:val="nil"/>
              <w:left w:val="nil"/>
              <w:bottom w:val="single" w:sz="8" w:space="0" w:color="FFFFFF"/>
              <w:right w:val="single" w:sz="8" w:space="0" w:color="FFFFFF"/>
            </w:tcBorders>
            <w:shd w:val="clear" w:color="000000" w:fill="D0CECE"/>
            <w:vAlign w:val="center"/>
            <w:hideMark/>
          </w:tcPr>
          <w:p w14:paraId="3FC1ABC7"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59</w:t>
            </w:r>
          </w:p>
        </w:tc>
      </w:tr>
      <w:tr w:rsidR="003C1C00" w:rsidRPr="00810D7C" w14:paraId="68863FA1" w14:textId="77777777" w:rsidTr="006F0DCB">
        <w:trPr>
          <w:trHeight w:val="300"/>
        </w:trPr>
        <w:tc>
          <w:tcPr>
            <w:tcW w:w="1450"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6D4EF5B2" w14:textId="77777777" w:rsidR="003C1C00" w:rsidRPr="00810D7C" w:rsidRDefault="003C1C00" w:rsidP="006F0DCB">
            <w:pPr>
              <w:spacing w:after="0"/>
              <w:jc w:val="center"/>
              <w:rPr>
                <w:rFonts w:ascii="Calibri" w:eastAsia="Times New Roman" w:hAnsi="Calibri" w:cs="Calibri"/>
                <w:b/>
                <w:bCs/>
                <w:color w:val="FFFFFF"/>
                <w:sz w:val="20"/>
                <w:lang w:eastAsia="en-GB"/>
              </w:rPr>
            </w:pPr>
            <w:r w:rsidRPr="00810D7C">
              <w:rPr>
                <w:rFonts w:ascii="Calibri" w:eastAsia="Times New Roman" w:hAnsi="Calibri" w:cs="Calibri"/>
                <w:b/>
                <w:bCs/>
                <w:color w:val="FFFFFF"/>
                <w:sz w:val="20"/>
                <w:lang w:eastAsia="en-GB"/>
              </w:rPr>
              <w:t>2016</w:t>
            </w:r>
          </w:p>
        </w:tc>
        <w:tc>
          <w:tcPr>
            <w:tcW w:w="1593" w:type="dxa"/>
            <w:tcBorders>
              <w:top w:val="nil"/>
              <w:left w:val="single" w:sz="8" w:space="0" w:color="FFFFFF"/>
              <w:bottom w:val="single" w:sz="12" w:space="0" w:color="FFFFFF"/>
              <w:right w:val="single" w:sz="12" w:space="0" w:color="FFFFFF"/>
            </w:tcBorders>
            <w:shd w:val="clear" w:color="000000" w:fill="E7EEEF"/>
            <w:vAlign w:val="center"/>
            <w:hideMark/>
          </w:tcPr>
          <w:p w14:paraId="09349B4A"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0</w:t>
            </w:r>
          </w:p>
        </w:tc>
        <w:tc>
          <w:tcPr>
            <w:tcW w:w="2117" w:type="dxa"/>
            <w:tcBorders>
              <w:top w:val="nil"/>
              <w:left w:val="single" w:sz="8" w:space="0" w:color="FFFFFF"/>
              <w:bottom w:val="single" w:sz="12" w:space="0" w:color="FFFFFF"/>
              <w:right w:val="single" w:sz="12" w:space="0" w:color="FFFFFF"/>
            </w:tcBorders>
            <w:shd w:val="clear" w:color="000000" w:fill="E7EEEF"/>
            <w:vAlign w:val="center"/>
            <w:hideMark/>
          </w:tcPr>
          <w:p w14:paraId="42360F78"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3</w:t>
            </w:r>
          </w:p>
        </w:tc>
        <w:tc>
          <w:tcPr>
            <w:tcW w:w="2235" w:type="dxa"/>
            <w:tcBorders>
              <w:top w:val="nil"/>
              <w:left w:val="single" w:sz="8" w:space="0" w:color="FFFFFF"/>
              <w:bottom w:val="single" w:sz="12" w:space="0" w:color="FFFFFF"/>
              <w:right w:val="single" w:sz="12" w:space="0" w:color="FFFFFF"/>
            </w:tcBorders>
            <w:shd w:val="clear" w:color="000000" w:fill="E7EEEF"/>
            <w:vAlign w:val="center"/>
            <w:hideMark/>
          </w:tcPr>
          <w:p w14:paraId="2EFC412B"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5</w:t>
            </w:r>
          </w:p>
        </w:tc>
        <w:tc>
          <w:tcPr>
            <w:tcW w:w="1950" w:type="dxa"/>
            <w:tcBorders>
              <w:top w:val="nil"/>
              <w:left w:val="single" w:sz="8" w:space="0" w:color="FFFFFF"/>
              <w:bottom w:val="single" w:sz="12" w:space="0" w:color="FFFFFF"/>
              <w:right w:val="single" w:sz="12" w:space="0" w:color="FFFFFF"/>
            </w:tcBorders>
            <w:shd w:val="clear" w:color="000000" w:fill="E7EEEF"/>
            <w:vAlign w:val="center"/>
            <w:hideMark/>
          </w:tcPr>
          <w:p w14:paraId="1E5CC88B"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8</w:t>
            </w:r>
          </w:p>
        </w:tc>
      </w:tr>
      <w:tr w:rsidR="003C1C00" w:rsidRPr="00810D7C" w14:paraId="5B6E660F" w14:textId="77777777" w:rsidTr="006F0DCB">
        <w:trPr>
          <w:trHeight w:val="300"/>
        </w:trPr>
        <w:tc>
          <w:tcPr>
            <w:tcW w:w="1450" w:type="dxa"/>
            <w:tcBorders>
              <w:top w:val="single" w:sz="12" w:space="0" w:color="FFFFFF"/>
              <w:left w:val="single" w:sz="8" w:space="0" w:color="FFFFFF"/>
              <w:bottom w:val="single" w:sz="4" w:space="0" w:color="auto"/>
              <w:right w:val="single" w:sz="12" w:space="0" w:color="FFFFFF"/>
            </w:tcBorders>
            <w:shd w:val="clear" w:color="000000" w:fill="008C9B"/>
            <w:vAlign w:val="center"/>
            <w:hideMark/>
          </w:tcPr>
          <w:p w14:paraId="0143FA1B" w14:textId="77777777" w:rsidR="003C1C00" w:rsidRPr="00810D7C" w:rsidRDefault="003C1C00" w:rsidP="006F0DCB">
            <w:pPr>
              <w:spacing w:after="0"/>
              <w:jc w:val="center"/>
              <w:rPr>
                <w:rFonts w:ascii="Calibri" w:eastAsia="Times New Roman" w:hAnsi="Calibri" w:cs="Calibri"/>
                <w:b/>
                <w:bCs/>
                <w:color w:val="FFFFFF"/>
                <w:sz w:val="20"/>
                <w:lang w:eastAsia="en-GB"/>
              </w:rPr>
            </w:pPr>
            <w:r w:rsidRPr="00810D7C">
              <w:rPr>
                <w:rFonts w:ascii="Calibri" w:eastAsia="Times New Roman" w:hAnsi="Calibri" w:cs="Calibri"/>
                <w:b/>
                <w:bCs/>
                <w:color w:val="FFFFFF"/>
                <w:sz w:val="20"/>
                <w:lang w:eastAsia="en-GB"/>
              </w:rPr>
              <w:t>2017</w:t>
            </w:r>
          </w:p>
        </w:tc>
        <w:tc>
          <w:tcPr>
            <w:tcW w:w="1593" w:type="dxa"/>
            <w:tcBorders>
              <w:top w:val="single" w:sz="12" w:space="0" w:color="FFFFFF"/>
              <w:left w:val="nil"/>
              <w:bottom w:val="single" w:sz="4" w:space="0" w:color="auto"/>
              <w:right w:val="single" w:sz="8" w:space="0" w:color="FFFFFF"/>
            </w:tcBorders>
            <w:shd w:val="clear" w:color="000000" w:fill="D0CECE"/>
            <w:vAlign w:val="center"/>
            <w:hideMark/>
          </w:tcPr>
          <w:p w14:paraId="27DE7F87"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0</w:t>
            </w:r>
          </w:p>
        </w:tc>
        <w:tc>
          <w:tcPr>
            <w:tcW w:w="2117" w:type="dxa"/>
            <w:tcBorders>
              <w:top w:val="single" w:sz="12" w:space="0" w:color="FFFFFF"/>
              <w:left w:val="nil"/>
              <w:bottom w:val="single" w:sz="4" w:space="0" w:color="auto"/>
              <w:right w:val="single" w:sz="8" w:space="0" w:color="FFFFFF"/>
            </w:tcBorders>
            <w:shd w:val="clear" w:color="000000" w:fill="D0CECE"/>
            <w:vAlign w:val="center"/>
            <w:hideMark/>
          </w:tcPr>
          <w:p w14:paraId="1DCF2DD8"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18</w:t>
            </w:r>
          </w:p>
        </w:tc>
        <w:tc>
          <w:tcPr>
            <w:tcW w:w="2235" w:type="dxa"/>
            <w:tcBorders>
              <w:top w:val="single" w:sz="12" w:space="0" w:color="FFFFFF"/>
              <w:left w:val="nil"/>
              <w:bottom w:val="single" w:sz="4" w:space="0" w:color="auto"/>
              <w:right w:val="single" w:sz="8" w:space="0" w:color="FFFFFF"/>
            </w:tcBorders>
            <w:shd w:val="clear" w:color="000000" w:fill="D0CECE"/>
            <w:vAlign w:val="center"/>
            <w:hideMark/>
          </w:tcPr>
          <w:p w14:paraId="301E879B"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20</w:t>
            </w:r>
          </w:p>
        </w:tc>
        <w:tc>
          <w:tcPr>
            <w:tcW w:w="1950" w:type="dxa"/>
            <w:tcBorders>
              <w:top w:val="single" w:sz="12" w:space="0" w:color="FFFFFF"/>
              <w:left w:val="nil"/>
              <w:bottom w:val="single" w:sz="4" w:space="0" w:color="auto"/>
              <w:right w:val="single" w:sz="8" w:space="0" w:color="FFFFFF"/>
            </w:tcBorders>
            <w:shd w:val="clear" w:color="000000" w:fill="D0CECE"/>
            <w:vAlign w:val="center"/>
            <w:hideMark/>
          </w:tcPr>
          <w:p w14:paraId="1E45161F"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23</w:t>
            </w:r>
          </w:p>
        </w:tc>
      </w:tr>
      <w:tr w:rsidR="003C1C00" w:rsidRPr="00810D7C" w14:paraId="41A7FBF9" w14:textId="77777777" w:rsidTr="006F0DCB">
        <w:trPr>
          <w:trHeight w:val="300"/>
        </w:trPr>
        <w:tc>
          <w:tcPr>
            <w:tcW w:w="1450" w:type="dxa"/>
            <w:tcBorders>
              <w:top w:val="single" w:sz="4" w:space="0" w:color="auto"/>
              <w:left w:val="single" w:sz="8" w:space="0" w:color="FFFFFF"/>
              <w:bottom w:val="single" w:sz="12" w:space="0" w:color="FFFFFF"/>
              <w:right w:val="single" w:sz="12" w:space="0" w:color="FFFFFF"/>
            </w:tcBorders>
            <w:shd w:val="clear" w:color="000000" w:fill="008C9B"/>
            <w:vAlign w:val="center"/>
            <w:hideMark/>
          </w:tcPr>
          <w:p w14:paraId="354E37E3" w14:textId="77777777" w:rsidR="003C1C00" w:rsidRPr="00810D7C"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 xml:space="preserve"> </w:t>
            </w:r>
            <w:r w:rsidRPr="00810D7C">
              <w:rPr>
                <w:rFonts w:ascii="Calibri" w:eastAsia="Times New Roman" w:hAnsi="Calibri" w:cs="Calibri"/>
                <w:b/>
                <w:bCs/>
                <w:color w:val="FFFFFF"/>
                <w:sz w:val="20"/>
                <w:lang w:eastAsia="en-GB"/>
              </w:rPr>
              <w:t>Aggregate</w:t>
            </w:r>
          </w:p>
        </w:tc>
        <w:tc>
          <w:tcPr>
            <w:tcW w:w="1593" w:type="dxa"/>
            <w:tcBorders>
              <w:top w:val="single" w:sz="4" w:space="0" w:color="auto"/>
              <w:left w:val="single" w:sz="8" w:space="0" w:color="FFFFFF"/>
              <w:bottom w:val="single" w:sz="12" w:space="0" w:color="FFFFFF"/>
              <w:right w:val="single" w:sz="12" w:space="0" w:color="FFFFFF"/>
            </w:tcBorders>
            <w:shd w:val="clear" w:color="000000" w:fill="E7EEEF"/>
            <w:vAlign w:val="center"/>
            <w:hideMark/>
          </w:tcPr>
          <w:p w14:paraId="14C2C6F3"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0</w:t>
            </w:r>
          </w:p>
        </w:tc>
        <w:tc>
          <w:tcPr>
            <w:tcW w:w="2117" w:type="dxa"/>
            <w:tcBorders>
              <w:top w:val="single" w:sz="4" w:space="0" w:color="auto"/>
              <w:left w:val="single" w:sz="8" w:space="0" w:color="FFFFFF"/>
              <w:bottom w:val="single" w:sz="12" w:space="0" w:color="FFFFFF"/>
              <w:right w:val="single" w:sz="12" w:space="0" w:color="FFFFFF"/>
            </w:tcBorders>
            <w:shd w:val="clear" w:color="000000" w:fill="E7EEEF"/>
            <w:vAlign w:val="center"/>
            <w:hideMark/>
          </w:tcPr>
          <w:p w14:paraId="0F5716B2"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36</w:t>
            </w:r>
          </w:p>
        </w:tc>
        <w:tc>
          <w:tcPr>
            <w:tcW w:w="2235" w:type="dxa"/>
            <w:tcBorders>
              <w:top w:val="single" w:sz="4" w:space="0" w:color="auto"/>
              <w:left w:val="single" w:sz="8" w:space="0" w:color="FFFFFF"/>
              <w:bottom w:val="single" w:sz="12" w:space="0" w:color="FFFFFF"/>
              <w:right w:val="single" w:sz="12" w:space="0" w:color="FFFFFF"/>
            </w:tcBorders>
            <w:shd w:val="clear" w:color="000000" w:fill="E7EEEF"/>
            <w:vAlign w:val="center"/>
            <w:hideMark/>
          </w:tcPr>
          <w:p w14:paraId="1B0E69E8"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54</w:t>
            </w:r>
          </w:p>
        </w:tc>
        <w:tc>
          <w:tcPr>
            <w:tcW w:w="1950" w:type="dxa"/>
            <w:tcBorders>
              <w:top w:val="single" w:sz="4" w:space="0" w:color="auto"/>
              <w:left w:val="single" w:sz="8" w:space="0" w:color="FFFFFF"/>
              <w:bottom w:val="single" w:sz="12" w:space="0" w:color="FFFFFF"/>
              <w:right w:val="single" w:sz="12" w:space="0" w:color="FFFFFF"/>
            </w:tcBorders>
            <w:shd w:val="clear" w:color="000000" w:fill="E7EEEF"/>
            <w:vAlign w:val="center"/>
            <w:hideMark/>
          </w:tcPr>
          <w:p w14:paraId="1301A873"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90</w:t>
            </w:r>
          </w:p>
        </w:tc>
      </w:tr>
    </w:tbl>
    <w:p w14:paraId="647A6223" w14:textId="77777777" w:rsidR="003C1C00" w:rsidRPr="00722909" w:rsidRDefault="003C1C00" w:rsidP="003C1C00">
      <w:pPr>
        <w:jc w:val="right"/>
        <w:rPr>
          <w:i/>
          <w:sz w:val="18"/>
        </w:rPr>
      </w:pPr>
      <w:r>
        <w:t xml:space="preserve"> </w:t>
      </w:r>
      <w:r>
        <w:rPr>
          <w:i/>
          <w:sz w:val="18"/>
        </w:rPr>
        <w:t>Source: UK Major Ports Group data on investment, Park. J., &amp; Seo. Y., United Nations, Cebr analysis</w:t>
      </w:r>
    </w:p>
    <w:p w14:paraId="4613BB05" w14:textId="77777777" w:rsidR="003C1C00" w:rsidRDefault="003C1C00" w:rsidP="003C1C00">
      <w:r>
        <w:t xml:space="preserve">Under Scenario 1), where capacity is derived from an investment–capacity elasticity, the impact of the port freight investment on GDP is significant. Actual CapEx outturn accounted for £438 million of GDP over the period. This means that, on average, for every £1 of CapEx, GDP increased by £0.27 over the three years. It is worth noting that this is in effect the immediate impact of the port freight investment. Investments tend to accrue over a longer time frame and hence the immediate impact may not be completely indicative of the true effect of the investment as it is only capturing a single point in time. </w:t>
      </w:r>
    </w:p>
    <w:p w14:paraId="7DFA94A4" w14:textId="77777777" w:rsidR="003C1C00" w:rsidRDefault="003C1C00" w:rsidP="003C1C00">
      <w:r>
        <w:t xml:space="preserve">Unsurprisingly where CapEx is greater than outturn, the investment’s impact on GDP is greater, reaching an aggregate additional impact of £90 million if CapEx had been 40% greater each year. This is effectively the potential foregone GDP from a lower CapEx in port freights handling. </w:t>
      </w:r>
    </w:p>
    <w:p w14:paraId="11255204" w14:textId="77777777" w:rsidR="003C1C00" w:rsidRDefault="003C1C00" w:rsidP="003C1C00">
      <w:r>
        <w:fldChar w:fldCharType="begin"/>
      </w:r>
      <w:r>
        <w:instrText xml:space="preserve"> REF _Ref15398745 \h  \* MERGEFORMAT </w:instrText>
      </w:r>
      <w:r>
        <w:fldChar w:fldCharType="separate"/>
      </w:r>
      <w:r>
        <w:t xml:space="preserve">Table </w:t>
      </w:r>
      <w:r>
        <w:rPr>
          <w:noProof/>
        </w:rPr>
        <w:t>4</w:t>
      </w:r>
      <w:r>
        <w:fldChar w:fldCharType="end"/>
      </w:r>
      <w:r>
        <w:t xml:space="preserve"> and </w:t>
      </w:r>
      <w:r>
        <w:fldChar w:fldCharType="begin"/>
      </w:r>
      <w:r>
        <w:instrText xml:space="preserve"> REF _Ref15460103 \h  \* MERGEFORMAT </w:instrText>
      </w:r>
      <w:r>
        <w:fldChar w:fldCharType="separate"/>
      </w:r>
      <w:r>
        <w:t xml:space="preserve">Table </w:t>
      </w:r>
      <w:r>
        <w:rPr>
          <w:noProof/>
        </w:rPr>
        <w:t>5</w:t>
      </w:r>
      <w:r>
        <w:fldChar w:fldCharType="end"/>
      </w:r>
      <w:r>
        <w:t xml:space="preserve"> display the same analysis but under Scenario 2) – where capacity is derived from the capital stock to volume relationship. This is marginally smaller than the elasticity used in Scenario 1) and hence produces smaller impacts on GDP as a result. The impacts found however, are still large: where under the actual CapEx, the GDP impact over the three years amounts to £352 million. If CapEx had been 40% greater than the outturn in Scenario 2), GDP over the three years could have potentially been £72 million greater.</w:t>
      </w:r>
    </w:p>
    <w:p w14:paraId="5FC80F6F" w14:textId="77777777" w:rsidR="003C1C00" w:rsidRDefault="003C1C00" w:rsidP="003C1C00">
      <w:r>
        <w:lastRenderedPageBreak/>
        <w:t>It is clear that port freight investment that increases the capacity capability of a country is beneficial to the entire economy. Park and Seo describe this relationship as a catalyst for economic activity and that it should be noted by policymakers when making decisions about investments.</w:t>
      </w:r>
      <w:r>
        <w:rPr>
          <w:rStyle w:val="FootnoteReference"/>
        </w:rPr>
        <w:footnoteReference w:id="7"/>
      </w:r>
    </w:p>
    <w:p w14:paraId="19050711" w14:textId="77777777" w:rsidR="003C1C00" w:rsidRDefault="003C1C00" w:rsidP="003C1C00"/>
    <w:p w14:paraId="70ECE6AC" w14:textId="77777777" w:rsidR="003C1C00" w:rsidRDefault="003C1C00" w:rsidP="003C1C00"/>
    <w:p w14:paraId="4B5A49F9" w14:textId="77777777" w:rsidR="003C1C00" w:rsidRPr="00D10F66" w:rsidRDefault="003C1C00" w:rsidP="003C1C00"/>
    <w:p w14:paraId="61D4A81A" w14:textId="77777777" w:rsidR="003C1C00" w:rsidRDefault="003C1C00" w:rsidP="003C1C00">
      <w:pPr>
        <w:pStyle w:val="Caption"/>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Port Freight Investment Impact on UK GDP under Scenario 2)</w:t>
      </w:r>
    </w:p>
    <w:tbl>
      <w:tblPr>
        <w:tblW w:w="9359" w:type="dxa"/>
        <w:tblLook w:val="04A0" w:firstRow="1" w:lastRow="0" w:firstColumn="1" w:lastColumn="0" w:noHBand="0" w:noVBand="1"/>
      </w:tblPr>
      <w:tblGrid>
        <w:gridCol w:w="1452"/>
        <w:gridCol w:w="1973"/>
        <w:gridCol w:w="1973"/>
        <w:gridCol w:w="1973"/>
        <w:gridCol w:w="1973"/>
        <w:gridCol w:w="15"/>
      </w:tblGrid>
      <w:tr w:rsidR="003C1C00" w:rsidRPr="007E3E4B" w14:paraId="374DF49F" w14:textId="77777777" w:rsidTr="006F0DCB">
        <w:trPr>
          <w:trHeight w:val="303"/>
        </w:trPr>
        <w:tc>
          <w:tcPr>
            <w:tcW w:w="1452" w:type="dxa"/>
            <w:tcBorders>
              <w:top w:val="nil"/>
              <w:left w:val="nil"/>
              <w:bottom w:val="nil"/>
              <w:right w:val="nil"/>
            </w:tcBorders>
            <w:shd w:val="clear" w:color="auto" w:fill="auto"/>
            <w:noWrap/>
            <w:vAlign w:val="bottom"/>
            <w:hideMark/>
          </w:tcPr>
          <w:p w14:paraId="3641D4B3" w14:textId="77777777" w:rsidR="003C1C00" w:rsidRPr="007E3E4B" w:rsidRDefault="003C1C00" w:rsidP="006F0DCB">
            <w:pPr>
              <w:spacing w:after="0"/>
              <w:rPr>
                <w:rFonts w:ascii="Times New Roman" w:eastAsia="Times New Roman" w:hAnsi="Times New Roman"/>
                <w:sz w:val="20"/>
                <w:szCs w:val="24"/>
                <w:lang w:eastAsia="en-GB"/>
              </w:rPr>
            </w:pPr>
          </w:p>
        </w:tc>
        <w:tc>
          <w:tcPr>
            <w:tcW w:w="7907" w:type="dxa"/>
            <w:gridSpan w:val="5"/>
            <w:tcBorders>
              <w:top w:val="single" w:sz="8" w:space="0" w:color="FFFFFF"/>
              <w:left w:val="nil"/>
              <w:bottom w:val="single" w:sz="8" w:space="0" w:color="FFFFFF"/>
              <w:right w:val="single" w:sz="8" w:space="0" w:color="FFFFFF"/>
            </w:tcBorders>
            <w:shd w:val="clear" w:color="000000" w:fill="008C9B"/>
            <w:vAlign w:val="center"/>
            <w:hideMark/>
          </w:tcPr>
          <w:p w14:paraId="1689960B" w14:textId="77777777" w:rsidR="003C1C00" w:rsidRPr="007E3E4B" w:rsidRDefault="003C1C00" w:rsidP="006F0DCB">
            <w:pPr>
              <w:spacing w:after="0"/>
              <w:jc w:val="center"/>
              <w:rPr>
                <w:rFonts w:ascii="Calibri" w:eastAsia="Times New Roman" w:hAnsi="Calibri" w:cs="Calibri"/>
                <w:b/>
                <w:bCs/>
                <w:color w:val="FFFFFF"/>
                <w:sz w:val="20"/>
                <w:lang w:eastAsia="en-GB"/>
              </w:rPr>
            </w:pPr>
            <w:r w:rsidRPr="007E3E4B">
              <w:rPr>
                <w:rFonts w:ascii="Calibri" w:eastAsia="Times New Roman" w:hAnsi="Calibri" w:cs="Calibri"/>
                <w:b/>
                <w:bCs/>
                <w:color w:val="FFFFFF"/>
                <w:sz w:val="20"/>
                <w:lang w:eastAsia="en-GB"/>
              </w:rPr>
              <w:t>Additional GDP from Port Freight Investment, £m</w:t>
            </w:r>
          </w:p>
        </w:tc>
      </w:tr>
      <w:tr w:rsidR="003C1C00" w:rsidRPr="007E3E4B" w14:paraId="242AE00B" w14:textId="77777777" w:rsidTr="006F0DCB">
        <w:trPr>
          <w:gridAfter w:val="1"/>
          <w:wAfter w:w="15" w:type="dxa"/>
          <w:trHeight w:val="499"/>
        </w:trPr>
        <w:tc>
          <w:tcPr>
            <w:tcW w:w="1452" w:type="dxa"/>
            <w:tcBorders>
              <w:top w:val="nil"/>
              <w:left w:val="nil"/>
              <w:bottom w:val="nil"/>
              <w:right w:val="nil"/>
            </w:tcBorders>
            <w:shd w:val="clear" w:color="auto" w:fill="auto"/>
            <w:noWrap/>
            <w:vAlign w:val="bottom"/>
            <w:hideMark/>
          </w:tcPr>
          <w:p w14:paraId="44AE3C52" w14:textId="77777777" w:rsidR="003C1C00" w:rsidRPr="007E3E4B" w:rsidRDefault="003C1C00" w:rsidP="006F0DCB">
            <w:pPr>
              <w:spacing w:after="0"/>
              <w:jc w:val="center"/>
              <w:rPr>
                <w:rFonts w:ascii="Calibri" w:eastAsia="Times New Roman" w:hAnsi="Calibri" w:cs="Calibri"/>
                <w:b/>
                <w:bCs/>
                <w:color w:val="FFFFFF"/>
                <w:sz w:val="20"/>
                <w:lang w:eastAsia="en-GB"/>
              </w:rPr>
            </w:pPr>
          </w:p>
        </w:tc>
        <w:tc>
          <w:tcPr>
            <w:tcW w:w="1973" w:type="dxa"/>
            <w:tcBorders>
              <w:top w:val="nil"/>
              <w:left w:val="nil"/>
              <w:bottom w:val="single" w:sz="8" w:space="0" w:color="FFFFFF"/>
              <w:right w:val="single" w:sz="8" w:space="0" w:color="FFFFFF"/>
            </w:tcBorders>
            <w:shd w:val="clear" w:color="000000" w:fill="008C9B"/>
            <w:vAlign w:val="center"/>
            <w:hideMark/>
          </w:tcPr>
          <w:p w14:paraId="6B4CF758" w14:textId="77777777" w:rsidR="003C1C00" w:rsidRPr="007E3E4B" w:rsidRDefault="003C1C00" w:rsidP="006F0DCB">
            <w:pPr>
              <w:spacing w:after="0"/>
              <w:jc w:val="center"/>
              <w:rPr>
                <w:rFonts w:ascii="Calibri" w:eastAsia="Times New Roman" w:hAnsi="Calibri" w:cs="Calibri"/>
                <w:b/>
                <w:bCs/>
                <w:color w:val="FFFFFF"/>
                <w:sz w:val="20"/>
                <w:lang w:eastAsia="en-GB"/>
              </w:rPr>
            </w:pPr>
            <w:r w:rsidRPr="007E3E4B">
              <w:rPr>
                <w:rFonts w:ascii="Calibri" w:eastAsia="Times New Roman" w:hAnsi="Calibri" w:cs="Calibri"/>
                <w:b/>
                <w:bCs/>
                <w:color w:val="FFFFFF"/>
                <w:sz w:val="20"/>
                <w:lang w:eastAsia="en-GB"/>
              </w:rPr>
              <w:t xml:space="preserve">Standard </w:t>
            </w:r>
            <w:r>
              <w:rPr>
                <w:rFonts w:ascii="Calibri" w:eastAsia="Times New Roman" w:hAnsi="Calibri" w:cs="Calibri"/>
                <w:b/>
                <w:bCs/>
                <w:color w:val="FFFFFF"/>
                <w:sz w:val="20"/>
                <w:lang w:eastAsia="en-GB"/>
              </w:rPr>
              <w:t>CapEx</w:t>
            </w:r>
          </w:p>
        </w:tc>
        <w:tc>
          <w:tcPr>
            <w:tcW w:w="1973" w:type="dxa"/>
            <w:tcBorders>
              <w:top w:val="nil"/>
              <w:left w:val="nil"/>
              <w:bottom w:val="single" w:sz="8" w:space="0" w:color="FFFFFF"/>
              <w:right w:val="single" w:sz="8" w:space="0" w:color="FFFFFF"/>
            </w:tcBorders>
            <w:shd w:val="clear" w:color="000000" w:fill="008C9B"/>
            <w:vAlign w:val="center"/>
            <w:hideMark/>
          </w:tcPr>
          <w:p w14:paraId="02B9D7D8" w14:textId="77777777" w:rsidR="003C1C00" w:rsidRPr="007E3E4B"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7E3E4B">
              <w:rPr>
                <w:rFonts w:ascii="Calibri" w:eastAsia="Times New Roman" w:hAnsi="Calibri" w:cs="Calibri"/>
                <w:b/>
                <w:bCs/>
                <w:color w:val="FFFFFF"/>
                <w:sz w:val="20"/>
                <w:lang w:eastAsia="en-GB"/>
              </w:rPr>
              <w:t xml:space="preserve"> + 10%</w:t>
            </w:r>
          </w:p>
        </w:tc>
        <w:tc>
          <w:tcPr>
            <w:tcW w:w="1973" w:type="dxa"/>
            <w:tcBorders>
              <w:top w:val="nil"/>
              <w:left w:val="nil"/>
              <w:bottom w:val="single" w:sz="8" w:space="0" w:color="FFFFFF"/>
              <w:right w:val="single" w:sz="8" w:space="0" w:color="FFFFFF"/>
            </w:tcBorders>
            <w:shd w:val="clear" w:color="000000" w:fill="008C9B"/>
            <w:vAlign w:val="center"/>
            <w:hideMark/>
          </w:tcPr>
          <w:p w14:paraId="2E9A2A19" w14:textId="77777777" w:rsidR="003C1C00" w:rsidRPr="007E3E4B"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7E3E4B">
              <w:rPr>
                <w:rFonts w:ascii="Calibri" w:eastAsia="Times New Roman" w:hAnsi="Calibri" w:cs="Calibri"/>
                <w:b/>
                <w:bCs/>
                <w:color w:val="FFFFFF"/>
                <w:sz w:val="20"/>
                <w:lang w:eastAsia="en-GB"/>
              </w:rPr>
              <w:t xml:space="preserve"> + 20%</w:t>
            </w:r>
          </w:p>
        </w:tc>
        <w:tc>
          <w:tcPr>
            <w:tcW w:w="1973" w:type="dxa"/>
            <w:tcBorders>
              <w:top w:val="nil"/>
              <w:left w:val="nil"/>
              <w:bottom w:val="single" w:sz="8" w:space="0" w:color="FFFFFF"/>
              <w:right w:val="single" w:sz="8" w:space="0" w:color="FFFFFF"/>
            </w:tcBorders>
            <w:shd w:val="clear" w:color="000000" w:fill="008C9B"/>
            <w:vAlign w:val="center"/>
            <w:hideMark/>
          </w:tcPr>
          <w:p w14:paraId="6B4DD680" w14:textId="77777777" w:rsidR="003C1C00" w:rsidRPr="007E3E4B"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7E3E4B">
              <w:rPr>
                <w:rFonts w:ascii="Calibri" w:eastAsia="Times New Roman" w:hAnsi="Calibri" w:cs="Calibri"/>
                <w:b/>
                <w:bCs/>
                <w:color w:val="FFFFFF"/>
                <w:sz w:val="20"/>
                <w:lang w:eastAsia="en-GB"/>
              </w:rPr>
              <w:t xml:space="preserve"> + 40%</w:t>
            </w:r>
          </w:p>
        </w:tc>
      </w:tr>
      <w:tr w:rsidR="003C1C00" w:rsidRPr="007E3E4B" w14:paraId="4DF41188" w14:textId="77777777" w:rsidTr="006F0DCB">
        <w:trPr>
          <w:gridAfter w:val="1"/>
          <w:wAfter w:w="15" w:type="dxa"/>
          <w:trHeight w:val="300"/>
        </w:trPr>
        <w:tc>
          <w:tcPr>
            <w:tcW w:w="1452"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1BE1BD12" w14:textId="77777777" w:rsidR="003C1C00" w:rsidRPr="007E3E4B" w:rsidRDefault="003C1C00" w:rsidP="006F0DCB">
            <w:pPr>
              <w:spacing w:after="0"/>
              <w:jc w:val="center"/>
              <w:rPr>
                <w:rFonts w:ascii="Calibri" w:eastAsia="Times New Roman" w:hAnsi="Calibri" w:cs="Calibri"/>
                <w:b/>
                <w:bCs/>
                <w:color w:val="FFFFFF"/>
                <w:sz w:val="20"/>
                <w:lang w:eastAsia="en-GB"/>
              </w:rPr>
            </w:pPr>
            <w:r w:rsidRPr="007E3E4B">
              <w:rPr>
                <w:rFonts w:ascii="Calibri" w:eastAsia="Times New Roman" w:hAnsi="Calibri" w:cs="Calibri"/>
                <w:b/>
                <w:bCs/>
                <w:color w:val="FFFFFF"/>
                <w:sz w:val="20"/>
                <w:lang w:eastAsia="en-GB"/>
              </w:rPr>
              <w:t>2015</w:t>
            </w:r>
          </w:p>
        </w:tc>
        <w:tc>
          <w:tcPr>
            <w:tcW w:w="1973" w:type="dxa"/>
            <w:tcBorders>
              <w:top w:val="nil"/>
              <w:left w:val="nil"/>
              <w:bottom w:val="single" w:sz="8" w:space="0" w:color="FFFFFF"/>
              <w:right w:val="single" w:sz="8" w:space="0" w:color="FFFFFF"/>
            </w:tcBorders>
            <w:shd w:val="clear" w:color="000000" w:fill="D0CECE"/>
            <w:vAlign w:val="center"/>
            <w:hideMark/>
          </w:tcPr>
          <w:p w14:paraId="3E1F226C"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118</w:t>
            </w:r>
          </w:p>
        </w:tc>
        <w:tc>
          <w:tcPr>
            <w:tcW w:w="1973" w:type="dxa"/>
            <w:tcBorders>
              <w:top w:val="nil"/>
              <w:left w:val="nil"/>
              <w:bottom w:val="single" w:sz="8" w:space="0" w:color="FFFFFF"/>
              <w:right w:val="single" w:sz="8" w:space="0" w:color="FFFFFF"/>
            </w:tcBorders>
            <w:shd w:val="clear" w:color="000000" w:fill="D0CECE"/>
            <w:vAlign w:val="center"/>
            <w:hideMark/>
          </w:tcPr>
          <w:p w14:paraId="4B785CA1"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130</w:t>
            </w:r>
          </w:p>
        </w:tc>
        <w:tc>
          <w:tcPr>
            <w:tcW w:w="1973" w:type="dxa"/>
            <w:tcBorders>
              <w:top w:val="nil"/>
              <w:left w:val="nil"/>
              <w:bottom w:val="single" w:sz="8" w:space="0" w:color="FFFFFF"/>
              <w:right w:val="single" w:sz="8" w:space="0" w:color="FFFFFF"/>
            </w:tcBorders>
            <w:shd w:val="clear" w:color="000000" w:fill="D0CECE"/>
            <w:vAlign w:val="center"/>
            <w:hideMark/>
          </w:tcPr>
          <w:p w14:paraId="63866CB2"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142</w:t>
            </w:r>
          </w:p>
        </w:tc>
        <w:tc>
          <w:tcPr>
            <w:tcW w:w="1973" w:type="dxa"/>
            <w:tcBorders>
              <w:top w:val="nil"/>
              <w:left w:val="nil"/>
              <w:bottom w:val="single" w:sz="8" w:space="0" w:color="FFFFFF"/>
              <w:right w:val="single" w:sz="8" w:space="0" w:color="FFFFFF"/>
            </w:tcBorders>
            <w:shd w:val="clear" w:color="000000" w:fill="D0CECE"/>
            <w:vAlign w:val="center"/>
            <w:hideMark/>
          </w:tcPr>
          <w:p w14:paraId="3704CB32"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165</w:t>
            </w:r>
          </w:p>
        </w:tc>
      </w:tr>
      <w:tr w:rsidR="003C1C00" w:rsidRPr="007E3E4B" w14:paraId="303AB5F6" w14:textId="77777777" w:rsidTr="006F0DCB">
        <w:trPr>
          <w:gridAfter w:val="1"/>
          <w:wAfter w:w="15" w:type="dxa"/>
          <w:trHeight w:val="300"/>
        </w:trPr>
        <w:tc>
          <w:tcPr>
            <w:tcW w:w="1452"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27517C7A" w14:textId="77777777" w:rsidR="003C1C00" w:rsidRPr="007E3E4B" w:rsidRDefault="003C1C00" w:rsidP="006F0DCB">
            <w:pPr>
              <w:spacing w:after="0"/>
              <w:jc w:val="center"/>
              <w:rPr>
                <w:rFonts w:ascii="Calibri" w:eastAsia="Times New Roman" w:hAnsi="Calibri" w:cs="Calibri"/>
                <w:b/>
                <w:bCs/>
                <w:color w:val="FFFFFF"/>
                <w:sz w:val="20"/>
                <w:lang w:eastAsia="en-GB"/>
              </w:rPr>
            </w:pPr>
            <w:r w:rsidRPr="007E3E4B">
              <w:rPr>
                <w:rFonts w:ascii="Calibri" w:eastAsia="Times New Roman" w:hAnsi="Calibri" w:cs="Calibri"/>
                <w:b/>
                <w:bCs/>
                <w:color w:val="FFFFFF"/>
                <w:sz w:val="20"/>
                <w:lang w:eastAsia="en-GB"/>
              </w:rPr>
              <w:t>2016</w:t>
            </w:r>
          </w:p>
        </w:tc>
        <w:tc>
          <w:tcPr>
            <w:tcW w:w="1973" w:type="dxa"/>
            <w:tcBorders>
              <w:top w:val="nil"/>
              <w:left w:val="single" w:sz="8" w:space="0" w:color="FFFFFF"/>
              <w:bottom w:val="single" w:sz="12" w:space="0" w:color="FFFFFF"/>
              <w:right w:val="single" w:sz="12" w:space="0" w:color="FFFFFF"/>
            </w:tcBorders>
            <w:shd w:val="clear" w:color="000000" w:fill="E7EEEF"/>
            <w:vAlign w:val="center"/>
            <w:hideMark/>
          </w:tcPr>
          <w:p w14:paraId="7C2127A3"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120</w:t>
            </w:r>
          </w:p>
        </w:tc>
        <w:tc>
          <w:tcPr>
            <w:tcW w:w="1973" w:type="dxa"/>
            <w:tcBorders>
              <w:top w:val="nil"/>
              <w:left w:val="single" w:sz="8" w:space="0" w:color="FFFFFF"/>
              <w:bottom w:val="single" w:sz="12" w:space="0" w:color="FFFFFF"/>
              <w:right w:val="single" w:sz="12" w:space="0" w:color="FFFFFF"/>
            </w:tcBorders>
            <w:shd w:val="clear" w:color="000000" w:fill="E7EEEF"/>
            <w:vAlign w:val="center"/>
            <w:hideMark/>
          </w:tcPr>
          <w:p w14:paraId="1EFA97D2"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123</w:t>
            </w:r>
          </w:p>
        </w:tc>
        <w:tc>
          <w:tcPr>
            <w:tcW w:w="1973" w:type="dxa"/>
            <w:tcBorders>
              <w:top w:val="nil"/>
              <w:left w:val="single" w:sz="8" w:space="0" w:color="FFFFFF"/>
              <w:bottom w:val="single" w:sz="12" w:space="0" w:color="FFFFFF"/>
              <w:right w:val="single" w:sz="12" w:space="0" w:color="FFFFFF"/>
            </w:tcBorders>
            <w:shd w:val="clear" w:color="000000" w:fill="E7EEEF"/>
            <w:vAlign w:val="center"/>
            <w:hideMark/>
          </w:tcPr>
          <w:p w14:paraId="0E9F13A8"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124</w:t>
            </w:r>
          </w:p>
        </w:tc>
        <w:tc>
          <w:tcPr>
            <w:tcW w:w="1973" w:type="dxa"/>
            <w:tcBorders>
              <w:top w:val="nil"/>
              <w:left w:val="single" w:sz="8" w:space="0" w:color="FFFFFF"/>
              <w:bottom w:val="single" w:sz="12" w:space="0" w:color="FFFFFF"/>
              <w:right w:val="single" w:sz="12" w:space="0" w:color="FFFFFF"/>
            </w:tcBorders>
            <w:shd w:val="clear" w:color="000000" w:fill="E7EEEF"/>
            <w:vAlign w:val="center"/>
            <w:hideMark/>
          </w:tcPr>
          <w:p w14:paraId="07C1C8A2"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127</w:t>
            </w:r>
          </w:p>
        </w:tc>
      </w:tr>
      <w:tr w:rsidR="003C1C00" w:rsidRPr="007E3E4B" w14:paraId="4251CAEB" w14:textId="77777777" w:rsidTr="006F0DCB">
        <w:trPr>
          <w:gridAfter w:val="1"/>
          <w:wAfter w:w="15" w:type="dxa"/>
          <w:trHeight w:val="300"/>
        </w:trPr>
        <w:tc>
          <w:tcPr>
            <w:tcW w:w="1452" w:type="dxa"/>
            <w:tcBorders>
              <w:top w:val="nil"/>
              <w:left w:val="single" w:sz="8" w:space="0" w:color="FFFFFF"/>
              <w:bottom w:val="single" w:sz="4" w:space="0" w:color="auto"/>
              <w:right w:val="single" w:sz="12" w:space="0" w:color="FFFFFF"/>
            </w:tcBorders>
            <w:shd w:val="clear" w:color="000000" w:fill="008C9B"/>
            <w:vAlign w:val="center"/>
            <w:hideMark/>
          </w:tcPr>
          <w:p w14:paraId="5763604E" w14:textId="77777777" w:rsidR="003C1C00" w:rsidRPr="007E3E4B" w:rsidRDefault="003C1C00" w:rsidP="006F0DCB">
            <w:pPr>
              <w:spacing w:after="0"/>
              <w:jc w:val="center"/>
              <w:rPr>
                <w:rFonts w:ascii="Calibri" w:eastAsia="Times New Roman" w:hAnsi="Calibri" w:cs="Calibri"/>
                <w:b/>
                <w:bCs/>
                <w:color w:val="FFFFFF"/>
                <w:sz w:val="20"/>
                <w:lang w:eastAsia="en-GB"/>
              </w:rPr>
            </w:pPr>
            <w:r w:rsidRPr="007E3E4B">
              <w:rPr>
                <w:rFonts w:ascii="Calibri" w:eastAsia="Times New Roman" w:hAnsi="Calibri" w:cs="Calibri"/>
                <w:b/>
                <w:bCs/>
                <w:color w:val="FFFFFF"/>
                <w:sz w:val="20"/>
                <w:lang w:eastAsia="en-GB"/>
              </w:rPr>
              <w:t>2017</w:t>
            </w:r>
          </w:p>
        </w:tc>
        <w:tc>
          <w:tcPr>
            <w:tcW w:w="1973" w:type="dxa"/>
            <w:tcBorders>
              <w:top w:val="nil"/>
              <w:left w:val="nil"/>
              <w:bottom w:val="single" w:sz="4" w:space="0" w:color="auto"/>
              <w:right w:val="single" w:sz="8" w:space="0" w:color="FFFFFF"/>
            </w:tcBorders>
            <w:shd w:val="clear" w:color="000000" w:fill="D0CECE"/>
            <w:vAlign w:val="center"/>
            <w:hideMark/>
          </w:tcPr>
          <w:p w14:paraId="1A72642F"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114</w:t>
            </w:r>
          </w:p>
        </w:tc>
        <w:tc>
          <w:tcPr>
            <w:tcW w:w="1973" w:type="dxa"/>
            <w:tcBorders>
              <w:top w:val="nil"/>
              <w:left w:val="nil"/>
              <w:bottom w:val="single" w:sz="4" w:space="0" w:color="auto"/>
              <w:right w:val="single" w:sz="8" w:space="0" w:color="FFFFFF"/>
            </w:tcBorders>
            <w:shd w:val="clear" w:color="000000" w:fill="D0CECE"/>
            <w:vAlign w:val="center"/>
            <w:hideMark/>
          </w:tcPr>
          <w:p w14:paraId="317A1C5E"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129</w:t>
            </w:r>
          </w:p>
        </w:tc>
        <w:tc>
          <w:tcPr>
            <w:tcW w:w="1973" w:type="dxa"/>
            <w:tcBorders>
              <w:top w:val="nil"/>
              <w:left w:val="nil"/>
              <w:bottom w:val="single" w:sz="4" w:space="0" w:color="auto"/>
              <w:right w:val="single" w:sz="8" w:space="0" w:color="FFFFFF"/>
            </w:tcBorders>
            <w:shd w:val="clear" w:color="000000" w:fill="D0CECE"/>
            <w:vAlign w:val="center"/>
            <w:hideMark/>
          </w:tcPr>
          <w:p w14:paraId="349F0BF4"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130</w:t>
            </w:r>
          </w:p>
        </w:tc>
        <w:tc>
          <w:tcPr>
            <w:tcW w:w="1973" w:type="dxa"/>
            <w:tcBorders>
              <w:top w:val="nil"/>
              <w:left w:val="nil"/>
              <w:bottom w:val="single" w:sz="4" w:space="0" w:color="auto"/>
              <w:right w:val="single" w:sz="8" w:space="0" w:color="FFFFFF"/>
            </w:tcBorders>
            <w:shd w:val="clear" w:color="000000" w:fill="D0CECE"/>
            <w:vAlign w:val="center"/>
            <w:hideMark/>
          </w:tcPr>
          <w:p w14:paraId="549A6642"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133</w:t>
            </w:r>
          </w:p>
        </w:tc>
      </w:tr>
      <w:tr w:rsidR="003C1C00" w:rsidRPr="007E3E4B" w14:paraId="4605BDCD" w14:textId="77777777" w:rsidTr="006F0DCB">
        <w:trPr>
          <w:gridAfter w:val="1"/>
          <w:wAfter w:w="15" w:type="dxa"/>
          <w:trHeight w:val="300"/>
        </w:trPr>
        <w:tc>
          <w:tcPr>
            <w:tcW w:w="1452" w:type="dxa"/>
            <w:tcBorders>
              <w:top w:val="nil"/>
              <w:left w:val="single" w:sz="8" w:space="0" w:color="FFFFFF"/>
              <w:bottom w:val="single" w:sz="12" w:space="0" w:color="FFFFFF"/>
              <w:right w:val="single" w:sz="12" w:space="0" w:color="FFFFFF"/>
            </w:tcBorders>
            <w:shd w:val="clear" w:color="000000" w:fill="008C9B"/>
            <w:vAlign w:val="center"/>
            <w:hideMark/>
          </w:tcPr>
          <w:p w14:paraId="56E26426" w14:textId="77777777" w:rsidR="003C1C00" w:rsidRPr="007E3E4B" w:rsidRDefault="003C1C00" w:rsidP="006F0DCB">
            <w:pPr>
              <w:spacing w:after="0"/>
              <w:jc w:val="center"/>
              <w:rPr>
                <w:rFonts w:ascii="Calibri" w:eastAsia="Times New Roman" w:hAnsi="Calibri" w:cs="Calibri"/>
                <w:b/>
                <w:bCs/>
                <w:color w:val="FFFFFF"/>
                <w:sz w:val="20"/>
                <w:lang w:eastAsia="en-GB"/>
              </w:rPr>
            </w:pPr>
            <w:r w:rsidRPr="007E3E4B">
              <w:rPr>
                <w:rFonts w:ascii="Calibri" w:eastAsia="Times New Roman" w:hAnsi="Calibri" w:cs="Calibri"/>
                <w:b/>
                <w:bCs/>
                <w:color w:val="FFFFFF"/>
                <w:sz w:val="20"/>
                <w:lang w:eastAsia="en-GB"/>
              </w:rPr>
              <w:t>Aggregate</w:t>
            </w:r>
            <w:r>
              <w:rPr>
                <w:rFonts w:ascii="Calibri" w:eastAsia="Times New Roman" w:hAnsi="Calibri" w:cs="Calibri"/>
                <w:b/>
                <w:bCs/>
                <w:color w:val="FFFFFF"/>
                <w:sz w:val="20"/>
                <w:lang w:eastAsia="en-GB"/>
              </w:rPr>
              <w:t xml:space="preserve"> effect on GDP</w:t>
            </w:r>
          </w:p>
        </w:tc>
        <w:tc>
          <w:tcPr>
            <w:tcW w:w="1973" w:type="dxa"/>
            <w:tcBorders>
              <w:top w:val="nil"/>
              <w:left w:val="single" w:sz="8" w:space="0" w:color="FFFFFF"/>
              <w:bottom w:val="single" w:sz="12" w:space="0" w:color="FFFFFF"/>
              <w:right w:val="single" w:sz="12" w:space="0" w:color="FFFFFF"/>
            </w:tcBorders>
            <w:shd w:val="clear" w:color="000000" w:fill="E7EEEF"/>
            <w:vAlign w:val="center"/>
            <w:hideMark/>
          </w:tcPr>
          <w:p w14:paraId="4628EA49"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352</w:t>
            </w:r>
          </w:p>
        </w:tc>
        <w:tc>
          <w:tcPr>
            <w:tcW w:w="1973" w:type="dxa"/>
            <w:tcBorders>
              <w:top w:val="nil"/>
              <w:left w:val="single" w:sz="8" w:space="0" w:color="FFFFFF"/>
              <w:bottom w:val="single" w:sz="12" w:space="0" w:color="FFFFFF"/>
              <w:right w:val="single" w:sz="12" w:space="0" w:color="FFFFFF"/>
            </w:tcBorders>
            <w:shd w:val="clear" w:color="000000" w:fill="E7EEEF"/>
            <w:vAlign w:val="center"/>
            <w:hideMark/>
          </w:tcPr>
          <w:p w14:paraId="2AB0BC40"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381</w:t>
            </w:r>
          </w:p>
        </w:tc>
        <w:tc>
          <w:tcPr>
            <w:tcW w:w="1973" w:type="dxa"/>
            <w:tcBorders>
              <w:top w:val="nil"/>
              <w:left w:val="single" w:sz="8" w:space="0" w:color="FFFFFF"/>
              <w:bottom w:val="single" w:sz="12" w:space="0" w:color="FFFFFF"/>
              <w:right w:val="single" w:sz="12" w:space="0" w:color="FFFFFF"/>
            </w:tcBorders>
            <w:shd w:val="clear" w:color="000000" w:fill="E7EEEF"/>
            <w:vAlign w:val="center"/>
            <w:hideMark/>
          </w:tcPr>
          <w:p w14:paraId="5932B2E6"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396</w:t>
            </w:r>
          </w:p>
        </w:tc>
        <w:tc>
          <w:tcPr>
            <w:tcW w:w="1973" w:type="dxa"/>
            <w:tcBorders>
              <w:top w:val="nil"/>
              <w:left w:val="single" w:sz="8" w:space="0" w:color="FFFFFF"/>
              <w:bottom w:val="single" w:sz="12" w:space="0" w:color="FFFFFF"/>
              <w:right w:val="single" w:sz="12" w:space="0" w:color="FFFFFF"/>
            </w:tcBorders>
            <w:shd w:val="clear" w:color="000000" w:fill="E7EEEF"/>
            <w:vAlign w:val="center"/>
            <w:hideMark/>
          </w:tcPr>
          <w:p w14:paraId="0905FE9F" w14:textId="77777777" w:rsidR="003C1C00" w:rsidRPr="007E3E4B" w:rsidRDefault="003C1C00" w:rsidP="006F0DCB">
            <w:pPr>
              <w:spacing w:after="0"/>
              <w:jc w:val="center"/>
              <w:rPr>
                <w:rFonts w:ascii="Calibri" w:eastAsia="Times New Roman" w:hAnsi="Calibri" w:cs="Calibri"/>
                <w:color w:val="000000"/>
                <w:sz w:val="20"/>
                <w:lang w:eastAsia="en-GB"/>
              </w:rPr>
            </w:pPr>
            <w:r w:rsidRPr="007E3E4B">
              <w:rPr>
                <w:rFonts w:ascii="Calibri" w:eastAsia="Times New Roman" w:hAnsi="Calibri" w:cs="Calibri"/>
                <w:color w:val="000000"/>
                <w:sz w:val="20"/>
                <w:lang w:eastAsia="en-GB"/>
              </w:rPr>
              <w:t>425</w:t>
            </w:r>
          </w:p>
        </w:tc>
      </w:tr>
    </w:tbl>
    <w:p w14:paraId="654F4979" w14:textId="77777777" w:rsidR="003C1C00" w:rsidRPr="009B3337" w:rsidRDefault="003C1C00" w:rsidP="003C1C00">
      <w:pPr>
        <w:jc w:val="right"/>
        <w:rPr>
          <w:i/>
          <w:sz w:val="18"/>
        </w:rPr>
      </w:pPr>
      <w:r>
        <w:rPr>
          <w:i/>
          <w:sz w:val="18"/>
        </w:rPr>
        <w:t>Source: UK Major Ports Group data on investment, Park. J., &amp; Seo. Y., United Nations, Cebr analysis</w:t>
      </w:r>
    </w:p>
    <w:p w14:paraId="2DC2854B" w14:textId="77777777" w:rsidR="003C1C00" w:rsidRDefault="003C1C00" w:rsidP="003C1C00">
      <w:pPr>
        <w:pStyle w:val="Caption"/>
        <w:rPr>
          <w:i w:val="0"/>
        </w:rP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Scenario 2) impact – additionality from greater CapEx compared to baseline, £m</w:t>
      </w:r>
    </w:p>
    <w:tbl>
      <w:tblPr>
        <w:tblW w:w="9357" w:type="dxa"/>
        <w:tblLook w:val="04A0" w:firstRow="1" w:lastRow="0" w:firstColumn="1" w:lastColumn="0" w:noHBand="0" w:noVBand="1"/>
      </w:tblPr>
      <w:tblGrid>
        <w:gridCol w:w="1452"/>
        <w:gridCol w:w="1595"/>
        <w:gridCol w:w="2119"/>
        <w:gridCol w:w="2238"/>
        <w:gridCol w:w="1953"/>
      </w:tblGrid>
      <w:tr w:rsidR="003C1C00" w:rsidRPr="00810D7C" w14:paraId="7F506595" w14:textId="77777777" w:rsidTr="006F0DCB">
        <w:trPr>
          <w:trHeight w:val="357"/>
        </w:trPr>
        <w:tc>
          <w:tcPr>
            <w:tcW w:w="1452" w:type="dxa"/>
            <w:tcBorders>
              <w:top w:val="nil"/>
              <w:left w:val="nil"/>
              <w:bottom w:val="nil"/>
              <w:right w:val="nil"/>
            </w:tcBorders>
            <w:shd w:val="clear" w:color="auto" w:fill="auto"/>
            <w:noWrap/>
            <w:vAlign w:val="bottom"/>
            <w:hideMark/>
          </w:tcPr>
          <w:p w14:paraId="1A805C06" w14:textId="77777777" w:rsidR="003C1C00" w:rsidRPr="00810D7C" w:rsidRDefault="003C1C00" w:rsidP="006F0DCB">
            <w:pPr>
              <w:spacing w:after="0"/>
              <w:rPr>
                <w:rFonts w:ascii="Times New Roman" w:eastAsia="Times New Roman" w:hAnsi="Times New Roman"/>
                <w:sz w:val="20"/>
                <w:szCs w:val="24"/>
                <w:lang w:eastAsia="en-GB"/>
              </w:rPr>
            </w:pPr>
          </w:p>
        </w:tc>
        <w:tc>
          <w:tcPr>
            <w:tcW w:w="1595" w:type="dxa"/>
            <w:tcBorders>
              <w:top w:val="nil"/>
              <w:left w:val="nil"/>
              <w:bottom w:val="single" w:sz="8" w:space="0" w:color="FFFFFF"/>
              <w:right w:val="single" w:sz="8" w:space="0" w:color="FFFFFF"/>
            </w:tcBorders>
            <w:shd w:val="clear" w:color="000000" w:fill="008C9B"/>
            <w:vAlign w:val="center"/>
            <w:hideMark/>
          </w:tcPr>
          <w:p w14:paraId="49571A7C" w14:textId="77777777" w:rsidR="003C1C00" w:rsidRPr="00810D7C" w:rsidRDefault="003C1C00" w:rsidP="006F0DCB">
            <w:pPr>
              <w:spacing w:after="0"/>
              <w:jc w:val="center"/>
              <w:rPr>
                <w:rFonts w:ascii="Calibri" w:eastAsia="Times New Roman" w:hAnsi="Calibri" w:cs="Calibri"/>
                <w:b/>
                <w:bCs/>
                <w:color w:val="FFFFFF"/>
                <w:sz w:val="20"/>
                <w:lang w:eastAsia="en-GB"/>
              </w:rPr>
            </w:pPr>
            <w:r w:rsidRPr="00810D7C">
              <w:rPr>
                <w:rFonts w:ascii="Calibri" w:eastAsia="Times New Roman" w:hAnsi="Calibri" w:cs="Calibri"/>
                <w:b/>
                <w:bCs/>
                <w:color w:val="FFFFFF"/>
                <w:sz w:val="20"/>
                <w:lang w:eastAsia="en-GB"/>
              </w:rPr>
              <w:t xml:space="preserve">Standard </w:t>
            </w:r>
            <w:r>
              <w:rPr>
                <w:rFonts w:ascii="Calibri" w:eastAsia="Times New Roman" w:hAnsi="Calibri" w:cs="Calibri"/>
                <w:b/>
                <w:bCs/>
                <w:color w:val="FFFFFF"/>
                <w:sz w:val="20"/>
                <w:lang w:eastAsia="en-GB"/>
              </w:rPr>
              <w:t>CapEx</w:t>
            </w:r>
          </w:p>
        </w:tc>
        <w:tc>
          <w:tcPr>
            <w:tcW w:w="2119" w:type="dxa"/>
            <w:tcBorders>
              <w:top w:val="nil"/>
              <w:left w:val="nil"/>
              <w:bottom w:val="single" w:sz="8" w:space="0" w:color="FFFFFF"/>
              <w:right w:val="single" w:sz="8" w:space="0" w:color="FFFFFF"/>
            </w:tcBorders>
            <w:shd w:val="clear" w:color="000000" w:fill="008C9B"/>
            <w:vAlign w:val="center"/>
            <w:hideMark/>
          </w:tcPr>
          <w:p w14:paraId="2D9FEBC0" w14:textId="77777777" w:rsidR="003C1C00" w:rsidRPr="00810D7C"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810D7C">
              <w:rPr>
                <w:rFonts w:ascii="Calibri" w:eastAsia="Times New Roman" w:hAnsi="Calibri" w:cs="Calibri"/>
                <w:b/>
                <w:bCs/>
                <w:color w:val="FFFFFF"/>
                <w:sz w:val="20"/>
                <w:lang w:eastAsia="en-GB"/>
              </w:rPr>
              <w:t xml:space="preserve"> + 10%</w:t>
            </w:r>
          </w:p>
        </w:tc>
        <w:tc>
          <w:tcPr>
            <w:tcW w:w="2238" w:type="dxa"/>
            <w:tcBorders>
              <w:top w:val="nil"/>
              <w:left w:val="nil"/>
              <w:bottom w:val="single" w:sz="8" w:space="0" w:color="FFFFFF"/>
              <w:right w:val="single" w:sz="8" w:space="0" w:color="FFFFFF"/>
            </w:tcBorders>
            <w:shd w:val="clear" w:color="000000" w:fill="008C9B"/>
            <w:vAlign w:val="center"/>
            <w:hideMark/>
          </w:tcPr>
          <w:p w14:paraId="6B240362" w14:textId="77777777" w:rsidR="003C1C00" w:rsidRPr="00810D7C"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810D7C">
              <w:rPr>
                <w:rFonts w:ascii="Calibri" w:eastAsia="Times New Roman" w:hAnsi="Calibri" w:cs="Calibri"/>
                <w:b/>
                <w:bCs/>
                <w:color w:val="FFFFFF"/>
                <w:sz w:val="20"/>
                <w:lang w:eastAsia="en-GB"/>
              </w:rPr>
              <w:t xml:space="preserve"> + 20%</w:t>
            </w:r>
          </w:p>
        </w:tc>
        <w:tc>
          <w:tcPr>
            <w:tcW w:w="1953" w:type="dxa"/>
            <w:tcBorders>
              <w:top w:val="nil"/>
              <w:left w:val="nil"/>
              <w:bottom w:val="single" w:sz="8" w:space="0" w:color="FFFFFF"/>
              <w:right w:val="single" w:sz="8" w:space="0" w:color="FFFFFF"/>
            </w:tcBorders>
            <w:shd w:val="clear" w:color="000000" w:fill="008C9B"/>
            <w:vAlign w:val="center"/>
            <w:hideMark/>
          </w:tcPr>
          <w:p w14:paraId="5FA2B040" w14:textId="77777777" w:rsidR="003C1C00" w:rsidRPr="00810D7C"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810D7C">
              <w:rPr>
                <w:rFonts w:ascii="Calibri" w:eastAsia="Times New Roman" w:hAnsi="Calibri" w:cs="Calibri"/>
                <w:b/>
                <w:bCs/>
                <w:color w:val="FFFFFF"/>
                <w:sz w:val="20"/>
                <w:lang w:eastAsia="en-GB"/>
              </w:rPr>
              <w:t xml:space="preserve"> + 40%</w:t>
            </w:r>
          </w:p>
        </w:tc>
      </w:tr>
      <w:tr w:rsidR="003C1C00" w:rsidRPr="00810D7C" w14:paraId="14A3CB5F" w14:textId="77777777" w:rsidTr="006F0DCB">
        <w:trPr>
          <w:trHeight w:val="300"/>
        </w:trPr>
        <w:tc>
          <w:tcPr>
            <w:tcW w:w="1452"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4A55F944" w14:textId="77777777" w:rsidR="003C1C00" w:rsidRPr="00810D7C" w:rsidRDefault="003C1C00" w:rsidP="006F0DCB">
            <w:pPr>
              <w:spacing w:after="0"/>
              <w:jc w:val="center"/>
              <w:rPr>
                <w:rFonts w:ascii="Calibri" w:eastAsia="Times New Roman" w:hAnsi="Calibri" w:cs="Calibri"/>
                <w:b/>
                <w:bCs/>
                <w:color w:val="FFFFFF"/>
                <w:sz w:val="20"/>
                <w:lang w:eastAsia="en-GB"/>
              </w:rPr>
            </w:pPr>
            <w:r w:rsidRPr="00810D7C">
              <w:rPr>
                <w:rFonts w:ascii="Calibri" w:eastAsia="Times New Roman" w:hAnsi="Calibri" w:cs="Calibri"/>
                <w:b/>
                <w:bCs/>
                <w:color w:val="FFFFFF"/>
                <w:sz w:val="20"/>
                <w:lang w:eastAsia="en-GB"/>
              </w:rPr>
              <w:t>2015</w:t>
            </w:r>
          </w:p>
        </w:tc>
        <w:tc>
          <w:tcPr>
            <w:tcW w:w="1595" w:type="dxa"/>
            <w:tcBorders>
              <w:top w:val="nil"/>
              <w:left w:val="nil"/>
              <w:bottom w:val="single" w:sz="8" w:space="0" w:color="FFFFFF"/>
              <w:right w:val="single" w:sz="8" w:space="0" w:color="FFFFFF"/>
            </w:tcBorders>
            <w:shd w:val="clear" w:color="000000" w:fill="D0CECE"/>
            <w:vAlign w:val="center"/>
            <w:hideMark/>
          </w:tcPr>
          <w:p w14:paraId="5F489485"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0</w:t>
            </w:r>
          </w:p>
        </w:tc>
        <w:tc>
          <w:tcPr>
            <w:tcW w:w="2119" w:type="dxa"/>
            <w:tcBorders>
              <w:top w:val="nil"/>
              <w:left w:val="nil"/>
              <w:bottom w:val="single" w:sz="8" w:space="0" w:color="FFFFFF"/>
              <w:right w:val="single" w:sz="8" w:space="0" w:color="FFFFFF"/>
            </w:tcBorders>
            <w:shd w:val="clear" w:color="000000" w:fill="D0CECE"/>
            <w:vAlign w:val="center"/>
            <w:hideMark/>
          </w:tcPr>
          <w:p w14:paraId="7E76A4F4"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12</w:t>
            </w:r>
          </w:p>
        </w:tc>
        <w:tc>
          <w:tcPr>
            <w:tcW w:w="2238" w:type="dxa"/>
            <w:tcBorders>
              <w:top w:val="nil"/>
              <w:left w:val="nil"/>
              <w:bottom w:val="single" w:sz="8" w:space="0" w:color="FFFFFF"/>
              <w:right w:val="single" w:sz="8" w:space="0" w:color="FFFFFF"/>
            </w:tcBorders>
            <w:shd w:val="clear" w:color="000000" w:fill="D0CECE"/>
            <w:vAlign w:val="center"/>
            <w:hideMark/>
          </w:tcPr>
          <w:p w14:paraId="28A32166"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24</w:t>
            </w:r>
          </w:p>
        </w:tc>
        <w:tc>
          <w:tcPr>
            <w:tcW w:w="1953" w:type="dxa"/>
            <w:tcBorders>
              <w:top w:val="nil"/>
              <w:left w:val="nil"/>
              <w:bottom w:val="single" w:sz="8" w:space="0" w:color="FFFFFF"/>
              <w:right w:val="single" w:sz="8" w:space="0" w:color="FFFFFF"/>
            </w:tcBorders>
            <w:shd w:val="clear" w:color="000000" w:fill="D0CECE"/>
            <w:vAlign w:val="center"/>
            <w:hideMark/>
          </w:tcPr>
          <w:p w14:paraId="15450A2B"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47</w:t>
            </w:r>
          </w:p>
        </w:tc>
      </w:tr>
      <w:tr w:rsidR="003C1C00" w:rsidRPr="00810D7C" w14:paraId="0531927F" w14:textId="77777777" w:rsidTr="006F0DCB">
        <w:trPr>
          <w:trHeight w:val="300"/>
        </w:trPr>
        <w:tc>
          <w:tcPr>
            <w:tcW w:w="1452"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6ABDB461" w14:textId="77777777" w:rsidR="003C1C00" w:rsidRPr="00810D7C" w:rsidRDefault="003C1C00" w:rsidP="006F0DCB">
            <w:pPr>
              <w:spacing w:after="0"/>
              <w:jc w:val="center"/>
              <w:rPr>
                <w:rFonts w:ascii="Calibri" w:eastAsia="Times New Roman" w:hAnsi="Calibri" w:cs="Calibri"/>
                <w:b/>
                <w:bCs/>
                <w:color w:val="FFFFFF"/>
                <w:sz w:val="20"/>
                <w:lang w:eastAsia="en-GB"/>
              </w:rPr>
            </w:pPr>
            <w:r w:rsidRPr="00810D7C">
              <w:rPr>
                <w:rFonts w:ascii="Calibri" w:eastAsia="Times New Roman" w:hAnsi="Calibri" w:cs="Calibri"/>
                <w:b/>
                <w:bCs/>
                <w:color w:val="FFFFFF"/>
                <w:sz w:val="20"/>
                <w:lang w:eastAsia="en-GB"/>
              </w:rPr>
              <w:t>2016</w:t>
            </w:r>
          </w:p>
        </w:tc>
        <w:tc>
          <w:tcPr>
            <w:tcW w:w="1595" w:type="dxa"/>
            <w:tcBorders>
              <w:top w:val="nil"/>
              <w:left w:val="single" w:sz="8" w:space="0" w:color="FFFFFF"/>
              <w:bottom w:val="single" w:sz="12" w:space="0" w:color="FFFFFF"/>
              <w:right w:val="single" w:sz="12" w:space="0" w:color="FFFFFF"/>
            </w:tcBorders>
            <w:shd w:val="clear" w:color="000000" w:fill="E7EEEF"/>
            <w:vAlign w:val="center"/>
            <w:hideMark/>
          </w:tcPr>
          <w:p w14:paraId="0ABDE846"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0</w:t>
            </w:r>
          </w:p>
        </w:tc>
        <w:tc>
          <w:tcPr>
            <w:tcW w:w="2119" w:type="dxa"/>
            <w:tcBorders>
              <w:top w:val="nil"/>
              <w:left w:val="single" w:sz="8" w:space="0" w:color="FFFFFF"/>
              <w:bottom w:val="single" w:sz="12" w:space="0" w:color="FFFFFF"/>
              <w:right w:val="single" w:sz="12" w:space="0" w:color="FFFFFF"/>
            </w:tcBorders>
            <w:shd w:val="clear" w:color="000000" w:fill="E7EEEF"/>
            <w:vAlign w:val="center"/>
            <w:hideMark/>
          </w:tcPr>
          <w:p w14:paraId="328482A6"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3</w:t>
            </w:r>
          </w:p>
        </w:tc>
        <w:tc>
          <w:tcPr>
            <w:tcW w:w="2238" w:type="dxa"/>
            <w:tcBorders>
              <w:top w:val="nil"/>
              <w:left w:val="single" w:sz="8" w:space="0" w:color="FFFFFF"/>
              <w:bottom w:val="single" w:sz="12" w:space="0" w:color="FFFFFF"/>
              <w:right w:val="single" w:sz="12" w:space="0" w:color="FFFFFF"/>
            </w:tcBorders>
            <w:shd w:val="clear" w:color="000000" w:fill="E7EEEF"/>
            <w:vAlign w:val="center"/>
            <w:hideMark/>
          </w:tcPr>
          <w:p w14:paraId="2094DD25" w14:textId="77777777" w:rsidR="003C1C00" w:rsidRPr="00810D7C"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4</w:t>
            </w:r>
          </w:p>
        </w:tc>
        <w:tc>
          <w:tcPr>
            <w:tcW w:w="1953" w:type="dxa"/>
            <w:tcBorders>
              <w:top w:val="nil"/>
              <w:left w:val="single" w:sz="8" w:space="0" w:color="FFFFFF"/>
              <w:bottom w:val="single" w:sz="12" w:space="0" w:color="FFFFFF"/>
              <w:right w:val="single" w:sz="12" w:space="0" w:color="FFFFFF"/>
            </w:tcBorders>
            <w:shd w:val="clear" w:color="000000" w:fill="E7EEEF"/>
            <w:vAlign w:val="center"/>
            <w:hideMark/>
          </w:tcPr>
          <w:p w14:paraId="09F488D2" w14:textId="77777777" w:rsidR="003C1C00" w:rsidRPr="00810D7C"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6</w:t>
            </w:r>
          </w:p>
        </w:tc>
      </w:tr>
      <w:tr w:rsidR="003C1C00" w:rsidRPr="00810D7C" w14:paraId="3E32B381" w14:textId="77777777" w:rsidTr="006F0DCB">
        <w:trPr>
          <w:trHeight w:val="300"/>
        </w:trPr>
        <w:tc>
          <w:tcPr>
            <w:tcW w:w="1452" w:type="dxa"/>
            <w:tcBorders>
              <w:top w:val="single" w:sz="12" w:space="0" w:color="FFFFFF"/>
              <w:left w:val="single" w:sz="8" w:space="0" w:color="FFFFFF"/>
              <w:bottom w:val="single" w:sz="4" w:space="0" w:color="auto"/>
              <w:right w:val="single" w:sz="12" w:space="0" w:color="FFFFFF"/>
            </w:tcBorders>
            <w:shd w:val="clear" w:color="000000" w:fill="008C9B"/>
            <w:vAlign w:val="center"/>
            <w:hideMark/>
          </w:tcPr>
          <w:p w14:paraId="59CDBA12" w14:textId="77777777" w:rsidR="003C1C00" w:rsidRPr="00810D7C" w:rsidRDefault="003C1C00" w:rsidP="006F0DCB">
            <w:pPr>
              <w:spacing w:after="0"/>
              <w:jc w:val="center"/>
              <w:rPr>
                <w:rFonts w:ascii="Calibri" w:eastAsia="Times New Roman" w:hAnsi="Calibri" w:cs="Calibri"/>
                <w:b/>
                <w:bCs/>
                <w:color w:val="FFFFFF"/>
                <w:sz w:val="20"/>
                <w:lang w:eastAsia="en-GB"/>
              </w:rPr>
            </w:pPr>
            <w:r w:rsidRPr="00810D7C">
              <w:rPr>
                <w:rFonts w:ascii="Calibri" w:eastAsia="Times New Roman" w:hAnsi="Calibri" w:cs="Calibri"/>
                <w:b/>
                <w:bCs/>
                <w:color w:val="FFFFFF"/>
                <w:sz w:val="20"/>
                <w:lang w:eastAsia="en-GB"/>
              </w:rPr>
              <w:t>2017</w:t>
            </w:r>
          </w:p>
        </w:tc>
        <w:tc>
          <w:tcPr>
            <w:tcW w:w="1595" w:type="dxa"/>
            <w:tcBorders>
              <w:top w:val="single" w:sz="12" w:space="0" w:color="FFFFFF"/>
              <w:left w:val="nil"/>
              <w:bottom w:val="single" w:sz="4" w:space="0" w:color="auto"/>
              <w:right w:val="single" w:sz="8" w:space="0" w:color="FFFFFF"/>
            </w:tcBorders>
            <w:shd w:val="clear" w:color="000000" w:fill="D0CECE"/>
            <w:vAlign w:val="center"/>
            <w:hideMark/>
          </w:tcPr>
          <w:p w14:paraId="44683DA0"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0</w:t>
            </w:r>
          </w:p>
        </w:tc>
        <w:tc>
          <w:tcPr>
            <w:tcW w:w="2119" w:type="dxa"/>
            <w:tcBorders>
              <w:top w:val="single" w:sz="12" w:space="0" w:color="FFFFFF"/>
              <w:left w:val="nil"/>
              <w:bottom w:val="single" w:sz="4" w:space="0" w:color="auto"/>
              <w:right w:val="single" w:sz="8" w:space="0" w:color="FFFFFF"/>
            </w:tcBorders>
            <w:shd w:val="clear" w:color="000000" w:fill="D0CECE"/>
            <w:vAlign w:val="center"/>
            <w:hideMark/>
          </w:tcPr>
          <w:p w14:paraId="6E10EAFB"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15</w:t>
            </w:r>
          </w:p>
        </w:tc>
        <w:tc>
          <w:tcPr>
            <w:tcW w:w="2238" w:type="dxa"/>
            <w:tcBorders>
              <w:top w:val="single" w:sz="12" w:space="0" w:color="FFFFFF"/>
              <w:left w:val="nil"/>
              <w:bottom w:val="single" w:sz="4" w:space="0" w:color="auto"/>
              <w:right w:val="single" w:sz="8" w:space="0" w:color="FFFFFF"/>
            </w:tcBorders>
            <w:shd w:val="clear" w:color="000000" w:fill="D0CECE"/>
            <w:vAlign w:val="center"/>
            <w:hideMark/>
          </w:tcPr>
          <w:p w14:paraId="1A138071"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16</w:t>
            </w:r>
          </w:p>
        </w:tc>
        <w:tc>
          <w:tcPr>
            <w:tcW w:w="1953" w:type="dxa"/>
            <w:tcBorders>
              <w:top w:val="single" w:sz="12" w:space="0" w:color="FFFFFF"/>
              <w:left w:val="nil"/>
              <w:bottom w:val="single" w:sz="4" w:space="0" w:color="auto"/>
              <w:right w:val="single" w:sz="8" w:space="0" w:color="FFFFFF"/>
            </w:tcBorders>
            <w:shd w:val="clear" w:color="000000" w:fill="D0CECE"/>
            <w:vAlign w:val="center"/>
            <w:hideMark/>
          </w:tcPr>
          <w:p w14:paraId="79334032"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19</w:t>
            </w:r>
          </w:p>
        </w:tc>
      </w:tr>
      <w:tr w:rsidR="003C1C00" w:rsidRPr="00810D7C" w14:paraId="2255AED8" w14:textId="77777777" w:rsidTr="006F0DCB">
        <w:trPr>
          <w:trHeight w:val="300"/>
        </w:trPr>
        <w:tc>
          <w:tcPr>
            <w:tcW w:w="1452" w:type="dxa"/>
            <w:tcBorders>
              <w:top w:val="single" w:sz="4" w:space="0" w:color="auto"/>
              <w:left w:val="single" w:sz="8" w:space="0" w:color="FFFFFF"/>
              <w:bottom w:val="single" w:sz="12" w:space="0" w:color="FFFFFF"/>
              <w:right w:val="single" w:sz="12" w:space="0" w:color="FFFFFF"/>
            </w:tcBorders>
            <w:shd w:val="clear" w:color="000000" w:fill="008C9B"/>
            <w:vAlign w:val="center"/>
            <w:hideMark/>
          </w:tcPr>
          <w:p w14:paraId="3A1D20B9" w14:textId="77777777" w:rsidR="003C1C00" w:rsidRPr="00810D7C" w:rsidRDefault="003C1C00" w:rsidP="006F0DCB">
            <w:pPr>
              <w:spacing w:after="0"/>
              <w:jc w:val="center"/>
              <w:rPr>
                <w:rFonts w:ascii="Calibri" w:eastAsia="Times New Roman" w:hAnsi="Calibri" w:cs="Calibri"/>
                <w:b/>
                <w:bCs/>
                <w:color w:val="FFFFFF"/>
                <w:sz w:val="20"/>
                <w:lang w:eastAsia="en-GB"/>
              </w:rPr>
            </w:pPr>
            <w:r w:rsidRPr="00810D7C">
              <w:rPr>
                <w:rFonts w:ascii="Calibri" w:eastAsia="Times New Roman" w:hAnsi="Calibri" w:cs="Calibri"/>
                <w:b/>
                <w:bCs/>
                <w:color w:val="FFFFFF"/>
                <w:sz w:val="20"/>
                <w:lang w:eastAsia="en-GB"/>
              </w:rPr>
              <w:t>Aggregate</w:t>
            </w:r>
          </w:p>
        </w:tc>
        <w:tc>
          <w:tcPr>
            <w:tcW w:w="1595" w:type="dxa"/>
            <w:tcBorders>
              <w:top w:val="single" w:sz="4" w:space="0" w:color="auto"/>
              <w:left w:val="single" w:sz="8" w:space="0" w:color="FFFFFF"/>
              <w:bottom w:val="single" w:sz="12" w:space="0" w:color="FFFFFF"/>
              <w:right w:val="single" w:sz="12" w:space="0" w:color="FFFFFF"/>
            </w:tcBorders>
            <w:shd w:val="clear" w:color="000000" w:fill="E7EEEF"/>
            <w:vAlign w:val="center"/>
            <w:hideMark/>
          </w:tcPr>
          <w:p w14:paraId="0A7D3047"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0</w:t>
            </w:r>
          </w:p>
        </w:tc>
        <w:tc>
          <w:tcPr>
            <w:tcW w:w="2119" w:type="dxa"/>
            <w:tcBorders>
              <w:top w:val="single" w:sz="4" w:space="0" w:color="auto"/>
              <w:left w:val="single" w:sz="8" w:space="0" w:color="FFFFFF"/>
              <w:bottom w:val="single" w:sz="12" w:space="0" w:color="FFFFFF"/>
              <w:right w:val="single" w:sz="12" w:space="0" w:color="FFFFFF"/>
            </w:tcBorders>
            <w:shd w:val="clear" w:color="000000" w:fill="E7EEEF"/>
            <w:vAlign w:val="center"/>
            <w:hideMark/>
          </w:tcPr>
          <w:p w14:paraId="7FB1C9D0" w14:textId="77777777" w:rsidR="003C1C00" w:rsidRPr="00810D7C" w:rsidRDefault="003C1C00" w:rsidP="006F0DCB">
            <w:pPr>
              <w:spacing w:after="0"/>
              <w:jc w:val="center"/>
              <w:rPr>
                <w:rFonts w:ascii="Calibri" w:eastAsia="Times New Roman" w:hAnsi="Calibri" w:cs="Calibri"/>
                <w:color w:val="000000"/>
                <w:sz w:val="20"/>
                <w:lang w:eastAsia="en-GB"/>
              </w:rPr>
            </w:pPr>
            <w:r w:rsidRPr="00810D7C">
              <w:rPr>
                <w:rFonts w:ascii="Calibri" w:eastAsia="Times New Roman" w:hAnsi="Calibri" w:cs="Calibri"/>
                <w:color w:val="000000"/>
                <w:sz w:val="20"/>
                <w:lang w:eastAsia="en-GB"/>
              </w:rPr>
              <w:t>29</w:t>
            </w:r>
          </w:p>
        </w:tc>
        <w:tc>
          <w:tcPr>
            <w:tcW w:w="2238" w:type="dxa"/>
            <w:tcBorders>
              <w:top w:val="single" w:sz="4" w:space="0" w:color="auto"/>
              <w:left w:val="single" w:sz="8" w:space="0" w:color="FFFFFF"/>
              <w:bottom w:val="single" w:sz="12" w:space="0" w:color="FFFFFF"/>
              <w:right w:val="single" w:sz="12" w:space="0" w:color="FFFFFF"/>
            </w:tcBorders>
            <w:shd w:val="clear" w:color="000000" w:fill="E7EEEF"/>
            <w:vAlign w:val="center"/>
            <w:hideMark/>
          </w:tcPr>
          <w:p w14:paraId="62982F57" w14:textId="77777777" w:rsidR="003C1C00" w:rsidRPr="00810D7C"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44</w:t>
            </w:r>
          </w:p>
        </w:tc>
        <w:tc>
          <w:tcPr>
            <w:tcW w:w="1953" w:type="dxa"/>
            <w:tcBorders>
              <w:top w:val="single" w:sz="4" w:space="0" w:color="auto"/>
              <w:left w:val="single" w:sz="8" w:space="0" w:color="FFFFFF"/>
              <w:bottom w:val="single" w:sz="12" w:space="0" w:color="FFFFFF"/>
              <w:right w:val="single" w:sz="12" w:space="0" w:color="FFFFFF"/>
            </w:tcBorders>
            <w:shd w:val="clear" w:color="000000" w:fill="E7EEEF"/>
            <w:vAlign w:val="center"/>
            <w:hideMark/>
          </w:tcPr>
          <w:p w14:paraId="035D0356" w14:textId="77777777" w:rsidR="003C1C00" w:rsidRPr="00810D7C"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72</w:t>
            </w:r>
          </w:p>
        </w:tc>
      </w:tr>
    </w:tbl>
    <w:p w14:paraId="4C215B93" w14:textId="77777777" w:rsidR="003C1C00" w:rsidRDefault="003C1C00" w:rsidP="003C1C00">
      <w:pPr>
        <w:jc w:val="right"/>
        <w:rPr>
          <w:i/>
          <w:sz w:val="18"/>
        </w:rPr>
      </w:pPr>
      <w:r>
        <w:t xml:space="preserve"> </w:t>
      </w:r>
      <w:r>
        <w:rPr>
          <w:i/>
          <w:sz w:val="18"/>
        </w:rPr>
        <w:t>Source: UK Major Ports Group data on investment, Park. J., &amp; Seo. Y., United Nations, Cebr analysis</w:t>
      </w:r>
    </w:p>
    <w:p w14:paraId="36C2FEB4" w14:textId="77777777" w:rsidR="003C1C00" w:rsidRDefault="003C1C00" w:rsidP="003C1C00">
      <w:pPr>
        <w:pStyle w:val="Heading2"/>
      </w:pPr>
      <w:r>
        <w:t>Impact on revenue</w:t>
      </w:r>
    </w:p>
    <w:p w14:paraId="71B2133C" w14:textId="77777777" w:rsidR="003C1C00" w:rsidRDefault="003C1C00" w:rsidP="003C1C00">
      <w:pPr>
        <w:jc w:val="both"/>
      </w:pPr>
      <w:r>
        <w:t>One of the major facets ports generate revenue through is the trade they facilitate through the cargo that passes through them. The UK ports industry is the second largest in the EU. It is estimated that 5% of the world’s total maritime freight traffic will pass through UK ports at some point in its journey,</w:t>
      </w:r>
      <w:r>
        <w:rPr>
          <w:rStyle w:val="FootnoteReference"/>
        </w:rPr>
        <w:footnoteReference w:id="8"/>
      </w:r>
      <w:r>
        <w:t xml:space="preserve"> emphasising the important role UK ports play. This through traffic generates revenue and the ports ability to adequately handle greater throughput will therefore increase revenue potential for the UK ports industry in the future. </w:t>
      </w:r>
    </w:p>
    <w:p w14:paraId="5798C873" w14:textId="77777777" w:rsidR="003C1C00" w:rsidRDefault="003C1C00" w:rsidP="003C1C00">
      <w:pPr>
        <w:jc w:val="both"/>
      </w:pPr>
      <w:r>
        <w:t xml:space="preserve">To derive the revenue impact, we utilise the investment-capacity relationship detailed earlier and then multiply it by an average value of maritime tonnage passing through ports. This value was derived from Eurostat and HMRC Oversea Trade Statistics data to create a weighted average unit ton price of maritime trade for each year. </w:t>
      </w:r>
    </w:p>
    <w:p w14:paraId="1B4ED419" w14:textId="77777777" w:rsidR="003C1C00" w:rsidRPr="00D351F5" w:rsidRDefault="003C1C00" w:rsidP="003C1C00">
      <w:pPr>
        <w:jc w:val="both"/>
      </w:pPr>
      <w:r>
        <w:fldChar w:fldCharType="begin"/>
      </w:r>
      <w:r>
        <w:instrText xml:space="preserve"> REF _Ref15464059 \h  \* MERGEFORMAT </w:instrText>
      </w:r>
      <w:r>
        <w:fldChar w:fldCharType="separate"/>
      </w:r>
      <w:r>
        <w:t xml:space="preserve">Table </w:t>
      </w:r>
      <w:r>
        <w:rPr>
          <w:noProof/>
        </w:rPr>
        <w:t>6</w:t>
      </w:r>
      <w:r>
        <w:fldChar w:fldCharType="end"/>
      </w:r>
      <w:r>
        <w:t xml:space="preserve"> illustrates the direct impact of the port freight investment on revenues. To reiterate, investments accrue over time and it is not to be expected to have a 100% return in the first year. As such, under actual </w:t>
      </w:r>
      <w:r>
        <w:lastRenderedPageBreak/>
        <w:t>CapEx, revenues in the port industry from the investment amounted to £106 million in 2017, which equates to 2.2% of total ports industry revenue</w:t>
      </w:r>
      <w:r w:rsidRPr="008918FA">
        <w:t xml:space="preserve">. If </w:t>
      </w:r>
      <w:r>
        <w:t>CapEx</w:t>
      </w:r>
      <w:r w:rsidRPr="008918FA">
        <w:t xml:space="preserve"> </w:t>
      </w:r>
      <w:r>
        <w:t xml:space="preserve">had been 40% greater in 2017, revenues could have been £17 million larger at £123 million, equating to 2.6% of ports industry revenue. </w:t>
      </w:r>
    </w:p>
    <w:p w14:paraId="3A2B8146" w14:textId="77777777" w:rsidR="003C1C00" w:rsidRDefault="003C1C00" w:rsidP="003C1C00">
      <w:pPr>
        <w:pStyle w:val="Caption"/>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Port Freight Investment direct impact on revenue under Scenario 1)</w:t>
      </w:r>
    </w:p>
    <w:tbl>
      <w:tblPr>
        <w:tblW w:w="9024" w:type="dxa"/>
        <w:tblLayout w:type="fixed"/>
        <w:tblLook w:val="04A0" w:firstRow="1" w:lastRow="0" w:firstColumn="1" w:lastColumn="0" w:noHBand="0" w:noVBand="1"/>
      </w:tblPr>
      <w:tblGrid>
        <w:gridCol w:w="1805"/>
        <w:gridCol w:w="1802"/>
        <w:gridCol w:w="1803"/>
        <w:gridCol w:w="1802"/>
        <w:gridCol w:w="1803"/>
        <w:gridCol w:w="9"/>
      </w:tblGrid>
      <w:tr w:rsidR="003C1C00" w:rsidRPr="002E7FB2" w14:paraId="31241164" w14:textId="77777777" w:rsidTr="006F0DCB">
        <w:trPr>
          <w:trHeight w:val="308"/>
        </w:trPr>
        <w:tc>
          <w:tcPr>
            <w:tcW w:w="1805" w:type="dxa"/>
            <w:tcBorders>
              <w:top w:val="nil"/>
              <w:left w:val="nil"/>
              <w:bottom w:val="nil"/>
              <w:right w:val="nil"/>
            </w:tcBorders>
            <w:shd w:val="clear" w:color="auto" w:fill="auto"/>
            <w:noWrap/>
            <w:vAlign w:val="bottom"/>
            <w:hideMark/>
          </w:tcPr>
          <w:p w14:paraId="320B2B21" w14:textId="77777777" w:rsidR="003C1C00" w:rsidRPr="002E7FB2" w:rsidRDefault="003C1C00" w:rsidP="006F0DCB">
            <w:pPr>
              <w:spacing w:after="0"/>
              <w:rPr>
                <w:rFonts w:ascii="Times New Roman" w:eastAsia="Times New Roman" w:hAnsi="Times New Roman"/>
                <w:sz w:val="20"/>
                <w:szCs w:val="24"/>
                <w:lang w:eastAsia="en-GB"/>
              </w:rPr>
            </w:pPr>
          </w:p>
        </w:tc>
        <w:tc>
          <w:tcPr>
            <w:tcW w:w="7219" w:type="dxa"/>
            <w:gridSpan w:val="5"/>
            <w:tcBorders>
              <w:top w:val="nil"/>
              <w:left w:val="nil"/>
              <w:bottom w:val="single" w:sz="8" w:space="0" w:color="FFFFFF"/>
              <w:right w:val="single" w:sz="8" w:space="0" w:color="FFFFFF"/>
            </w:tcBorders>
            <w:shd w:val="clear" w:color="000000" w:fill="008C9B"/>
            <w:vAlign w:val="center"/>
            <w:hideMark/>
          </w:tcPr>
          <w:p w14:paraId="71825C83" w14:textId="77777777" w:rsidR="003C1C00" w:rsidRPr="002E7FB2" w:rsidRDefault="003C1C00" w:rsidP="006F0DCB">
            <w:pPr>
              <w:spacing w:after="0"/>
              <w:jc w:val="center"/>
              <w:rPr>
                <w:rFonts w:ascii="Calibri" w:eastAsia="Times New Roman" w:hAnsi="Calibri" w:cs="Calibri"/>
                <w:b/>
                <w:bCs/>
                <w:color w:val="FFFFFF"/>
                <w:sz w:val="20"/>
                <w:lang w:eastAsia="en-GB"/>
              </w:rPr>
            </w:pPr>
            <w:r w:rsidRPr="002E7FB2">
              <w:rPr>
                <w:rFonts w:ascii="Calibri" w:eastAsia="Times New Roman" w:hAnsi="Calibri" w:cs="Calibri"/>
                <w:b/>
                <w:bCs/>
                <w:color w:val="FFFFFF"/>
                <w:sz w:val="20"/>
                <w:lang w:eastAsia="en-GB"/>
              </w:rPr>
              <w:t>Scenario 1) Direct revenue impact, £m</w:t>
            </w:r>
          </w:p>
        </w:tc>
      </w:tr>
      <w:tr w:rsidR="003C1C00" w:rsidRPr="002E7FB2" w14:paraId="7C950547" w14:textId="77777777" w:rsidTr="006F0DCB">
        <w:trPr>
          <w:gridAfter w:val="1"/>
          <w:wAfter w:w="9" w:type="dxa"/>
          <w:trHeight w:val="371"/>
        </w:trPr>
        <w:tc>
          <w:tcPr>
            <w:tcW w:w="1805" w:type="dxa"/>
            <w:tcBorders>
              <w:top w:val="nil"/>
              <w:left w:val="nil"/>
              <w:bottom w:val="nil"/>
              <w:right w:val="nil"/>
            </w:tcBorders>
            <w:shd w:val="clear" w:color="auto" w:fill="auto"/>
            <w:noWrap/>
            <w:vAlign w:val="bottom"/>
            <w:hideMark/>
          </w:tcPr>
          <w:p w14:paraId="4FBBF049" w14:textId="77777777" w:rsidR="003C1C00" w:rsidRPr="002E7FB2" w:rsidRDefault="003C1C00" w:rsidP="006F0DCB">
            <w:pPr>
              <w:spacing w:after="0"/>
              <w:jc w:val="center"/>
              <w:rPr>
                <w:rFonts w:ascii="Calibri" w:eastAsia="Times New Roman" w:hAnsi="Calibri" w:cs="Calibri"/>
                <w:b/>
                <w:bCs/>
                <w:color w:val="FFFFFF"/>
                <w:sz w:val="20"/>
                <w:lang w:eastAsia="en-GB"/>
              </w:rPr>
            </w:pPr>
          </w:p>
        </w:tc>
        <w:tc>
          <w:tcPr>
            <w:tcW w:w="1802" w:type="dxa"/>
            <w:tcBorders>
              <w:top w:val="nil"/>
              <w:left w:val="nil"/>
              <w:bottom w:val="single" w:sz="8" w:space="0" w:color="FFFFFF"/>
              <w:right w:val="single" w:sz="8" w:space="0" w:color="FFFFFF"/>
            </w:tcBorders>
            <w:shd w:val="clear" w:color="000000" w:fill="008C9B"/>
            <w:vAlign w:val="center"/>
            <w:hideMark/>
          </w:tcPr>
          <w:p w14:paraId="77FDFAE1"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Standard CapEx</w:t>
            </w:r>
          </w:p>
        </w:tc>
        <w:tc>
          <w:tcPr>
            <w:tcW w:w="1803" w:type="dxa"/>
            <w:tcBorders>
              <w:top w:val="nil"/>
              <w:left w:val="nil"/>
              <w:bottom w:val="single" w:sz="8" w:space="0" w:color="FFFFFF"/>
              <w:right w:val="single" w:sz="8" w:space="0" w:color="FFFFFF"/>
            </w:tcBorders>
            <w:shd w:val="clear" w:color="000000" w:fill="008C9B"/>
            <w:vAlign w:val="center"/>
            <w:hideMark/>
          </w:tcPr>
          <w:p w14:paraId="658E8C30"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+ 10%</w:t>
            </w:r>
          </w:p>
        </w:tc>
        <w:tc>
          <w:tcPr>
            <w:tcW w:w="1802" w:type="dxa"/>
            <w:tcBorders>
              <w:top w:val="nil"/>
              <w:left w:val="nil"/>
              <w:bottom w:val="single" w:sz="8" w:space="0" w:color="FFFFFF"/>
              <w:right w:val="single" w:sz="8" w:space="0" w:color="FFFFFF"/>
            </w:tcBorders>
            <w:shd w:val="clear" w:color="000000" w:fill="008C9B"/>
            <w:vAlign w:val="center"/>
            <w:hideMark/>
          </w:tcPr>
          <w:p w14:paraId="28A4F06B"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+ 20%</w:t>
            </w:r>
          </w:p>
        </w:tc>
        <w:tc>
          <w:tcPr>
            <w:tcW w:w="1803" w:type="dxa"/>
            <w:tcBorders>
              <w:top w:val="nil"/>
              <w:left w:val="nil"/>
              <w:bottom w:val="single" w:sz="8" w:space="0" w:color="FFFFFF"/>
              <w:right w:val="single" w:sz="8" w:space="0" w:color="FFFFFF"/>
            </w:tcBorders>
            <w:shd w:val="clear" w:color="000000" w:fill="008C9B"/>
            <w:vAlign w:val="center"/>
            <w:hideMark/>
          </w:tcPr>
          <w:p w14:paraId="5AA810B0"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+ 40%</w:t>
            </w:r>
          </w:p>
        </w:tc>
      </w:tr>
      <w:tr w:rsidR="003C1C00" w:rsidRPr="002E7FB2" w14:paraId="4E66A25A" w14:textId="77777777" w:rsidTr="006F0DCB">
        <w:trPr>
          <w:gridAfter w:val="1"/>
          <w:wAfter w:w="9" w:type="dxa"/>
          <w:trHeight w:val="517"/>
        </w:trPr>
        <w:tc>
          <w:tcPr>
            <w:tcW w:w="1805"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7BF870B9" w14:textId="77777777" w:rsidR="003C1C00" w:rsidRPr="002E7FB2" w:rsidRDefault="003C1C00" w:rsidP="006F0DCB">
            <w:pPr>
              <w:spacing w:after="0"/>
              <w:jc w:val="center"/>
              <w:rPr>
                <w:rFonts w:ascii="Calibri" w:eastAsia="Times New Roman" w:hAnsi="Calibri" w:cs="Calibri"/>
                <w:b/>
                <w:bCs/>
                <w:color w:val="FFFFFF"/>
                <w:sz w:val="20"/>
                <w:lang w:eastAsia="en-GB"/>
              </w:rPr>
            </w:pPr>
            <w:r w:rsidRPr="002E7FB2">
              <w:rPr>
                <w:rFonts w:ascii="Calibri" w:eastAsia="Times New Roman" w:hAnsi="Calibri" w:cs="Calibri"/>
                <w:b/>
                <w:bCs/>
                <w:color w:val="FFFFFF"/>
                <w:sz w:val="20"/>
                <w:lang w:eastAsia="en-GB"/>
              </w:rPr>
              <w:t>2015</w:t>
            </w:r>
          </w:p>
        </w:tc>
        <w:tc>
          <w:tcPr>
            <w:tcW w:w="1802" w:type="dxa"/>
            <w:tcBorders>
              <w:top w:val="nil"/>
              <w:left w:val="nil"/>
              <w:bottom w:val="single" w:sz="8" w:space="0" w:color="FFFFFF"/>
              <w:right w:val="single" w:sz="8" w:space="0" w:color="FFFFFF"/>
            </w:tcBorders>
            <w:shd w:val="clear" w:color="000000" w:fill="D0CECE"/>
            <w:vAlign w:val="center"/>
            <w:hideMark/>
          </w:tcPr>
          <w:p w14:paraId="050953D5" w14:textId="77777777" w:rsidR="003C1C00" w:rsidRPr="002E7FB2" w:rsidRDefault="003C1C00" w:rsidP="006F0DCB">
            <w:pPr>
              <w:spacing w:after="0"/>
              <w:jc w:val="center"/>
              <w:rPr>
                <w:rFonts w:ascii="Calibri" w:eastAsia="Times New Roman" w:hAnsi="Calibri" w:cs="Calibri"/>
                <w:color w:val="000000"/>
                <w:sz w:val="20"/>
                <w:lang w:eastAsia="en-GB"/>
              </w:rPr>
            </w:pPr>
            <w:r w:rsidRPr="002E7FB2">
              <w:rPr>
                <w:rFonts w:ascii="Calibri" w:eastAsia="Times New Roman" w:hAnsi="Calibri" w:cs="Calibri"/>
                <w:color w:val="000000"/>
                <w:sz w:val="20"/>
                <w:lang w:eastAsia="en-GB"/>
              </w:rPr>
              <w:t>101</w:t>
            </w:r>
          </w:p>
        </w:tc>
        <w:tc>
          <w:tcPr>
            <w:tcW w:w="1803" w:type="dxa"/>
            <w:tcBorders>
              <w:top w:val="nil"/>
              <w:left w:val="nil"/>
              <w:bottom w:val="single" w:sz="8" w:space="0" w:color="FFFFFF"/>
              <w:right w:val="single" w:sz="8" w:space="0" w:color="FFFFFF"/>
            </w:tcBorders>
            <w:shd w:val="clear" w:color="000000" w:fill="D0CECE"/>
            <w:vAlign w:val="center"/>
            <w:hideMark/>
          </w:tcPr>
          <w:p w14:paraId="51E1D823" w14:textId="77777777" w:rsidR="003C1C00" w:rsidRPr="002E7FB2" w:rsidRDefault="003C1C00" w:rsidP="006F0DCB">
            <w:pPr>
              <w:spacing w:after="0"/>
              <w:jc w:val="center"/>
              <w:rPr>
                <w:rFonts w:ascii="Calibri" w:eastAsia="Times New Roman" w:hAnsi="Calibri" w:cs="Calibri"/>
                <w:color w:val="000000"/>
                <w:sz w:val="20"/>
                <w:lang w:eastAsia="en-GB"/>
              </w:rPr>
            </w:pPr>
            <w:r w:rsidRPr="002E7FB2">
              <w:rPr>
                <w:rFonts w:ascii="Calibri" w:eastAsia="Times New Roman" w:hAnsi="Calibri" w:cs="Calibri"/>
                <w:color w:val="000000"/>
                <w:sz w:val="20"/>
                <w:lang w:eastAsia="en-GB"/>
              </w:rPr>
              <w:t>112</w:t>
            </w:r>
          </w:p>
        </w:tc>
        <w:tc>
          <w:tcPr>
            <w:tcW w:w="1802" w:type="dxa"/>
            <w:tcBorders>
              <w:top w:val="nil"/>
              <w:left w:val="nil"/>
              <w:bottom w:val="single" w:sz="8" w:space="0" w:color="FFFFFF"/>
              <w:right w:val="single" w:sz="8" w:space="0" w:color="FFFFFF"/>
            </w:tcBorders>
            <w:shd w:val="clear" w:color="000000" w:fill="D0CECE"/>
            <w:vAlign w:val="center"/>
            <w:hideMark/>
          </w:tcPr>
          <w:p w14:paraId="602D94AC" w14:textId="77777777" w:rsidR="003C1C00" w:rsidRPr="002E7FB2" w:rsidRDefault="003C1C00" w:rsidP="006F0DCB">
            <w:pPr>
              <w:spacing w:after="0"/>
              <w:jc w:val="center"/>
              <w:rPr>
                <w:rFonts w:ascii="Calibri" w:eastAsia="Times New Roman" w:hAnsi="Calibri" w:cs="Calibri"/>
                <w:color w:val="000000"/>
                <w:sz w:val="20"/>
                <w:lang w:eastAsia="en-GB"/>
              </w:rPr>
            </w:pPr>
            <w:r w:rsidRPr="002E7FB2">
              <w:rPr>
                <w:rFonts w:ascii="Calibri" w:eastAsia="Times New Roman" w:hAnsi="Calibri" w:cs="Calibri"/>
                <w:color w:val="000000"/>
                <w:sz w:val="20"/>
                <w:lang w:eastAsia="en-GB"/>
              </w:rPr>
              <w:t>122</w:t>
            </w:r>
          </w:p>
        </w:tc>
        <w:tc>
          <w:tcPr>
            <w:tcW w:w="1803" w:type="dxa"/>
            <w:tcBorders>
              <w:top w:val="nil"/>
              <w:left w:val="nil"/>
              <w:bottom w:val="single" w:sz="8" w:space="0" w:color="FFFFFF"/>
              <w:right w:val="single" w:sz="8" w:space="0" w:color="FFFFFF"/>
            </w:tcBorders>
            <w:shd w:val="clear" w:color="000000" w:fill="D0CECE"/>
            <w:vAlign w:val="center"/>
            <w:hideMark/>
          </w:tcPr>
          <w:p w14:paraId="4FAD8225" w14:textId="77777777" w:rsidR="003C1C00" w:rsidRPr="002E7FB2" w:rsidRDefault="003C1C00" w:rsidP="006F0DCB">
            <w:pPr>
              <w:spacing w:after="0"/>
              <w:jc w:val="center"/>
              <w:rPr>
                <w:rFonts w:ascii="Calibri" w:eastAsia="Times New Roman" w:hAnsi="Calibri" w:cs="Calibri"/>
                <w:color w:val="000000"/>
                <w:sz w:val="20"/>
                <w:lang w:eastAsia="en-GB"/>
              </w:rPr>
            </w:pPr>
            <w:r w:rsidRPr="002E7FB2">
              <w:rPr>
                <w:rFonts w:ascii="Calibri" w:eastAsia="Times New Roman" w:hAnsi="Calibri" w:cs="Calibri"/>
                <w:color w:val="000000"/>
                <w:sz w:val="20"/>
                <w:lang w:eastAsia="en-GB"/>
              </w:rPr>
              <w:t>142</w:t>
            </w:r>
          </w:p>
        </w:tc>
      </w:tr>
      <w:tr w:rsidR="003C1C00" w:rsidRPr="002E7FB2" w14:paraId="0BFDDC9D" w14:textId="77777777" w:rsidTr="006F0DCB">
        <w:trPr>
          <w:gridAfter w:val="1"/>
          <w:wAfter w:w="9" w:type="dxa"/>
          <w:trHeight w:val="517"/>
        </w:trPr>
        <w:tc>
          <w:tcPr>
            <w:tcW w:w="1805"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526F3986" w14:textId="77777777" w:rsidR="003C1C00" w:rsidRPr="002E7FB2" w:rsidRDefault="003C1C00" w:rsidP="006F0DCB">
            <w:pPr>
              <w:spacing w:after="0"/>
              <w:jc w:val="center"/>
              <w:rPr>
                <w:rFonts w:ascii="Calibri" w:eastAsia="Times New Roman" w:hAnsi="Calibri" w:cs="Calibri"/>
                <w:b/>
                <w:bCs/>
                <w:color w:val="FFFFFF"/>
                <w:sz w:val="20"/>
                <w:lang w:eastAsia="en-GB"/>
              </w:rPr>
            </w:pPr>
            <w:r w:rsidRPr="002E7FB2">
              <w:rPr>
                <w:rFonts w:ascii="Calibri" w:eastAsia="Times New Roman" w:hAnsi="Calibri" w:cs="Calibri"/>
                <w:b/>
                <w:bCs/>
                <w:color w:val="FFFFFF"/>
                <w:sz w:val="20"/>
                <w:lang w:eastAsia="en-GB"/>
              </w:rPr>
              <w:t>2016</w:t>
            </w:r>
          </w:p>
        </w:tc>
        <w:tc>
          <w:tcPr>
            <w:tcW w:w="1802" w:type="dxa"/>
            <w:tcBorders>
              <w:top w:val="nil"/>
              <w:left w:val="single" w:sz="8" w:space="0" w:color="FFFFFF"/>
              <w:bottom w:val="single" w:sz="12" w:space="0" w:color="FFFFFF"/>
              <w:right w:val="single" w:sz="12" w:space="0" w:color="FFFFFF"/>
            </w:tcBorders>
            <w:shd w:val="clear" w:color="000000" w:fill="E7EEEF"/>
            <w:vAlign w:val="center"/>
            <w:hideMark/>
          </w:tcPr>
          <w:p w14:paraId="0FFEB9ED" w14:textId="77777777" w:rsidR="003C1C00" w:rsidRPr="002E7FB2" w:rsidRDefault="003C1C00" w:rsidP="006F0DCB">
            <w:pPr>
              <w:spacing w:after="0"/>
              <w:jc w:val="center"/>
              <w:rPr>
                <w:rFonts w:ascii="Calibri" w:eastAsia="Times New Roman" w:hAnsi="Calibri" w:cs="Calibri"/>
                <w:color w:val="000000"/>
                <w:sz w:val="20"/>
                <w:lang w:eastAsia="en-GB"/>
              </w:rPr>
            </w:pPr>
            <w:r w:rsidRPr="002E7FB2">
              <w:rPr>
                <w:rFonts w:ascii="Calibri" w:eastAsia="Times New Roman" w:hAnsi="Calibri" w:cs="Calibri"/>
                <w:color w:val="000000"/>
                <w:sz w:val="20"/>
                <w:lang w:eastAsia="en-GB"/>
              </w:rPr>
              <w:t>109</w:t>
            </w:r>
          </w:p>
        </w:tc>
        <w:tc>
          <w:tcPr>
            <w:tcW w:w="1803" w:type="dxa"/>
            <w:tcBorders>
              <w:top w:val="nil"/>
              <w:left w:val="single" w:sz="8" w:space="0" w:color="FFFFFF"/>
              <w:bottom w:val="single" w:sz="12" w:space="0" w:color="FFFFFF"/>
              <w:right w:val="single" w:sz="12" w:space="0" w:color="FFFFFF"/>
            </w:tcBorders>
            <w:shd w:val="clear" w:color="000000" w:fill="E7EEEF"/>
            <w:vAlign w:val="center"/>
            <w:hideMark/>
          </w:tcPr>
          <w:p w14:paraId="3A2F7052" w14:textId="77777777" w:rsidR="003C1C00" w:rsidRPr="002E7FB2" w:rsidRDefault="003C1C00" w:rsidP="006F0DCB">
            <w:pPr>
              <w:spacing w:after="0"/>
              <w:jc w:val="center"/>
              <w:rPr>
                <w:rFonts w:ascii="Calibri" w:eastAsia="Times New Roman" w:hAnsi="Calibri" w:cs="Calibri"/>
                <w:color w:val="000000"/>
                <w:sz w:val="20"/>
                <w:lang w:eastAsia="en-GB"/>
              </w:rPr>
            </w:pPr>
            <w:r w:rsidRPr="002E7FB2">
              <w:rPr>
                <w:rFonts w:ascii="Calibri" w:eastAsia="Times New Roman" w:hAnsi="Calibri" w:cs="Calibri"/>
                <w:color w:val="000000"/>
                <w:sz w:val="20"/>
                <w:lang w:eastAsia="en-GB"/>
              </w:rPr>
              <w:t>111</w:t>
            </w:r>
          </w:p>
        </w:tc>
        <w:tc>
          <w:tcPr>
            <w:tcW w:w="1802" w:type="dxa"/>
            <w:tcBorders>
              <w:top w:val="nil"/>
              <w:left w:val="single" w:sz="8" w:space="0" w:color="FFFFFF"/>
              <w:bottom w:val="single" w:sz="12" w:space="0" w:color="FFFFFF"/>
              <w:right w:val="single" w:sz="12" w:space="0" w:color="FFFFFF"/>
            </w:tcBorders>
            <w:shd w:val="clear" w:color="000000" w:fill="E7EEEF"/>
            <w:vAlign w:val="center"/>
            <w:hideMark/>
          </w:tcPr>
          <w:p w14:paraId="48F4CE9C" w14:textId="77777777" w:rsidR="003C1C00" w:rsidRPr="002E7FB2" w:rsidRDefault="003C1C00" w:rsidP="006F0DCB">
            <w:pPr>
              <w:spacing w:after="0"/>
              <w:jc w:val="center"/>
              <w:rPr>
                <w:rFonts w:ascii="Calibri" w:eastAsia="Times New Roman" w:hAnsi="Calibri" w:cs="Calibri"/>
                <w:color w:val="000000"/>
                <w:sz w:val="20"/>
                <w:lang w:eastAsia="en-GB"/>
              </w:rPr>
            </w:pPr>
            <w:r w:rsidRPr="002E7FB2">
              <w:rPr>
                <w:rFonts w:ascii="Calibri" w:eastAsia="Times New Roman" w:hAnsi="Calibri" w:cs="Calibri"/>
                <w:color w:val="000000"/>
                <w:sz w:val="20"/>
                <w:lang w:eastAsia="en-GB"/>
              </w:rPr>
              <w:t>112</w:t>
            </w:r>
          </w:p>
        </w:tc>
        <w:tc>
          <w:tcPr>
            <w:tcW w:w="1803" w:type="dxa"/>
            <w:tcBorders>
              <w:top w:val="nil"/>
              <w:left w:val="single" w:sz="8" w:space="0" w:color="FFFFFF"/>
              <w:bottom w:val="single" w:sz="12" w:space="0" w:color="FFFFFF"/>
              <w:right w:val="single" w:sz="12" w:space="0" w:color="FFFFFF"/>
            </w:tcBorders>
            <w:shd w:val="clear" w:color="000000" w:fill="E7EEEF"/>
            <w:vAlign w:val="center"/>
            <w:hideMark/>
          </w:tcPr>
          <w:p w14:paraId="72A701D2" w14:textId="77777777" w:rsidR="003C1C00" w:rsidRPr="002E7FB2" w:rsidRDefault="003C1C00" w:rsidP="006F0DCB">
            <w:pPr>
              <w:spacing w:after="0"/>
              <w:jc w:val="center"/>
              <w:rPr>
                <w:rFonts w:ascii="Calibri" w:eastAsia="Times New Roman" w:hAnsi="Calibri" w:cs="Calibri"/>
                <w:color w:val="000000"/>
                <w:sz w:val="20"/>
                <w:lang w:eastAsia="en-GB"/>
              </w:rPr>
            </w:pPr>
            <w:r w:rsidRPr="002E7FB2">
              <w:rPr>
                <w:rFonts w:ascii="Calibri" w:eastAsia="Times New Roman" w:hAnsi="Calibri" w:cs="Calibri"/>
                <w:color w:val="000000"/>
                <w:sz w:val="20"/>
                <w:lang w:eastAsia="en-GB"/>
              </w:rPr>
              <w:t>115</w:t>
            </w:r>
          </w:p>
        </w:tc>
      </w:tr>
      <w:tr w:rsidR="003C1C00" w:rsidRPr="002E7FB2" w14:paraId="2509160A" w14:textId="77777777" w:rsidTr="006F0DCB">
        <w:trPr>
          <w:gridAfter w:val="1"/>
          <w:wAfter w:w="9" w:type="dxa"/>
          <w:trHeight w:val="517"/>
        </w:trPr>
        <w:tc>
          <w:tcPr>
            <w:tcW w:w="1805"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25052850" w14:textId="77777777" w:rsidR="003C1C00" w:rsidRPr="002E7FB2" w:rsidRDefault="003C1C00" w:rsidP="006F0DCB">
            <w:pPr>
              <w:spacing w:after="0"/>
              <w:jc w:val="center"/>
              <w:rPr>
                <w:rFonts w:ascii="Calibri" w:eastAsia="Times New Roman" w:hAnsi="Calibri" w:cs="Calibri"/>
                <w:b/>
                <w:bCs/>
                <w:color w:val="FFFFFF"/>
                <w:sz w:val="20"/>
                <w:lang w:eastAsia="en-GB"/>
              </w:rPr>
            </w:pPr>
            <w:r w:rsidRPr="002E7FB2">
              <w:rPr>
                <w:rFonts w:ascii="Calibri" w:eastAsia="Times New Roman" w:hAnsi="Calibri" w:cs="Calibri"/>
                <w:b/>
                <w:bCs/>
                <w:color w:val="FFFFFF"/>
                <w:sz w:val="20"/>
                <w:lang w:eastAsia="en-GB"/>
              </w:rPr>
              <w:t>2017</w:t>
            </w:r>
          </w:p>
        </w:tc>
        <w:tc>
          <w:tcPr>
            <w:tcW w:w="1802" w:type="dxa"/>
            <w:tcBorders>
              <w:top w:val="nil"/>
              <w:left w:val="nil"/>
              <w:bottom w:val="single" w:sz="8" w:space="0" w:color="FFFFFF"/>
              <w:right w:val="single" w:sz="8" w:space="0" w:color="FFFFFF"/>
            </w:tcBorders>
            <w:shd w:val="clear" w:color="000000" w:fill="D0CECE"/>
            <w:vAlign w:val="center"/>
            <w:hideMark/>
          </w:tcPr>
          <w:p w14:paraId="51E83E28" w14:textId="77777777" w:rsidR="003C1C00" w:rsidRPr="002E7FB2" w:rsidRDefault="003C1C00" w:rsidP="006F0DCB">
            <w:pPr>
              <w:spacing w:after="0"/>
              <w:jc w:val="center"/>
              <w:rPr>
                <w:rFonts w:ascii="Calibri" w:eastAsia="Times New Roman" w:hAnsi="Calibri" w:cs="Calibri"/>
                <w:color w:val="000000"/>
                <w:sz w:val="20"/>
                <w:lang w:eastAsia="en-GB"/>
              </w:rPr>
            </w:pPr>
            <w:r w:rsidRPr="002E7FB2">
              <w:rPr>
                <w:rFonts w:ascii="Calibri" w:eastAsia="Times New Roman" w:hAnsi="Calibri" w:cs="Calibri"/>
                <w:color w:val="000000"/>
                <w:sz w:val="20"/>
                <w:lang w:eastAsia="en-GB"/>
              </w:rPr>
              <w:t>106</w:t>
            </w:r>
          </w:p>
        </w:tc>
        <w:tc>
          <w:tcPr>
            <w:tcW w:w="1803" w:type="dxa"/>
            <w:tcBorders>
              <w:top w:val="nil"/>
              <w:left w:val="nil"/>
              <w:bottom w:val="single" w:sz="8" w:space="0" w:color="FFFFFF"/>
              <w:right w:val="single" w:sz="8" w:space="0" w:color="FFFFFF"/>
            </w:tcBorders>
            <w:shd w:val="clear" w:color="000000" w:fill="D0CECE"/>
            <w:vAlign w:val="center"/>
            <w:hideMark/>
          </w:tcPr>
          <w:p w14:paraId="55A56E1B" w14:textId="77777777" w:rsidR="003C1C00" w:rsidRPr="002E7FB2" w:rsidRDefault="003C1C00" w:rsidP="006F0DCB">
            <w:pPr>
              <w:spacing w:after="0"/>
              <w:jc w:val="center"/>
              <w:rPr>
                <w:rFonts w:ascii="Calibri" w:eastAsia="Times New Roman" w:hAnsi="Calibri" w:cs="Calibri"/>
                <w:color w:val="000000"/>
                <w:sz w:val="20"/>
                <w:lang w:eastAsia="en-GB"/>
              </w:rPr>
            </w:pPr>
            <w:r w:rsidRPr="002E7FB2">
              <w:rPr>
                <w:rFonts w:ascii="Calibri" w:eastAsia="Times New Roman" w:hAnsi="Calibri" w:cs="Calibri"/>
                <w:color w:val="000000"/>
                <w:sz w:val="20"/>
                <w:lang w:eastAsia="en-GB"/>
              </w:rPr>
              <w:t>119</w:t>
            </w:r>
          </w:p>
        </w:tc>
        <w:tc>
          <w:tcPr>
            <w:tcW w:w="1802" w:type="dxa"/>
            <w:tcBorders>
              <w:top w:val="nil"/>
              <w:left w:val="nil"/>
              <w:bottom w:val="single" w:sz="8" w:space="0" w:color="FFFFFF"/>
              <w:right w:val="single" w:sz="8" w:space="0" w:color="FFFFFF"/>
            </w:tcBorders>
            <w:shd w:val="clear" w:color="000000" w:fill="D0CECE"/>
            <w:vAlign w:val="center"/>
            <w:hideMark/>
          </w:tcPr>
          <w:p w14:paraId="467DD906" w14:textId="77777777" w:rsidR="003C1C00" w:rsidRPr="002E7FB2" w:rsidRDefault="003C1C00" w:rsidP="006F0DCB">
            <w:pPr>
              <w:spacing w:after="0"/>
              <w:jc w:val="center"/>
              <w:rPr>
                <w:rFonts w:ascii="Calibri" w:eastAsia="Times New Roman" w:hAnsi="Calibri" w:cs="Calibri"/>
                <w:color w:val="000000"/>
                <w:sz w:val="20"/>
                <w:lang w:eastAsia="en-GB"/>
              </w:rPr>
            </w:pPr>
            <w:r w:rsidRPr="002E7FB2">
              <w:rPr>
                <w:rFonts w:ascii="Calibri" w:eastAsia="Times New Roman" w:hAnsi="Calibri" w:cs="Calibri"/>
                <w:color w:val="000000"/>
                <w:sz w:val="20"/>
                <w:lang w:eastAsia="en-GB"/>
              </w:rPr>
              <w:t>121</w:t>
            </w:r>
          </w:p>
        </w:tc>
        <w:tc>
          <w:tcPr>
            <w:tcW w:w="1803" w:type="dxa"/>
            <w:tcBorders>
              <w:top w:val="nil"/>
              <w:left w:val="nil"/>
              <w:bottom w:val="single" w:sz="8" w:space="0" w:color="FFFFFF"/>
              <w:right w:val="single" w:sz="8" w:space="0" w:color="FFFFFF"/>
            </w:tcBorders>
            <w:shd w:val="clear" w:color="000000" w:fill="D0CECE"/>
            <w:vAlign w:val="center"/>
            <w:hideMark/>
          </w:tcPr>
          <w:p w14:paraId="64FBA580" w14:textId="77777777" w:rsidR="003C1C00" w:rsidRPr="002E7FB2" w:rsidRDefault="003C1C00" w:rsidP="006F0DCB">
            <w:pPr>
              <w:spacing w:after="0"/>
              <w:jc w:val="center"/>
              <w:rPr>
                <w:rFonts w:ascii="Calibri" w:eastAsia="Times New Roman" w:hAnsi="Calibri" w:cs="Calibri"/>
                <w:color w:val="000000"/>
                <w:sz w:val="20"/>
                <w:lang w:eastAsia="en-GB"/>
              </w:rPr>
            </w:pPr>
            <w:r w:rsidRPr="002E7FB2">
              <w:rPr>
                <w:rFonts w:ascii="Calibri" w:eastAsia="Times New Roman" w:hAnsi="Calibri" w:cs="Calibri"/>
                <w:color w:val="000000"/>
                <w:sz w:val="20"/>
                <w:lang w:eastAsia="en-GB"/>
              </w:rPr>
              <w:t>123</w:t>
            </w:r>
          </w:p>
        </w:tc>
      </w:tr>
      <w:tr w:rsidR="003C1C00" w:rsidRPr="002E7FB2" w14:paraId="16888CE7" w14:textId="77777777" w:rsidTr="006F0DCB">
        <w:trPr>
          <w:gridAfter w:val="1"/>
          <w:wAfter w:w="9" w:type="dxa"/>
          <w:trHeight w:val="517"/>
        </w:trPr>
        <w:tc>
          <w:tcPr>
            <w:tcW w:w="1805"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689F3EBE"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2017 investment revenue as % of ports industry revenue</w:t>
            </w:r>
          </w:p>
        </w:tc>
        <w:tc>
          <w:tcPr>
            <w:tcW w:w="1802" w:type="dxa"/>
            <w:tcBorders>
              <w:top w:val="nil"/>
              <w:left w:val="single" w:sz="8" w:space="0" w:color="FFFFFF"/>
              <w:bottom w:val="single" w:sz="12" w:space="0" w:color="FFFFFF"/>
              <w:right w:val="single" w:sz="12" w:space="0" w:color="FFFFFF"/>
            </w:tcBorders>
            <w:shd w:val="clear" w:color="000000" w:fill="E7EEEF"/>
            <w:vAlign w:val="center"/>
            <w:hideMark/>
          </w:tcPr>
          <w:p w14:paraId="4036F94F"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2.2</w:t>
            </w:r>
            <w:r w:rsidRPr="002E7FB2">
              <w:rPr>
                <w:rFonts w:ascii="Calibri" w:eastAsia="Times New Roman" w:hAnsi="Calibri" w:cs="Calibri"/>
                <w:color w:val="000000"/>
                <w:sz w:val="20"/>
                <w:lang w:eastAsia="en-GB"/>
              </w:rPr>
              <w:t>%</w:t>
            </w:r>
          </w:p>
        </w:tc>
        <w:tc>
          <w:tcPr>
            <w:tcW w:w="1803" w:type="dxa"/>
            <w:tcBorders>
              <w:top w:val="nil"/>
              <w:left w:val="single" w:sz="8" w:space="0" w:color="FFFFFF"/>
              <w:bottom w:val="single" w:sz="12" w:space="0" w:color="FFFFFF"/>
              <w:right w:val="single" w:sz="12" w:space="0" w:color="FFFFFF"/>
            </w:tcBorders>
            <w:shd w:val="clear" w:color="000000" w:fill="E7EEEF"/>
            <w:vAlign w:val="center"/>
            <w:hideMark/>
          </w:tcPr>
          <w:p w14:paraId="18070FF6"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2.5</w:t>
            </w:r>
            <w:r w:rsidRPr="002E7FB2">
              <w:rPr>
                <w:rFonts w:ascii="Calibri" w:eastAsia="Times New Roman" w:hAnsi="Calibri" w:cs="Calibri"/>
                <w:color w:val="000000"/>
                <w:sz w:val="20"/>
                <w:lang w:eastAsia="en-GB"/>
              </w:rPr>
              <w:t>%</w:t>
            </w:r>
          </w:p>
        </w:tc>
        <w:tc>
          <w:tcPr>
            <w:tcW w:w="1802" w:type="dxa"/>
            <w:tcBorders>
              <w:top w:val="nil"/>
              <w:left w:val="single" w:sz="8" w:space="0" w:color="FFFFFF"/>
              <w:bottom w:val="single" w:sz="12" w:space="0" w:color="FFFFFF"/>
              <w:right w:val="single" w:sz="12" w:space="0" w:color="FFFFFF"/>
            </w:tcBorders>
            <w:shd w:val="clear" w:color="000000" w:fill="E7EEEF"/>
            <w:vAlign w:val="center"/>
            <w:hideMark/>
          </w:tcPr>
          <w:p w14:paraId="61FC160C"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2.5</w:t>
            </w:r>
            <w:r w:rsidRPr="002E7FB2">
              <w:rPr>
                <w:rFonts w:ascii="Calibri" w:eastAsia="Times New Roman" w:hAnsi="Calibri" w:cs="Calibri"/>
                <w:color w:val="000000"/>
                <w:sz w:val="20"/>
                <w:lang w:eastAsia="en-GB"/>
              </w:rPr>
              <w:t>%</w:t>
            </w:r>
          </w:p>
        </w:tc>
        <w:tc>
          <w:tcPr>
            <w:tcW w:w="1803" w:type="dxa"/>
            <w:tcBorders>
              <w:top w:val="nil"/>
              <w:left w:val="single" w:sz="8" w:space="0" w:color="FFFFFF"/>
              <w:bottom w:val="single" w:sz="12" w:space="0" w:color="FFFFFF"/>
              <w:right w:val="single" w:sz="12" w:space="0" w:color="FFFFFF"/>
            </w:tcBorders>
            <w:shd w:val="clear" w:color="000000" w:fill="E7EEEF"/>
            <w:vAlign w:val="center"/>
            <w:hideMark/>
          </w:tcPr>
          <w:p w14:paraId="1EE6C7B7"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2.6</w:t>
            </w:r>
            <w:r w:rsidRPr="002E7FB2">
              <w:rPr>
                <w:rFonts w:ascii="Calibri" w:eastAsia="Times New Roman" w:hAnsi="Calibri" w:cs="Calibri"/>
                <w:color w:val="000000"/>
                <w:sz w:val="20"/>
                <w:lang w:eastAsia="en-GB"/>
              </w:rPr>
              <w:t>%</w:t>
            </w:r>
          </w:p>
        </w:tc>
      </w:tr>
    </w:tbl>
    <w:p w14:paraId="0F923018" w14:textId="77777777" w:rsidR="003C1C00" w:rsidRDefault="003C1C00" w:rsidP="003C1C00">
      <w:pPr>
        <w:jc w:val="right"/>
      </w:pPr>
      <w:r>
        <w:rPr>
          <w:i/>
          <w:sz w:val="18"/>
        </w:rPr>
        <w:t>Source: UK Major Ports Group data on investment, United Nations, Eurostat, HMRC Overseas Trade Statistics, Cebr analysis</w:t>
      </w:r>
    </w:p>
    <w:p w14:paraId="764BC8B4" w14:textId="77777777" w:rsidR="003C1C00" w:rsidRDefault="003C1C00" w:rsidP="003C1C00">
      <w:r>
        <w:t xml:space="preserve">In addition to this, we have calculated an aggregate revenue impact from the port freight investment. This has been done through applying an aggregate revenue multiplier consistent with the rest of the industry analysis. This multiplier includes the direct, indirect and induced impacts from the investment. The direct impact is the immediate effect of the investment on the port industry, via the increase in capacity. The indirect effect of the investment is the impact through the supply chain of the ports industry, impacting suppliers and producers. Finally, the induced impact is the effect on the producers and suppliers employees up the supply chain of the ports industry. Using this analysis provides a wider view of the potential impact of the port freight investment compared to only looking into the direct effect. </w:t>
      </w:r>
    </w:p>
    <w:p w14:paraId="545FA63D" w14:textId="77777777" w:rsidR="003C1C00" w:rsidRDefault="003C1C00" w:rsidP="003C1C00">
      <w:r>
        <w:t xml:space="preserve">As such, </w:t>
      </w:r>
      <w:r>
        <w:fldChar w:fldCharType="begin"/>
      </w:r>
      <w:r>
        <w:instrText xml:space="preserve"> REF _Ref15466072 \h </w:instrText>
      </w:r>
      <w:r>
        <w:fldChar w:fldCharType="separate"/>
      </w:r>
      <w:r>
        <w:t xml:space="preserve">Table </w:t>
      </w:r>
      <w:r>
        <w:rPr>
          <w:noProof/>
        </w:rPr>
        <w:t>7</w:t>
      </w:r>
      <w:r>
        <w:fldChar w:fldCharType="end"/>
      </w:r>
      <w:r>
        <w:t xml:space="preserve"> below presents the aggregate revenue impact from port freight investment under Scenario 1). It is clear that the aggregate impact of the investment is significant under the actual CapEx, amounting to £274 million, £168 million greater than the direct impact found in </w:t>
      </w:r>
      <w:r>
        <w:fldChar w:fldCharType="begin"/>
      </w:r>
      <w:r>
        <w:instrText xml:space="preserve"> REF _Ref15464059 \h </w:instrText>
      </w:r>
      <w:r>
        <w:fldChar w:fldCharType="separate"/>
      </w:r>
      <w:r>
        <w:t xml:space="preserve">Table </w:t>
      </w:r>
      <w:r>
        <w:rPr>
          <w:noProof/>
        </w:rPr>
        <w:t>6</w:t>
      </w:r>
      <w:r>
        <w:fldChar w:fldCharType="end"/>
      </w:r>
      <w:r>
        <w:t>. If CapEx had been 40% greater in 2017, the aggregate revenue impact would have been £44 million greater, equating to 2.6% of the aggregate revenue impact of the ports industry, 0.4% more than the actual CapEx impact proportion.</w:t>
      </w:r>
    </w:p>
    <w:p w14:paraId="74794DF2" w14:textId="77777777" w:rsidR="003C1C00" w:rsidRDefault="003C1C00" w:rsidP="003C1C00">
      <w:pPr>
        <w:pStyle w:val="Caption"/>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Port Freight Investment aggregate impact on revenue under Scenario 1)</w:t>
      </w:r>
    </w:p>
    <w:tbl>
      <w:tblPr>
        <w:tblW w:w="9068" w:type="dxa"/>
        <w:tblLayout w:type="fixed"/>
        <w:tblLook w:val="04A0" w:firstRow="1" w:lastRow="0" w:firstColumn="1" w:lastColumn="0" w:noHBand="0" w:noVBand="1"/>
      </w:tblPr>
      <w:tblGrid>
        <w:gridCol w:w="1924"/>
        <w:gridCol w:w="1783"/>
        <w:gridCol w:w="1783"/>
        <w:gridCol w:w="1783"/>
        <w:gridCol w:w="1783"/>
        <w:gridCol w:w="12"/>
      </w:tblGrid>
      <w:tr w:rsidR="003C1C00" w:rsidRPr="002E7FB2" w14:paraId="59ABDCF2" w14:textId="77777777" w:rsidTr="006F0DCB">
        <w:trPr>
          <w:trHeight w:val="306"/>
        </w:trPr>
        <w:tc>
          <w:tcPr>
            <w:tcW w:w="1924" w:type="dxa"/>
            <w:tcBorders>
              <w:top w:val="nil"/>
              <w:left w:val="nil"/>
              <w:bottom w:val="nil"/>
              <w:right w:val="nil"/>
            </w:tcBorders>
            <w:shd w:val="clear" w:color="auto" w:fill="auto"/>
            <w:noWrap/>
            <w:vAlign w:val="bottom"/>
            <w:hideMark/>
          </w:tcPr>
          <w:p w14:paraId="6CB02A4F" w14:textId="77777777" w:rsidR="003C1C00" w:rsidRPr="002E7FB2" w:rsidRDefault="003C1C00" w:rsidP="006F0DCB">
            <w:pPr>
              <w:spacing w:after="0"/>
              <w:rPr>
                <w:rFonts w:ascii="Times New Roman" w:eastAsia="Times New Roman" w:hAnsi="Times New Roman"/>
                <w:sz w:val="20"/>
                <w:szCs w:val="24"/>
                <w:lang w:eastAsia="en-GB"/>
              </w:rPr>
            </w:pPr>
          </w:p>
        </w:tc>
        <w:tc>
          <w:tcPr>
            <w:tcW w:w="7144" w:type="dxa"/>
            <w:gridSpan w:val="5"/>
            <w:tcBorders>
              <w:top w:val="nil"/>
              <w:left w:val="nil"/>
              <w:bottom w:val="single" w:sz="8" w:space="0" w:color="FFFFFF"/>
              <w:right w:val="single" w:sz="8" w:space="0" w:color="FFFFFF"/>
            </w:tcBorders>
            <w:shd w:val="clear" w:color="000000" w:fill="008C9B"/>
            <w:vAlign w:val="center"/>
            <w:hideMark/>
          </w:tcPr>
          <w:p w14:paraId="3D53FA08" w14:textId="77777777" w:rsidR="003C1C00" w:rsidRPr="002E7FB2" w:rsidRDefault="003C1C00" w:rsidP="006F0DCB">
            <w:pPr>
              <w:spacing w:after="0"/>
              <w:jc w:val="center"/>
              <w:rPr>
                <w:rFonts w:ascii="Calibri" w:eastAsia="Times New Roman" w:hAnsi="Calibri" w:cs="Calibri"/>
                <w:b/>
                <w:bCs/>
                <w:color w:val="FFFFFF"/>
                <w:sz w:val="20"/>
                <w:lang w:eastAsia="en-GB"/>
              </w:rPr>
            </w:pPr>
            <w:r w:rsidRPr="002E7FB2">
              <w:rPr>
                <w:rFonts w:ascii="Calibri" w:eastAsia="Times New Roman" w:hAnsi="Calibri" w:cs="Calibri"/>
                <w:b/>
                <w:bCs/>
                <w:color w:val="FFFFFF"/>
                <w:sz w:val="20"/>
                <w:lang w:eastAsia="en-GB"/>
              </w:rPr>
              <w:t xml:space="preserve">Scenario 1) </w:t>
            </w:r>
            <w:r>
              <w:rPr>
                <w:rFonts w:ascii="Calibri" w:eastAsia="Times New Roman" w:hAnsi="Calibri" w:cs="Calibri"/>
                <w:b/>
                <w:bCs/>
                <w:color w:val="FFFFFF"/>
                <w:sz w:val="20"/>
                <w:lang w:eastAsia="en-GB"/>
              </w:rPr>
              <w:t>Aggregate</w:t>
            </w:r>
            <w:r w:rsidRPr="002E7FB2">
              <w:rPr>
                <w:rFonts w:ascii="Calibri" w:eastAsia="Times New Roman" w:hAnsi="Calibri" w:cs="Calibri"/>
                <w:b/>
                <w:bCs/>
                <w:color w:val="FFFFFF"/>
                <w:sz w:val="20"/>
                <w:lang w:eastAsia="en-GB"/>
              </w:rPr>
              <w:t xml:space="preserve"> revenue impact, £m</w:t>
            </w:r>
          </w:p>
        </w:tc>
      </w:tr>
      <w:tr w:rsidR="003C1C00" w:rsidRPr="002E7FB2" w14:paraId="75DFF556" w14:textId="77777777" w:rsidTr="006F0DCB">
        <w:trPr>
          <w:gridAfter w:val="1"/>
          <w:wAfter w:w="12" w:type="dxa"/>
          <w:trHeight w:val="424"/>
        </w:trPr>
        <w:tc>
          <w:tcPr>
            <w:tcW w:w="1924" w:type="dxa"/>
            <w:tcBorders>
              <w:top w:val="nil"/>
              <w:left w:val="nil"/>
              <w:bottom w:val="nil"/>
              <w:right w:val="nil"/>
            </w:tcBorders>
            <w:shd w:val="clear" w:color="auto" w:fill="auto"/>
            <w:noWrap/>
            <w:vAlign w:val="bottom"/>
            <w:hideMark/>
          </w:tcPr>
          <w:p w14:paraId="31481A2A" w14:textId="77777777" w:rsidR="003C1C00" w:rsidRPr="002E7FB2" w:rsidRDefault="003C1C00" w:rsidP="006F0DCB">
            <w:pPr>
              <w:spacing w:after="0"/>
              <w:jc w:val="center"/>
              <w:rPr>
                <w:rFonts w:ascii="Calibri" w:eastAsia="Times New Roman" w:hAnsi="Calibri" w:cs="Calibri"/>
                <w:b/>
                <w:bCs/>
                <w:color w:val="FFFFFF"/>
                <w:sz w:val="20"/>
                <w:lang w:eastAsia="en-GB"/>
              </w:rPr>
            </w:pPr>
          </w:p>
        </w:tc>
        <w:tc>
          <w:tcPr>
            <w:tcW w:w="1783" w:type="dxa"/>
            <w:tcBorders>
              <w:top w:val="nil"/>
              <w:left w:val="nil"/>
              <w:bottom w:val="single" w:sz="8" w:space="0" w:color="FFFFFF"/>
              <w:right w:val="single" w:sz="8" w:space="0" w:color="FFFFFF"/>
            </w:tcBorders>
            <w:shd w:val="clear" w:color="000000" w:fill="008C9B"/>
            <w:vAlign w:val="center"/>
            <w:hideMark/>
          </w:tcPr>
          <w:p w14:paraId="36208677"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Standard CapEx</w:t>
            </w:r>
          </w:p>
        </w:tc>
        <w:tc>
          <w:tcPr>
            <w:tcW w:w="1783" w:type="dxa"/>
            <w:tcBorders>
              <w:top w:val="nil"/>
              <w:left w:val="nil"/>
              <w:bottom w:val="single" w:sz="8" w:space="0" w:color="FFFFFF"/>
              <w:right w:val="single" w:sz="8" w:space="0" w:color="FFFFFF"/>
            </w:tcBorders>
            <w:shd w:val="clear" w:color="000000" w:fill="008C9B"/>
            <w:vAlign w:val="center"/>
            <w:hideMark/>
          </w:tcPr>
          <w:p w14:paraId="18D34878"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+ 10%</w:t>
            </w:r>
          </w:p>
        </w:tc>
        <w:tc>
          <w:tcPr>
            <w:tcW w:w="1783" w:type="dxa"/>
            <w:tcBorders>
              <w:top w:val="nil"/>
              <w:left w:val="nil"/>
              <w:bottom w:val="single" w:sz="8" w:space="0" w:color="FFFFFF"/>
              <w:right w:val="single" w:sz="8" w:space="0" w:color="FFFFFF"/>
            </w:tcBorders>
            <w:shd w:val="clear" w:color="000000" w:fill="008C9B"/>
            <w:vAlign w:val="center"/>
            <w:hideMark/>
          </w:tcPr>
          <w:p w14:paraId="7C8FD0C6"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+ 20%</w:t>
            </w:r>
          </w:p>
        </w:tc>
        <w:tc>
          <w:tcPr>
            <w:tcW w:w="1783" w:type="dxa"/>
            <w:tcBorders>
              <w:top w:val="nil"/>
              <w:left w:val="nil"/>
              <w:bottom w:val="single" w:sz="8" w:space="0" w:color="FFFFFF"/>
              <w:right w:val="single" w:sz="8" w:space="0" w:color="FFFFFF"/>
            </w:tcBorders>
            <w:shd w:val="clear" w:color="000000" w:fill="008C9B"/>
            <w:vAlign w:val="center"/>
            <w:hideMark/>
          </w:tcPr>
          <w:p w14:paraId="34492A13"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+ 40%</w:t>
            </w:r>
          </w:p>
        </w:tc>
      </w:tr>
      <w:tr w:rsidR="003C1C00" w:rsidRPr="002E7FB2" w14:paraId="76B6D28D" w14:textId="77777777" w:rsidTr="006F0DCB">
        <w:trPr>
          <w:gridAfter w:val="1"/>
          <w:wAfter w:w="12" w:type="dxa"/>
          <w:trHeight w:val="514"/>
        </w:trPr>
        <w:tc>
          <w:tcPr>
            <w:tcW w:w="1924"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2BD3EDAA" w14:textId="77777777" w:rsidR="003C1C00" w:rsidRPr="002E7FB2" w:rsidRDefault="003C1C00" w:rsidP="006F0DCB">
            <w:pPr>
              <w:spacing w:after="0"/>
              <w:jc w:val="center"/>
              <w:rPr>
                <w:rFonts w:ascii="Calibri" w:eastAsia="Times New Roman" w:hAnsi="Calibri" w:cs="Calibri"/>
                <w:b/>
                <w:bCs/>
                <w:color w:val="FFFFFF"/>
                <w:sz w:val="20"/>
                <w:lang w:eastAsia="en-GB"/>
              </w:rPr>
            </w:pPr>
            <w:r w:rsidRPr="002E7FB2">
              <w:rPr>
                <w:rFonts w:ascii="Calibri" w:eastAsia="Times New Roman" w:hAnsi="Calibri" w:cs="Calibri"/>
                <w:b/>
                <w:bCs/>
                <w:color w:val="FFFFFF"/>
                <w:sz w:val="20"/>
                <w:lang w:eastAsia="en-GB"/>
              </w:rPr>
              <w:t>2015</w:t>
            </w:r>
          </w:p>
        </w:tc>
        <w:tc>
          <w:tcPr>
            <w:tcW w:w="1783" w:type="dxa"/>
            <w:tcBorders>
              <w:top w:val="nil"/>
              <w:left w:val="nil"/>
              <w:bottom w:val="single" w:sz="8" w:space="0" w:color="FFFFFF"/>
              <w:right w:val="single" w:sz="8" w:space="0" w:color="FFFFFF"/>
            </w:tcBorders>
            <w:shd w:val="clear" w:color="000000" w:fill="D0CECE"/>
            <w:vAlign w:val="center"/>
          </w:tcPr>
          <w:p w14:paraId="7C514B53"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262</w:t>
            </w:r>
          </w:p>
        </w:tc>
        <w:tc>
          <w:tcPr>
            <w:tcW w:w="1783" w:type="dxa"/>
            <w:tcBorders>
              <w:top w:val="nil"/>
              <w:left w:val="nil"/>
              <w:bottom w:val="single" w:sz="8" w:space="0" w:color="FFFFFF"/>
              <w:right w:val="single" w:sz="8" w:space="0" w:color="FFFFFF"/>
            </w:tcBorders>
            <w:shd w:val="clear" w:color="000000" w:fill="D0CECE"/>
            <w:vAlign w:val="center"/>
          </w:tcPr>
          <w:p w14:paraId="55C3B4AC"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289</w:t>
            </w:r>
          </w:p>
        </w:tc>
        <w:tc>
          <w:tcPr>
            <w:tcW w:w="1783" w:type="dxa"/>
            <w:tcBorders>
              <w:top w:val="nil"/>
              <w:left w:val="nil"/>
              <w:bottom w:val="single" w:sz="8" w:space="0" w:color="FFFFFF"/>
              <w:right w:val="single" w:sz="8" w:space="0" w:color="FFFFFF"/>
            </w:tcBorders>
            <w:shd w:val="clear" w:color="000000" w:fill="D0CECE"/>
            <w:vAlign w:val="center"/>
          </w:tcPr>
          <w:p w14:paraId="4FF71EB3"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315</w:t>
            </w:r>
          </w:p>
        </w:tc>
        <w:tc>
          <w:tcPr>
            <w:tcW w:w="1783" w:type="dxa"/>
            <w:tcBorders>
              <w:top w:val="nil"/>
              <w:left w:val="nil"/>
              <w:bottom w:val="single" w:sz="8" w:space="0" w:color="FFFFFF"/>
              <w:right w:val="single" w:sz="8" w:space="0" w:color="FFFFFF"/>
            </w:tcBorders>
            <w:shd w:val="clear" w:color="000000" w:fill="D0CECE"/>
            <w:vAlign w:val="center"/>
          </w:tcPr>
          <w:p w14:paraId="5661884D"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367</w:t>
            </w:r>
          </w:p>
        </w:tc>
      </w:tr>
      <w:tr w:rsidR="003C1C00" w:rsidRPr="002E7FB2" w14:paraId="31A17D76" w14:textId="77777777" w:rsidTr="006F0DCB">
        <w:trPr>
          <w:gridAfter w:val="1"/>
          <w:wAfter w:w="12" w:type="dxa"/>
          <w:trHeight w:val="514"/>
        </w:trPr>
        <w:tc>
          <w:tcPr>
            <w:tcW w:w="1924"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5EB87098" w14:textId="77777777" w:rsidR="003C1C00" w:rsidRPr="002E7FB2" w:rsidRDefault="003C1C00" w:rsidP="006F0DCB">
            <w:pPr>
              <w:spacing w:after="0"/>
              <w:jc w:val="center"/>
              <w:rPr>
                <w:rFonts w:ascii="Calibri" w:eastAsia="Times New Roman" w:hAnsi="Calibri" w:cs="Calibri"/>
                <w:b/>
                <w:bCs/>
                <w:color w:val="FFFFFF"/>
                <w:sz w:val="20"/>
                <w:lang w:eastAsia="en-GB"/>
              </w:rPr>
            </w:pPr>
            <w:r w:rsidRPr="002E7FB2">
              <w:rPr>
                <w:rFonts w:ascii="Calibri" w:eastAsia="Times New Roman" w:hAnsi="Calibri" w:cs="Calibri"/>
                <w:b/>
                <w:bCs/>
                <w:color w:val="FFFFFF"/>
                <w:sz w:val="20"/>
                <w:lang w:eastAsia="en-GB"/>
              </w:rPr>
              <w:t>2016</w:t>
            </w:r>
          </w:p>
        </w:tc>
        <w:tc>
          <w:tcPr>
            <w:tcW w:w="1783" w:type="dxa"/>
            <w:tcBorders>
              <w:top w:val="nil"/>
              <w:left w:val="single" w:sz="8" w:space="0" w:color="FFFFFF"/>
              <w:bottom w:val="single" w:sz="12" w:space="0" w:color="FFFFFF"/>
              <w:right w:val="single" w:sz="12" w:space="0" w:color="FFFFFF"/>
            </w:tcBorders>
            <w:shd w:val="clear" w:color="000000" w:fill="E7EEEF"/>
            <w:vAlign w:val="center"/>
          </w:tcPr>
          <w:p w14:paraId="64C45D58"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282</w:t>
            </w:r>
          </w:p>
        </w:tc>
        <w:tc>
          <w:tcPr>
            <w:tcW w:w="1783" w:type="dxa"/>
            <w:tcBorders>
              <w:top w:val="nil"/>
              <w:left w:val="single" w:sz="8" w:space="0" w:color="FFFFFF"/>
              <w:bottom w:val="single" w:sz="12" w:space="0" w:color="FFFFFF"/>
              <w:right w:val="single" w:sz="12" w:space="0" w:color="FFFFFF"/>
            </w:tcBorders>
            <w:shd w:val="clear" w:color="000000" w:fill="E7EEEF"/>
            <w:vAlign w:val="center"/>
          </w:tcPr>
          <w:p w14:paraId="5C3DE8E9"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288</w:t>
            </w:r>
          </w:p>
        </w:tc>
        <w:tc>
          <w:tcPr>
            <w:tcW w:w="1783" w:type="dxa"/>
            <w:tcBorders>
              <w:top w:val="nil"/>
              <w:left w:val="single" w:sz="8" w:space="0" w:color="FFFFFF"/>
              <w:bottom w:val="single" w:sz="12" w:space="0" w:color="FFFFFF"/>
              <w:right w:val="single" w:sz="12" w:space="0" w:color="FFFFFF"/>
            </w:tcBorders>
            <w:shd w:val="clear" w:color="000000" w:fill="E7EEEF"/>
            <w:vAlign w:val="center"/>
          </w:tcPr>
          <w:p w14:paraId="4E1D1AB8"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291</w:t>
            </w:r>
          </w:p>
        </w:tc>
        <w:tc>
          <w:tcPr>
            <w:tcW w:w="1783" w:type="dxa"/>
            <w:tcBorders>
              <w:top w:val="nil"/>
              <w:left w:val="single" w:sz="8" w:space="0" w:color="FFFFFF"/>
              <w:bottom w:val="single" w:sz="12" w:space="0" w:color="FFFFFF"/>
              <w:right w:val="single" w:sz="12" w:space="0" w:color="FFFFFF"/>
            </w:tcBorders>
            <w:shd w:val="clear" w:color="000000" w:fill="E7EEEF"/>
            <w:vAlign w:val="center"/>
          </w:tcPr>
          <w:p w14:paraId="4D96EA25"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297</w:t>
            </w:r>
          </w:p>
        </w:tc>
      </w:tr>
      <w:tr w:rsidR="003C1C00" w:rsidRPr="002E7FB2" w14:paraId="00E6CC00" w14:textId="77777777" w:rsidTr="006F0DCB">
        <w:trPr>
          <w:gridAfter w:val="1"/>
          <w:wAfter w:w="12" w:type="dxa"/>
          <w:trHeight w:val="514"/>
        </w:trPr>
        <w:tc>
          <w:tcPr>
            <w:tcW w:w="1924"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1B56E08D" w14:textId="77777777" w:rsidR="003C1C00" w:rsidRPr="002E7FB2" w:rsidRDefault="003C1C00" w:rsidP="006F0DCB">
            <w:pPr>
              <w:spacing w:after="0"/>
              <w:jc w:val="center"/>
              <w:rPr>
                <w:rFonts w:ascii="Calibri" w:eastAsia="Times New Roman" w:hAnsi="Calibri" w:cs="Calibri"/>
                <w:b/>
                <w:bCs/>
                <w:color w:val="FFFFFF"/>
                <w:sz w:val="20"/>
                <w:lang w:eastAsia="en-GB"/>
              </w:rPr>
            </w:pPr>
            <w:r w:rsidRPr="002E7FB2">
              <w:rPr>
                <w:rFonts w:ascii="Calibri" w:eastAsia="Times New Roman" w:hAnsi="Calibri" w:cs="Calibri"/>
                <w:b/>
                <w:bCs/>
                <w:color w:val="FFFFFF"/>
                <w:sz w:val="20"/>
                <w:lang w:eastAsia="en-GB"/>
              </w:rPr>
              <w:t>2017</w:t>
            </w:r>
          </w:p>
        </w:tc>
        <w:tc>
          <w:tcPr>
            <w:tcW w:w="1783" w:type="dxa"/>
            <w:tcBorders>
              <w:top w:val="nil"/>
              <w:left w:val="nil"/>
              <w:bottom w:val="single" w:sz="8" w:space="0" w:color="FFFFFF"/>
              <w:right w:val="single" w:sz="8" w:space="0" w:color="FFFFFF"/>
            </w:tcBorders>
            <w:shd w:val="clear" w:color="000000" w:fill="D0CECE"/>
            <w:vAlign w:val="center"/>
          </w:tcPr>
          <w:p w14:paraId="6EF13C0A"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274</w:t>
            </w:r>
          </w:p>
        </w:tc>
        <w:tc>
          <w:tcPr>
            <w:tcW w:w="1783" w:type="dxa"/>
            <w:tcBorders>
              <w:top w:val="nil"/>
              <w:left w:val="nil"/>
              <w:bottom w:val="single" w:sz="8" w:space="0" w:color="FFFFFF"/>
              <w:right w:val="single" w:sz="8" w:space="0" w:color="FFFFFF"/>
            </w:tcBorders>
            <w:shd w:val="clear" w:color="000000" w:fill="D0CECE"/>
            <w:vAlign w:val="center"/>
          </w:tcPr>
          <w:p w14:paraId="37993C07"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309</w:t>
            </w:r>
          </w:p>
        </w:tc>
        <w:tc>
          <w:tcPr>
            <w:tcW w:w="1783" w:type="dxa"/>
            <w:tcBorders>
              <w:top w:val="nil"/>
              <w:left w:val="nil"/>
              <w:bottom w:val="single" w:sz="8" w:space="0" w:color="FFFFFF"/>
              <w:right w:val="single" w:sz="8" w:space="0" w:color="FFFFFF"/>
            </w:tcBorders>
            <w:shd w:val="clear" w:color="000000" w:fill="D0CECE"/>
            <w:vAlign w:val="center"/>
          </w:tcPr>
          <w:p w14:paraId="0CA09DB5"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312</w:t>
            </w:r>
          </w:p>
        </w:tc>
        <w:tc>
          <w:tcPr>
            <w:tcW w:w="1783" w:type="dxa"/>
            <w:tcBorders>
              <w:top w:val="nil"/>
              <w:left w:val="nil"/>
              <w:bottom w:val="single" w:sz="8" w:space="0" w:color="FFFFFF"/>
              <w:right w:val="single" w:sz="8" w:space="0" w:color="FFFFFF"/>
            </w:tcBorders>
            <w:shd w:val="clear" w:color="000000" w:fill="D0CECE"/>
            <w:vAlign w:val="center"/>
          </w:tcPr>
          <w:p w14:paraId="08CECEF9"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318</w:t>
            </w:r>
          </w:p>
        </w:tc>
      </w:tr>
      <w:tr w:rsidR="003C1C00" w:rsidRPr="002E7FB2" w14:paraId="4DC9FAFB" w14:textId="77777777" w:rsidTr="006F0DCB">
        <w:trPr>
          <w:gridAfter w:val="1"/>
          <w:wAfter w:w="12" w:type="dxa"/>
          <w:trHeight w:val="727"/>
        </w:trPr>
        <w:tc>
          <w:tcPr>
            <w:tcW w:w="1924"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312CCF8D"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 xml:space="preserve">2017 investment revenue as % of </w:t>
            </w:r>
            <w:r>
              <w:rPr>
                <w:rFonts w:ascii="Calibri" w:eastAsia="Times New Roman" w:hAnsi="Calibri" w:cs="Calibri"/>
                <w:b/>
                <w:bCs/>
                <w:color w:val="FFFFFF"/>
                <w:sz w:val="20"/>
                <w:lang w:eastAsia="en-GB"/>
              </w:rPr>
              <w:lastRenderedPageBreak/>
              <w:t>ports industry revenue</w:t>
            </w:r>
          </w:p>
        </w:tc>
        <w:tc>
          <w:tcPr>
            <w:tcW w:w="1783" w:type="dxa"/>
            <w:tcBorders>
              <w:top w:val="nil"/>
              <w:left w:val="single" w:sz="8" w:space="0" w:color="FFFFFF"/>
              <w:bottom w:val="single" w:sz="12" w:space="0" w:color="FFFFFF"/>
              <w:right w:val="single" w:sz="12" w:space="0" w:color="FFFFFF"/>
            </w:tcBorders>
            <w:shd w:val="clear" w:color="000000" w:fill="E7EEEF"/>
            <w:vAlign w:val="center"/>
          </w:tcPr>
          <w:p w14:paraId="1F232CDE"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lastRenderedPageBreak/>
              <w:t>2.2%</w:t>
            </w:r>
          </w:p>
        </w:tc>
        <w:tc>
          <w:tcPr>
            <w:tcW w:w="1783" w:type="dxa"/>
            <w:tcBorders>
              <w:top w:val="nil"/>
              <w:left w:val="single" w:sz="8" w:space="0" w:color="FFFFFF"/>
              <w:bottom w:val="single" w:sz="12" w:space="0" w:color="FFFFFF"/>
              <w:right w:val="single" w:sz="12" w:space="0" w:color="FFFFFF"/>
            </w:tcBorders>
            <w:shd w:val="clear" w:color="000000" w:fill="E7EEEF"/>
            <w:vAlign w:val="center"/>
          </w:tcPr>
          <w:p w14:paraId="237CFB0F"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2.5%</w:t>
            </w:r>
          </w:p>
        </w:tc>
        <w:tc>
          <w:tcPr>
            <w:tcW w:w="1783" w:type="dxa"/>
            <w:tcBorders>
              <w:top w:val="nil"/>
              <w:left w:val="single" w:sz="8" w:space="0" w:color="FFFFFF"/>
              <w:bottom w:val="single" w:sz="12" w:space="0" w:color="FFFFFF"/>
              <w:right w:val="single" w:sz="12" w:space="0" w:color="FFFFFF"/>
            </w:tcBorders>
            <w:shd w:val="clear" w:color="000000" w:fill="E7EEEF"/>
            <w:vAlign w:val="center"/>
          </w:tcPr>
          <w:p w14:paraId="0CB82556"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2.5%</w:t>
            </w:r>
          </w:p>
        </w:tc>
        <w:tc>
          <w:tcPr>
            <w:tcW w:w="1783" w:type="dxa"/>
            <w:tcBorders>
              <w:top w:val="nil"/>
              <w:left w:val="single" w:sz="8" w:space="0" w:color="FFFFFF"/>
              <w:bottom w:val="single" w:sz="12" w:space="0" w:color="FFFFFF"/>
              <w:right w:val="single" w:sz="12" w:space="0" w:color="FFFFFF"/>
            </w:tcBorders>
            <w:shd w:val="clear" w:color="000000" w:fill="E7EEEF"/>
            <w:vAlign w:val="center"/>
          </w:tcPr>
          <w:p w14:paraId="0F7D1CE3" w14:textId="77777777" w:rsidR="003C1C00" w:rsidRPr="002E7FB2"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2.6%</w:t>
            </w:r>
          </w:p>
        </w:tc>
      </w:tr>
    </w:tbl>
    <w:p w14:paraId="58AE4E74" w14:textId="77777777" w:rsidR="003C1C00" w:rsidRDefault="003C1C00" w:rsidP="003C1C00">
      <w:pPr>
        <w:jc w:val="right"/>
      </w:pPr>
      <w:r>
        <w:rPr>
          <w:i/>
          <w:sz w:val="18"/>
        </w:rPr>
        <w:t>Source: UK Major Ports Group data on investment, United Nations, Eurostat, HMRC Overseas Trade Statistics, Cebr analysis</w:t>
      </w:r>
    </w:p>
    <w:p w14:paraId="3204A370" w14:textId="77777777" w:rsidR="003C1C00" w:rsidRDefault="003C1C00" w:rsidP="003C1C00">
      <w:r>
        <w:t xml:space="preserve">The aggregate revenue impact from the port freight investment means that in 2017 for every £1 invested, a further £0.54 is supported in revenue. </w:t>
      </w:r>
    </w:p>
    <w:p w14:paraId="76FEDDB8" w14:textId="77777777" w:rsidR="003C1C00" w:rsidRDefault="003C1C00" w:rsidP="003C1C00">
      <w:r>
        <w:t xml:space="preserve">As before, the same analysis has been conducted for Scenario 2) which provides a slightly more conservative estimate of the impact of port freight investment. This is detailed below in </w:t>
      </w:r>
      <w:r>
        <w:fldChar w:fldCharType="begin"/>
      </w:r>
      <w:r>
        <w:instrText xml:space="preserve"> REF _Ref15473943 \h </w:instrText>
      </w:r>
      <w:r>
        <w:fldChar w:fldCharType="separate"/>
      </w:r>
      <w:r>
        <w:t xml:space="preserve">Table </w:t>
      </w:r>
      <w:r>
        <w:rPr>
          <w:noProof/>
        </w:rPr>
        <w:t>8</w:t>
      </w:r>
      <w:r>
        <w:fldChar w:fldCharType="end"/>
      </w:r>
      <w:r>
        <w:t xml:space="preserve"> and </w:t>
      </w:r>
      <w:r>
        <w:fldChar w:fldCharType="begin"/>
      </w:r>
      <w:r>
        <w:instrText xml:space="preserve"> REF _Ref15473945 \h </w:instrText>
      </w:r>
      <w:r>
        <w:fldChar w:fldCharType="separate"/>
      </w:r>
      <w:r>
        <w:t xml:space="preserve">Table </w:t>
      </w:r>
      <w:r>
        <w:rPr>
          <w:noProof/>
        </w:rPr>
        <w:t>9</w:t>
      </w:r>
      <w:r>
        <w:fldChar w:fldCharType="end"/>
      </w:r>
      <w:r>
        <w:t xml:space="preserve"> for the direct and aggregate impacts respectively. Notably, under this scenario, the direct revenue impact is approximately £20 million less than in Scenario 1) for the actual CapEx each year, accounting for 1.8% of the total ports industry revenue in 2017 compared to 2.2%. </w:t>
      </w:r>
    </w:p>
    <w:p w14:paraId="2A8CDA79" w14:textId="77777777" w:rsidR="003C1C00" w:rsidRDefault="003C1C00" w:rsidP="003C1C00"/>
    <w:p w14:paraId="78A62CE5" w14:textId="77777777" w:rsidR="003C1C00" w:rsidRDefault="003C1C00" w:rsidP="003C1C00"/>
    <w:p w14:paraId="1A153E56" w14:textId="77777777" w:rsidR="003C1C00" w:rsidRDefault="003C1C00" w:rsidP="003C1C00">
      <w:pPr>
        <w:pStyle w:val="Caption"/>
        <w:rPr>
          <w:i w:val="0"/>
          <w:iCs w:val="0"/>
          <w:color w:val="auto"/>
          <w:sz w:val="22"/>
          <w:szCs w:val="20"/>
        </w:rPr>
      </w:pPr>
    </w:p>
    <w:p w14:paraId="3C052782" w14:textId="77777777" w:rsidR="003C1C00" w:rsidRDefault="003C1C00" w:rsidP="003C1C00">
      <w:pPr>
        <w:pStyle w:val="Caption"/>
      </w:pPr>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t>:</w:t>
      </w:r>
      <w:r w:rsidRPr="00C3294A">
        <w:t xml:space="preserve"> </w:t>
      </w:r>
      <w:r>
        <w:t>Port Freight Investment direct impact on revenue under Scenario 2)</w:t>
      </w:r>
    </w:p>
    <w:tbl>
      <w:tblPr>
        <w:tblW w:w="9064" w:type="dxa"/>
        <w:tblLook w:val="04A0" w:firstRow="1" w:lastRow="0" w:firstColumn="1" w:lastColumn="0" w:noHBand="0" w:noVBand="1"/>
      </w:tblPr>
      <w:tblGrid>
        <w:gridCol w:w="1916"/>
        <w:gridCol w:w="1934"/>
        <w:gridCol w:w="1737"/>
        <w:gridCol w:w="1737"/>
        <w:gridCol w:w="1740"/>
      </w:tblGrid>
      <w:tr w:rsidR="003C1C00" w:rsidRPr="000D7FA1" w14:paraId="274BA865" w14:textId="77777777" w:rsidTr="006F0DCB">
        <w:trPr>
          <w:trHeight w:val="384"/>
        </w:trPr>
        <w:tc>
          <w:tcPr>
            <w:tcW w:w="1916" w:type="dxa"/>
            <w:tcBorders>
              <w:top w:val="nil"/>
              <w:left w:val="nil"/>
              <w:bottom w:val="nil"/>
              <w:right w:val="nil"/>
            </w:tcBorders>
            <w:shd w:val="clear" w:color="auto" w:fill="auto"/>
            <w:noWrap/>
            <w:vAlign w:val="bottom"/>
            <w:hideMark/>
          </w:tcPr>
          <w:p w14:paraId="2CC97DE5" w14:textId="77777777" w:rsidR="003C1C00" w:rsidRPr="000D7FA1" w:rsidRDefault="003C1C00" w:rsidP="006F0DCB">
            <w:pPr>
              <w:spacing w:after="0"/>
              <w:rPr>
                <w:rFonts w:ascii="Times New Roman" w:eastAsia="Times New Roman" w:hAnsi="Times New Roman"/>
                <w:sz w:val="20"/>
                <w:szCs w:val="24"/>
                <w:lang w:eastAsia="en-GB"/>
              </w:rPr>
            </w:pPr>
          </w:p>
        </w:tc>
        <w:tc>
          <w:tcPr>
            <w:tcW w:w="7148" w:type="dxa"/>
            <w:gridSpan w:val="4"/>
            <w:tcBorders>
              <w:top w:val="nil"/>
              <w:left w:val="nil"/>
              <w:bottom w:val="single" w:sz="8" w:space="0" w:color="FFFFFF"/>
              <w:right w:val="single" w:sz="8" w:space="0" w:color="FFFFFF"/>
            </w:tcBorders>
            <w:shd w:val="clear" w:color="000000" w:fill="008C9B"/>
            <w:vAlign w:val="center"/>
            <w:hideMark/>
          </w:tcPr>
          <w:p w14:paraId="48EF8199" w14:textId="77777777" w:rsidR="003C1C00" w:rsidRPr="000D7FA1" w:rsidRDefault="003C1C00" w:rsidP="006F0DCB">
            <w:pPr>
              <w:spacing w:after="0"/>
              <w:jc w:val="center"/>
              <w:rPr>
                <w:rFonts w:ascii="Calibri" w:eastAsia="Times New Roman" w:hAnsi="Calibri" w:cs="Calibri"/>
                <w:b/>
                <w:bCs/>
                <w:color w:val="FFFFFF"/>
                <w:sz w:val="20"/>
                <w:lang w:eastAsia="en-GB"/>
              </w:rPr>
            </w:pPr>
            <w:r w:rsidRPr="000D7FA1">
              <w:rPr>
                <w:rFonts w:ascii="Calibri" w:eastAsia="Times New Roman" w:hAnsi="Calibri" w:cs="Calibri"/>
                <w:b/>
                <w:bCs/>
                <w:color w:val="FFFFFF"/>
                <w:sz w:val="20"/>
                <w:lang w:eastAsia="en-GB"/>
              </w:rPr>
              <w:t>Scenario 2) Direct revenue impact, £m</w:t>
            </w:r>
          </w:p>
        </w:tc>
      </w:tr>
      <w:tr w:rsidR="003C1C00" w:rsidRPr="000D7FA1" w14:paraId="6F359EFA" w14:textId="77777777" w:rsidTr="006F0DCB">
        <w:trPr>
          <w:trHeight w:val="586"/>
        </w:trPr>
        <w:tc>
          <w:tcPr>
            <w:tcW w:w="1916" w:type="dxa"/>
            <w:tcBorders>
              <w:top w:val="nil"/>
              <w:left w:val="nil"/>
              <w:bottom w:val="nil"/>
              <w:right w:val="nil"/>
            </w:tcBorders>
            <w:shd w:val="clear" w:color="auto" w:fill="auto"/>
            <w:noWrap/>
            <w:vAlign w:val="bottom"/>
            <w:hideMark/>
          </w:tcPr>
          <w:p w14:paraId="1C87EE0E" w14:textId="77777777" w:rsidR="003C1C00" w:rsidRPr="000D7FA1" w:rsidRDefault="003C1C00" w:rsidP="006F0DCB">
            <w:pPr>
              <w:spacing w:after="0"/>
              <w:jc w:val="center"/>
              <w:rPr>
                <w:rFonts w:ascii="Calibri" w:eastAsia="Times New Roman" w:hAnsi="Calibri" w:cs="Calibri"/>
                <w:b/>
                <w:bCs/>
                <w:color w:val="FFFFFF"/>
                <w:sz w:val="20"/>
                <w:lang w:eastAsia="en-GB"/>
              </w:rPr>
            </w:pPr>
          </w:p>
        </w:tc>
        <w:tc>
          <w:tcPr>
            <w:tcW w:w="1934" w:type="dxa"/>
            <w:tcBorders>
              <w:top w:val="nil"/>
              <w:left w:val="nil"/>
              <w:bottom w:val="single" w:sz="8" w:space="0" w:color="FFFFFF"/>
              <w:right w:val="single" w:sz="8" w:space="0" w:color="FFFFFF"/>
            </w:tcBorders>
            <w:shd w:val="clear" w:color="000000" w:fill="008C9B"/>
            <w:vAlign w:val="center"/>
            <w:hideMark/>
          </w:tcPr>
          <w:p w14:paraId="25C44DE1"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Standard CapEx</w:t>
            </w:r>
          </w:p>
        </w:tc>
        <w:tc>
          <w:tcPr>
            <w:tcW w:w="1737" w:type="dxa"/>
            <w:tcBorders>
              <w:top w:val="nil"/>
              <w:left w:val="nil"/>
              <w:bottom w:val="single" w:sz="8" w:space="0" w:color="FFFFFF"/>
              <w:right w:val="single" w:sz="8" w:space="0" w:color="FFFFFF"/>
            </w:tcBorders>
            <w:shd w:val="clear" w:color="000000" w:fill="008C9B"/>
            <w:vAlign w:val="center"/>
            <w:hideMark/>
          </w:tcPr>
          <w:p w14:paraId="76EC6C74"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+ 10%</w:t>
            </w:r>
          </w:p>
        </w:tc>
        <w:tc>
          <w:tcPr>
            <w:tcW w:w="1737" w:type="dxa"/>
            <w:tcBorders>
              <w:top w:val="nil"/>
              <w:left w:val="nil"/>
              <w:bottom w:val="single" w:sz="8" w:space="0" w:color="FFFFFF"/>
              <w:right w:val="single" w:sz="8" w:space="0" w:color="FFFFFF"/>
            </w:tcBorders>
            <w:shd w:val="clear" w:color="000000" w:fill="008C9B"/>
            <w:vAlign w:val="center"/>
            <w:hideMark/>
          </w:tcPr>
          <w:p w14:paraId="6709956D"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+ 20%</w:t>
            </w:r>
          </w:p>
        </w:tc>
        <w:tc>
          <w:tcPr>
            <w:tcW w:w="1739" w:type="dxa"/>
            <w:tcBorders>
              <w:top w:val="nil"/>
              <w:left w:val="nil"/>
              <w:bottom w:val="single" w:sz="8" w:space="0" w:color="FFFFFF"/>
              <w:right w:val="single" w:sz="8" w:space="0" w:color="FFFFFF"/>
            </w:tcBorders>
            <w:shd w:val="clear" w:color="000000" w:fill="008C9B"/>
            <w:vAlign w:val="center"/>
            <w:hideMark/>
          </w:tcPr>
          <w:p w14:paraId="75B65707"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+ 40%</w:t>
            </w:r>
          </w:p>
        </w:tc>
      </w:tr>
      <w:tr w:rsidR="003C1C00" w:rsidRPr="000D7FA1" w14:paraId="54DA34F4" w14:textId="77777777" w:rsidTr="006F0DCB">
        <w:trPr>
          <w:trHeight w:val="351"/>
        </w:trPr>
        <w:tc>
          <w:tcPr>
            <w:tcW w:w="191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7720CB56" w14:textId="77777777" w:rsidR="003C1C00" w:rsidRPr="000D7FA1" w:rsidRDefault="003C1C00" w:rsidP="006F0DCB">
            <w:pPr>
              <w:spacing w:after="0"/>
              <w:jc w:val="center"/>
              <w:rPr>
                <w:rFonts w:ascii="Calibri" w:eastAsia="Times New Roman" w:hAnsi="Calibri" w:cs="Calibri"/>
                <w:b/>
                <w:bCs/>
                <w:color w:val="FFFFFF"/>
                <w:sz w:val="20"/>
                <w:lang w:eastAsia="en-GB"/>
              </w:rPr>
            </w:pPr>
            <w:r w:rsidRPr="000D7FA1">
              <w:rPr>
                <w:rFonts w:ascii="Calibri" w:eastAsia="Times New Roman" w:hAnsi="Calibri" w:cs="Calibri"/>
                <w:b/>
                <w:bCs/>
                <w:color w:val="FFFFFF"/>
                <w:sz w:val="20"/>
                <w:lang w:eastAsia="en-GB"/>
              </w:rPr>
              <w:t>2015</w:t>
            </w:r>
          </w:p>
        </w:tc>
        <w:tc>
          <w:tcPr>
            <w:tcW w:w="1934" w:type="dxa"/>
            <w:tcBorders>
              <w:top w:val="nil"/>
              <w:left w:val="nil"/>
              <w:bottom w:val="single" w:sz="8" w:space="0" w:color="FFFFFF"/>
              <w:right w:val="single" w:sz="8" w:space="0" w:color="FFFFFF"/>
            </w:tcBorders>
            <w:shd w:val="clear" w:color="000000" w:fill="D0CECE"/>
            <w:vAlign w:val="center"/>
            <w:hideMark/>
          </w:tcPr>
          <w:p w14:paraId="40259F73"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82</w:t>
            </w:r>
          </w:p>
        </w:tc>
        <w:tc>
          <w:tcPr>
            <w:tcW w:w="1737" w:type="dxa"/>
            <w:tcBorders>
              <w:top w:val="nil"/>
              <w:left w:val="nil"/>
              <w:bottom w:val="single" w:sz="8" w:space="0" w:color="FFFFFF"/>
              <w:right w:val="single" w:sz="8" w:space="0" w:color="FFFFFF"/>
            </w:tcBorders>
            <w:shd w:val="clear" w:color="000000" w:fill="D0CECE"/>
            <w:vAlign w:val="center"/>
            <w:hideMark/>
          </w:tcPr>
          <w:p w14:paraId="7E62C655"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90</w:t>
            </w:r>
          </w:p>
        </w:tc>
        <w:tc>
          <w:tcPr>
            <w:tcW w:w="1737" w:type="dxa"/>
            <w:tcBorders>
              <w:top w:val="nil"/>
              <w:left w:val="nil"/>
              <w:bottom w:val="single" w:sz="8" w:space="0" w:color="FFFFFF"/>
              <w:right w:val="single" w:sz="8" w:space="0" w:color="FFFFFF"/>
            </w:tcBorders>
            <w:shd w:val="clear" w:color="000000" w:fill="D0CECE"/>
            <w:vAlign w:val="center"/>
            <w:hideMark/>
          </w:tcPr>
          <w:p w14:paraId="2E5F96A1"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98</w:t>
            </w:r>
          </w:p>
        </w:tc>
        <w:tc>
          <w:tcPr>
            <w:tcW w:w="1739" w:type="dxa"/>
            <w:tcBorders>
              <w:top w:val="nil"/>
              <w:left w:val="nil"/>
              <w:bottom w:val="single" w:sz="8" w:space="0" w:color="FFFFFF"/>
              <w:right w:val="single" w:sz="8" w:space="0" w:color="FFFFFF"/>
            </w:tcBorders>
            <w:shd w:val="clear" w:color="000000" w:fill="D0CECE"/>
            <w:vAlign w:val="center"/>
            <w:hideMark/>
          </w:tcPr>
          <w:p w14:paraId="242259C2"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114</w:t>
            </w:r>
          </w:p>
        </w:tc>
      </w:tr>
      <w:tr w:rsidR="003C1C00" w:rsidRPr="000D7FA1" w14:paraId="70EA76AC" w14:textId="77777777" w:rsidTr="006F0DCB">
        <w:trPr>
          <w:trHeight w:val="368"/>
        </w:trPr>
        <w:tc>
          <w:tcPr>
            <w:tcW w:w="191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522E4770" w14:textId="77777777" w:rsidR="003C1C00" w:rsidRPr="000D7FA1" w:rsidRDefault="003C1C00" w:rsidP="006F0DCB">
            <w:pPr>
              <w:spacing w:after="0"/>
              <w:jc w:val="center"/>
              <w:rPr>
                <w:rFonts w:ascii="Calibri" w:eastAsia="Times New Roman" w:hAnsi="Calibri" w:cs="Calibri"/>
                <w:b/>
                <w:bCs/>
                <w:color w:val="FFFFFF"/>
                <w:sz w:val="20"/>
                <w:lang w:eastAsia="en-GB"/>
              </w:rPr>
            </w:pPr>
            <w:r w:rsidRPr="000D7FA1">
              <w:rPr>
                <w:rFonts w:ascii="Calibri" w:eastAsia="Times New Roman" w:hAnsi="Calibri" w:cs="Calibri"/>
                <w:b/>
                <w:bCs/>
                <w:color w:val="FFFFFF"/>
                <w:sz w:val="20"/>
                <w:lang w:eastAsia="en-GB"/>
              </w:rPr>
              <w:t>2016</w:t>
            </w:r>
          </w:p>
        </w:tc>
        <w:tc>
          <w:tcPr>
            <w:tcW w:w="1934" w:type="dxa"/>
            <w:tcBorders>
              <w:top w:val="nil"/>
              <w:left w:val="single" w:sz="8" w:space="0" w:color="FFFFFF"/>
              <w:bottom w:val="single" w:sz="12" w:space="0" w:color="FFFFFF"/>
              <w:right w:val="single" w:sz="12" w:space="0" w:color="FFFFFF"/>
            </w:tcBorders>
            <w:shd w:val="clear" w:color="000000" w:fill="E7EEEF"/>
            <w:vAlign w:val="center"/>
            <w:hideMark/>
          </w:tcPr>
          <w:p w14:paraId="54776283"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88</w:t>
            </w:r>
          </w:p>
        </w:tc>
        <w:tc>
          <w:tcPr>
            <w:tcW w:w="1737" w:type="dxa"/>
            <w:tcBorders>
              <w:top w:val="nil"/>
              <w:left w:val="single" w:sz="8" w:space="0" w:color="FFFFFF"/>
              <w:bottom w:val="single" w:sz="12" w:space="0" w:color="FFFFFF"/>
              <w:right w:val="single" w:sz="12" w:space="0" w:color="FFFFFF"/>
            </w:tcBorders>
            <w:shd w:val="clear" w:color="000000" w:fill="E7EEEF"/>
            <w:vAlign w:val="center"/>
            <w:hideMark/>
          </w:tcPr>
          <w:p w14:paraId="030B18BB"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90</w:t>
            </w:r>
          </w:p>
        </w:tc>
        <w:tc>
          <w:tcPr>
            <w:tcW w:w="1737" w:type="dxa"/>
            <w:tcBorders>
              <w:top w:val="nil"/>
              <w:left w:val="single" w:sz="8" w:space="0" w:color="FFFFFF"/>
              <w:bottom w:val="single" w:sz="12" w:space="0" w:color="FFFFFF"/>
              <w:right w:val="single" w:sz="12" w:space="0" w:color="FFFFFF"/>
            </w:tcBorders>
            <w:shd w:val="clear" w:color="000000" w:fill="E7EEEF"/>
            <w:vAlign w:val="center"/>
            <w:hideMark/>
          </w:tcPr>
          <w:p w14:paraId="5BC068F1"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90</w:t>
            </w:r>
          </w:p>
        </w:tc>
        <w:tc>
          <w:tcPr>
            <w:tcW w:w="1739" w:type="dxa"/>
            <w:tcBorders>
              <w:top w:val="nil"/>
              <w:left w:val="single" w:sz="8" w:space="0" w:color="FFFFFF"/>
              <w:bottom w:val="single" w:sz="12" w:space="0" w:color="FFFFFF"/>
              <w:right w:val="single" w:sz="12" w:space="0" w:color="FFFFFF"/>
            </w:tcBorders>
            <w:shd w:val="clear" w:color="000000" w:fill="E7EEEF"/>
            <w:vAlign w:val="center"/>
            <w:hideMark/>
          </w:tcPr>
          <w:p w14:paraId="7F86C96E"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92</w:t>
            </w:r>
          </w:p>
        </w:tc>
      </w:tr>
      <w:tr w:rsidR="003C1C00" w:rsidRPr="000D7FA1" w14:paraId="532FE66A" w14:textId="77777777" w:rsidTr="006F0DCB">
        <w:trPr>
          <w:trHeight w:val="368"/>
        </w:trPr>
        <w:tc>
          <w:tcPr>
            <w:tcW w:w="191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6DD78C1C" w14:textId="77777777" w:rsidR="003C1C00" w:rsidRPr="000D7FA1" w:rsidRDefault="003C1C00" w:rsidP="006F0DCB">
            <w:pPr>
              <w:spacing w:after="0"/>
              <w:jc w:val="center"/>
              <w:rPr>
                <w:rFonts w:ascii="Calibri" w:eastAsia="Times New Roman" w:hAnsi="Calibri" w:cs="Calibri"/>
                <w:b/>
                <w:bCs/>
                <w:color w:val="FFFFFF"/>
                <w:sz w:val="20"/>
                <w:lang w:eastAsia="en-GB"/>
              </w:rPr>
            </w:pPr>
            <w:r w:rsidRPr="000D7FA1">
              <w:rPr>
                <w:rFonts w:ascii="Calibri" w:eastAsia="Times New Roman" w:hAnsi="Calibri" w:cs="Calibri"/>
                <w:b/>
                <w:bCs/>
                <w:color w:val="FFFFFF"/>
                <w:sz w:val="20"/>
                <w:lang w:eastAsia="en-GB"/>
              </w:rPr>
              <w:t>2017</w:t>
            </w:r>
          </w:p>
        </w:tc>
        <w:tc>
          <w:tcPr>
            <w:tcW w:w="1934" w:type="dxa"/>
            <w:tcBorders>
              <w:top w:val="nil"/>
              <w:left w:val="nil"/>
              <w:bottom w:val="single" w:sz="8" w:space="0" w:color="FFFFFF"/>
              <w:right w:val="single" w:sz="8" w:space="0" w:color="FFFFFF"/>
            </w:tcBorders>
            <w:shd w:val="clear" w:color="000000" w:fill="D0CECE"/>
            <w:vAlign w:val="center"/>
            <w:hideMark/>
          </w:tcPr>
          <w:p w14:paraId="0126F01B"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85</w:t>
            </w:r>
          </w:p>
        </w:tc>
        <w:tc>
          <w:tcPr>
            <w:tcW w:w="1737" w:type="dxa"/>
            <w:tcBorders>
              <w:top w:val="nil"/>
              <w:left w:val="nil"/>
              <w:bottom w:val="single" w:sz="8" w:space="0" w:color="FFFFFF"/>
              <w:right w:val="single" w:sz="8" w:space="0" w:color="FFFFFF"/>
            </w:tcBorders>
            <w:shd w:val="clear" w:color="000000" w:fill="D0CECE"/>
            <w:vAlign w:val="center"/>
            <w:hideMark/>
          </w:tcPr>
          <w:p w14:paraId="4DD5FEDE"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96</w:t>
            </w:r>
          </w:p>
        </w:tc>
        <w:tc>
          <w:tcPr>
            <w:tcW w:w="1737" w:type="dxa"/>
            <w:tcBorders>
              <w:top w:val="nil"/>
              <w:left w:val="nil"/>
              <w:bottom w:val="single" w:sz="8" w:space="0" w:color="FFFFFF"/>
              <w:right w:val="single" w:sz="8" w:space="0" w:color="FFFFFF"/>
            </w:tcBorders>
            <w:shd w:val="clear" w:color="000000" w:fill="D0CECE"/>
            <w:vAlign w:val="center"/>
            <w:hideMark/>
          </w:tcPr>
          <w:p w14:paraId="259F7A4B"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97</w:t>
            </w:r>
          </w:p>
        </w:tc>
        <w:tc>
          <w:tcPr>
            <w:tcW w:w="1739" w:type="dxa"/>
            <w:tcBorders>
              <w:top w:val="nil"/>
              <w:left w:val="nil"/>
              <w:bottom w:val="single" w:sz="8" w:space="0" w:color="FFFFFF"/>
              <w:right w:val="single" w:sz="8" w:space="0" w:color="FFFFFF"/>
            </w:tcBorders>
            <w:shd w:val="clear" w:color="000000" w:fill="D0CECE"/>
            <w:vAlign w:val="center"/>
            <w:hideMark/>
          </w:tcPr>
          <w:p w14:paraId="722366E9"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99</w:t>
            </w:r>
          </w:p>
        </w:tc>
      </w:tr>
      <w:tr w:rsidR="003C1C00" w:rsidRPr="000D7FA1" w14:paraId="7E9FEE6D" w14:textId="77777777" w:rsidTr="006F0DCB">
        <w:trPr>
          <w:trHeight w:val="714"/>
        </w:trPr>
        <w:tc>
          <w:tcPr>
            <w:tcW w:w="191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6FA74E64" w14:textId="77777777" w:rsidR="003C1C00" w:rsidRPr="000D7FA1"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2017 investment revenue</w:t>
            </w:r>
            <w:r w:rsidRPr="002E7FB2">
              <w:rPr>
                <w:rFonts w:ascii="Calibri" w:eastAsia="Times New Roman" w:hAnsi="Calibri" w:cs="Calibri"/>
                <w:b/>
                <w:bCs/>
                <w:color w:val="FFFFFF"/>
                <w:sz w:val="20"/>
                <w:lang w:eastAsia="en-GB"/>
              </w:rPr>
              <w:t xml:space="preserve"> </w:t>
            </w:r>
            <w:r>
              <w:rPr>
                <w:rFonts w:ascii="Calibri" w:eastAsia="Times New Roman" w:hAnsi="Calibri" w:cs="Calibri"/>
                <w:b/>
                <w:bCs/>
                <w:color w:val="FFFFFF"/>
                <w:sz w:val="20"/>
                <w:lang w:eastAsia="en-GB"/>
              </w:rPr>
              <w:t>as % of ports industry revenue</w:t>
            </w:r>
          </w:p>
        </w:tc>
        <w:tc>
          <w:tcPr>
            <w:tcW w:w="1934" w:type="dxa"/>
            <w:tcBorders>
              <w:top w:val="nil"/>
              <w:left w:val="single" w:sz="8" w:space="0" w:color="FFFFFF"/>
              <w:bottom w:val="single" w:sz="12" w:space="0" w:color="FFFFFF"/>
              <w:right w:val="single" w:sz="12" w:space="0" w:color="FFFFFF"/>
            </w:tcBorders>
            <w:shd w:val="clear" w:color="000000" w:fill="E7EEEF"/>
            <w:vAlign w:val="center"/>
            <w:hideMark/>
          </w:tcPr>
          <w:p w14:paraId="00774306"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1.8%</w:t>
            </w:r>
          </w:p>
        </w:tc>
        <w:tc>
          <w:tcPr>
            <w:tcW w:w="1737" w:type="dxa"/>
            <w:tcBorders>
              <w:top w:val="nil"/>
              <w:left w:val="single" w:sz="8" w:space="0" w:color="FFFFFF"/>
              <w:bottom w:val="single" w:sz="12" w:space="0" w:color="FFFFFF"/>
              <w:right w:val="single" w:sz="12" w:space="0" w:color="FFFFFF"/>
            </w:tcBorders>
            <w:shd w:val="clear" w:color="000000" w:fill="E7EEEF"/>
            <w:vAlign w:val="center"/>
            <w:hideMark/>
          </w:tcPr>
          <w:p w14:paraId="7A52F7D8"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2.0%</w:t>
            </w:r>
          </w:p>
        </w:tc>
        <w:tc>
          <w:tcPr>
            <w:tcW w:w="1737" w:type="dxa"/>
            <w:tcBorders>
              <w:top w:val="nil"/>
              <w:left w:val="single" w:sz="8" w:space="0" w:color="FFFFFF"/>
              <w:bottom w:val="single" w:sz="12" w:space="0" w:color="FFFFFF"/>
              <w:right w:val="single" w:sz="12" w:space="0" w:color="FFFFFF"/>
            </w:tcBorders>
            <w:shd w:val="clear" w:color="000000" w:fill="E7EEEF"/>
            <w:vAlign w:val="center"/>
            <w:hideMark/>
          </w:tcPr>
          <w:p w14:paraId="5BFB224A"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2.0%</w:t>
            </w:r>
          </w:p>
        </w:tc>
        <w:tc>
          <w:tcPr>
            <w:tcW w:w="1739" w:type="dxa"/>
            <w:tcBorders>
              <w:top w:val="nil"/>
              <w:left w:val="single" w:sz="8" w:space="0" w:color="FFFFFF"/>
              <w:bottom w:val="single" w:sz="12" w:space="0" w:color="FFFFFF"/>
              <w:right w:val="single" w:sz="12" w:space="0" w:color="FFFFFF"/>
            </w:tcBorders>
            <w:shd w:val="clear" w:color="000000" w:fill="E7EEEF"/>
            <w:vAlign w:val="center"/>
            <w:hideMark/>
          </w:tcPr>
          <w:p w14:paraId="4C5F49D3"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2.1%</w:t>
            </w:r>
          </w:p>
        </w:tc>
      </w:tr>
    </w:tbl>
    <w:p w14:paraId="588AD670" w14:textId="77777777" w:rsidR="003C1C00" w:rsidRDefault="003C1C00" w:rsidP="003C1C00">
      <w:pPr>
        <w:jc w:val="right"/>
      </w:pPr>
      <w:r>
        <w:rPr>
          <w:i/>
          <w:sz w:val="18"/>
        </w:rPr>
        <w:t>Source: UK Major Ports Group data on investment, United Nations, Eurostat, HMRC Overseas Trade Statistics, Cebr analysis</w:t>
      </w:r>
    </w:p>
    <w:p w14:paraId="615176DA" w14:textId="77777777" w:rsidR="003C1C00" w:rsidRDefault="003C1C00" w:rsidP="003C1C00">
      <w:r>
        <w:t xml:space="preserve">The aggregate revenue impact of the port freight investment under Scenario 2) is still significant, peaking at £227 in 2016 for actual CapEx. In 2017, had CapEx been 40% greater, an additional £36 million may have accrued, amounting to £256 million as a result of the investment compared to the outturn. It is not surprising to see that additional investment, and the additional capacity is supports, is expected to reap greater returns. </w:t>
      </w:r>
    </w:p>
    <w:p w14:paraId="0D49862E" w14:textId="77777777" w:rsidR="003C1C00" w:rsidRDefault="003C1C00" w:rsidP="003C1C00">
      <w:r>
        <w:t>Under Scenario 2), the aggregate revenue impact from the port freight investment means that in 2017 for every £1 invested, a further £0.39 is supported in revenue.</w:t>
      </w:r>
    </w:p>
    <w:p w14:paraId="58AD4549" w14:textId="77777777" w:rsidR="003C1C00" w:rsidRDefault="003C1C00" w:rsidP="003C1C00">
      <w:pPr>
        <w:pStyle w:val="Caption"/>
      </w:pPr>
      <w: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t>: Port Freight Investment aggregate impact on revenue under Scenario 2)</w:t>
      </w:r>
    </w:p>
    <w:tbl>
      <w:tblPr>
        <w:tblW w:w="9049" w:type="dxa"/>
        <w:tblLook w:val="04A0" w:firstRow="1" w:lastRow="0" w:firstColumn="1" w:lastColumn="0" w:noHBand="0" w:noVBand="1"/>
      </w:tblPr>
      <w:tblGrid>
        <w:gridCol w:w="1916"/>
        <w:gridCol w:w="1916"/>
        <w:gridCol w:w="1742"/>
        <w:gridCol w:w="1742"/>
        <w:gridCol w:w="1733"/>
      </w:tblGrid>
      <w:tr w:rsidR="003C1C00" w:rsidRPr="000D7FA1" w14:paraId="6261581A" w14:textId="77777777" w:rsidTr="006F0DCB">
        <w:trPr>
          <w:trHeight w:val="317"/>
        </w:trPr>
        <w:tc>
          <w:tcPr>
            <w:tcW w:w="1916" w:type="dxa"/>
            <w:tcBorders>
              <w:top w:val="nil"/>
              <w:left w:val="nil"/>
              <w:bottom w:val="nil"/>
              <w:right w:val="nil"/>
            </w:tcBorders>
            <w:shd w:val="clear" w:color="auto" w:fill="auto"/>
            <w:noWrap/>
            <w:vAlign w:val="bottom"/>
            <w:hideMark/>
          </w:tcPr>
          <w:p w14:paraId="0A47F2AA" w14:textId="77777777" w:rsidR="003C1C00" w:rsidRPr="000D7FA1" w:rsidRDefault="003C1C00" w:rsidP="006F0DCB">
            <w:pPr>
              <w:spacing w:after="0"/>
              <w:rPr>
                <w:rFonts w:ascii="Times New Roman" w:eastAsia="Times New Roman" w:hAnsi="Times New Roman"/>
                <w:sz w:val="20"/>
                <w:szCs w:val="24"/>
                <w:lang w:eastAsia="en-GB"/>
              </w:rPr>
            </w:pPr>
          </w:p>
        </w:tc>
        <w:tc>
          <w:tcPr>
            <w:tcW w:w="7133" w:type="dxa"/>
            <w:gridSpan w:val="4"/>
            <w:tcBorders>
              <w:top w:val="nil"/>
              <w:left w:val="nil"/>
              <w:bottom w:val="single" w:sz="8" w:space="0" w:color="FFFFFF"/>
              <w:right w:val="single" w:sz="8" w:space="0" w:color="FFFFFF"/>
            </w:tcBorders>
            <w:shd w:val="clear" w:color="000000" w:fill="008C9B"/>
            <w:vAlign w:val="center"/>
            <w:hideMark/>
          </w:tcPr>
          <w:p w14:paraId="053521E1" w14:textId="77777777" w:rsidR="003C1C00" w:rsidRPr="000D7FA1" w:rsidRDefault="003C1C00" w:rsidP="006F0DCB">
            <w:pPr>
              <w:spacing w:after="0"/>
              <w:jc w:val="center"/>
              <w:rPr>
                <w:rFonts w:ascii="Calibri" w:eastAsia="Times New Roman" w:hAnsi="Calibri" w:cs="Calibri"/>
                <w:b/>
                <w:bCs/>
                <w:color w:val="FFFFFF"/>
                <w:sz w:val="20"/>
                <w:lang w:eastAsia="en-GB"/>
              </w:rPr>
            </w:pPr>
            <w:r w:rsidRPr="000D7FA1">
              <w:rPr>
                <w:rFonts w:ascii="Calibri" w:eastAsia="Times New Roman" w:hAnsi="Calibri" w:cs="Calibri"/>
                <w:b/>
                <w:bCs/>
                <w:color w:val="FFFFFF"/>
                <w:sz w:val="20"/>
                <w:lang w:eastAsia="en-GB"/>
              </w:rPr>
              <w:t>Scenario 2) Aggregate revenue impact, £m</w:t>
            </w:r>
          </w:p>
        </w:tc>
      </w:tr>
      <w:tr w:rsidR="003C1C00" w:rsidRPr="000D7FA1" w14:paraId="0628846A" w14:textId="77777777" w:rsidTr="006F0DCB">
        <w:trPr>
          <w:trHeight w:val="529"/>
        </w:trPr>
        <w:tc>
          <w:tcPr>
            <w:tcW w:w="1916" w:type="dxa"/>
            <w:tcBorders>
              <w:top w:val="nil"/>
              <w:left w:val="nil"/>
              <w:bottom w:val="nil"/>
              <w:right w:val="nil"/>
            </w:tcBorders>
            <w:shd w:val="clear" w:color="auto" w:fill="auto"/>
            <w:noWrap/>
            <w:vAlign w:val="bottom"/>
            <w:hideMark/>
          </w:tcPr>
          <w:p w14:paraId="4B7DD375" w14:textId="77777777" w:rsidR="003C1C00" w:rsidRPr="000D7FA1" w:rsidRDefault="003C1C00" w:rsidP="006F0DCB">
            <w:pPr>
              <w:spacing w:after="0"/>
              <w:jc w:val="center"/>
              <w:rPr>
                <w:rFonts w:ascii="Calibri" w:eastAsia="Times New Roman" w:hAnsi="Calibri" w:cs="Calibri"/>
                <w:b/>
                <w:bCs/>
                <w:color w:val="FFFFFF"/>
                <w:sz w:val="20"/>
                <w:lang w:eastAsia="en-GB"/>
              </w:rPr>
            </w:pPr>
          </w:p>
        </w:tc>
        <w:tc>
          <w:tcPr>
            <w:tcW w:w="1916" w:type="dxa"/>
            <w:tcBorders>
              <w:top w:val="nil"/>
              <w:left w:val="nil"/>
              <w:bottom w:val="single" w:sz="8" w:space="0" w:color="FFFFFF"/>
              <w:right w:val="single" w:sz="8" w:space="0" w:color="FFFFFF"/>
            </w:tcBorders>
            <w:shd w:val="clear" w:color="000000" w:fill="008C9B"/>
            <w:vAlign w:val="center"/>
            <w:hideMark/>
          </w:tcPr>
          <w:p w14:paraId="35260C91"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Standard CapEx</w:t>
            </w:r>
          </w:p>
        </w:tc>
        <w:tc>
          <w:tcPr>
            <w:tcW w:w="1742" w:type="dxa"/>
            <w:tcBorders>
              <w:top w:val="nil"/>
              <w:left w:val="nil"/>
              <w:bottom w:val="single" w:sz="8" w:space="0" w:color="FFFFFF"/>
              <w:right w:val="single" w:sz="8" w:space="0" w:color="FFFFFF"/>
            </w:tcBorders>
            <w:shd w:val="clear" w:color="000000" w:fill="008C9B"/>
            <w:vAlign w:val="center"/>
            <w:hideMark/>
          </w:tcPr>
          <w:p w14:paraId="0FBCE115"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+ 10%</w:t>
            </w:r>
          </w:p>
        </w:tc>
        <w:tc>
          <w:tcPr>
            <w:tcW w:w="1742" w:type="dxa"/>
            <w:tcBorders>
              <w:top w:val="nil"/>
              <w:left w:val="nil"/>
              <w:bottom w:val="single" w:sz="8" w:space="0" w:color="FFFFFF"/>
              <w:right w:val="single" w:sz="8" w:space="0" w:color="FFFFFF"/>
            </w:tcBorders>
            <w:shd w:val="clear" w:color="000000" w:fill="008C9B"/>
            <w:vAlign w:val="center"/>
            <w:hideMark/>
          </w:tcPr>
          <w:p w14:paraId="5C13A444"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+ 20%</w:t>
            </w:r>
          </w:p>
        </w:tc>
        <w:tc>
          <w:tcPr>
            <w:tcW w:w="1732" w:type="dxa"/>
            <w:tcBorders>
              <w:top w:val="nil"/>
              <w:left w:val="nil"/>
              <w:bottom w:val="single" w:sz="8" w:space="0" w:color="FFFFFF"/>
              <w:right w:val="single" w:sz="8" w:space="0" w:color="FFFFFF"/>
            </w:tcBorders>
            <w:shd w:val="clear" w:color="000000" w:fill="008C9B"/>
            <w:vAlign w:val="center"/>
            <w:hideMark/>
          </w:tcPr>
          <w:p w14:paraId="7891A309"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+ 40%</w:t>
            </w:r>
          </w:p>
        </w:tc>
      </w:tr>
      <w:tr w:rsidR="003C1C00" w:rsidRPr="000D7FA1" w14:paraId="4D0E8AE6" w14:textId="77777777" w:rsidTr="006F0DCB">
        <w:trPr>
          <w:trHeight w:val="317"/>
        </w:trPr>
        <w:tc>
          <w:tcPr>
            <w:tcW w:w="191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5B6C7899" w14:textId="77777777" w:rsidR="003C1C00" w:rsidRPr="000D7FA1" w:rsidRDefault="003C1C00" w:rsidP="006F0DCB">
            <w:pPr>
              <w:spacing w:after="0"/>
              <w:jc w:val="center"/>
              <w:rPr>
                <w:rFonts w:ascii="Calibri" w:eastAsia="Times New Roman" w:hAnsi="Calibri" w:cs="Calibri"/>
                <w:b/>
                <w:bCs/>
                <w:color w:val="FFFFFF"/>
                <w:sz w:val="20"/>
                <w:lang w:eastAsia="en-GB"/>
              </w:rPr>
            </w:pPr>
            <w:r w:rsidRPr="000D7FA1">
              <w:rPr>
                <w:rFonts w:ascii="Calibri" w:eastAsia="Times New Roman" w:hAnsi="Calibri" w:cs="Calibri"/>
                <w:b/>
                <w:bCs/>
                <w:color w:val="FFFFFF"/>
                <w:sz w:val="20"/>
                <w:lang w:eastAsia="en-GB"/>
              </w:rPr>
              <w:t>2015</w:t>
            </w:r>
          </w:p>
        </w:tc>
        <w:tc>
          <w:tcPr>
            <w:tcW w:w="1916" w:type="dxa"/>
            <w:tcBorders>
              <w:top w:val="nil"/>
              <w:left w:val="nil"/>
              <w:bottom w:val="single" w:sz="8" w:space="0" w:color="FFFFFF"/>
              <w:right w:val="single" w:sz="8" w:space="0" w:color="FFFFFF"/>
            </w:tcBorders>
            <w:shd w:val="clear" w:color="000000" w:fill="D0CECE"/>
            <w:vAlign w:val="center"/>
            <w:hideMark/>
          </w:tcPr>
          <w:p w14:paraId="6B5B7838"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211</w:t>
            </w:r>
          </w:p>
        </w:tc>
        <w:tc>
          <w:tcPr>
            <w:tcW w:w="1742" w:type="dxa"/>
            <w:tcBorders>
              <w:top w:val="nil"/>
              <w:left w:val="nil"/>
              <w:bottom w:val="single" w:sz="8" w:space="0" w:color="FFFFFF"/>
              <w:right w:val="single" w:sz="8" w:space="0" w:color="FFFFFF"/>
            </w:tcBorders>
            <w:shd w:val="clear" w:color="000000" w:fill="D0CECE"/>
            <w:vAlign w:val="center"/>
            <w:hideMark/>
          </w:tcPr>
          <w:p w14:paraId="2F1FF91A"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232</w:t>
            </w:r>
          </w:p>
        </w:tc>
        <w:tc>
          <w:tcPr>
            <w:tcW w:w="1742" w:type="dxa"/>
            <w:tcBorders>
              <w:top w:val="nil"/>
              <w:left w:val="nil"/>
              <w:bottom w:val="single" w:sz="8" w:space="0" w:color="FFFFFF"/>
              <w:right w:val="single" w:sz="8" w:space="0" w:color="FFFFFF"/>
            </w:tcBorders>
            <w:shd w:val="clear" w:color="000000" w:fill="D0CECE"/>
            <w:vAlign w:val="center"/>
            <w:hideMark/>
          </w:tcPr>
          <w:p w14:paraId="78A41E8D"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253</w:t>
            </w:r>
          </w:p>
        </w:tc>
        <w:tc>
          <w:tcPr>
            <w:tcW w:w="1732" w:type="dxa"/>
            <w:tcBorders>
              <w:top w:val="nil"/>
              <w:left w:val="nil"/>
              <w:bottom w:val="single" w:sz="8" w:space="0" w:color="FFFFFF"/>
              <w:right w:val="single" w:sz="8" w:space="0" w:color="FFFFFF"/>
            </w:tcBorders>
            <w:shd w:val="clear" w:color="000000" w:fill="D0CECE"/>
            <w:vAlign w:val="center"/>
            <w:hideMark/>
          </w:tcPr>
          <w:p w14:paraId="4B350BB2"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296</w:t>
            </w:r>
          </w:p>
        </w:tc>
      </w:tr>
      <w:tr w:rsidR="003C1C00" w:rsidRPr="000D7FA1" w14:paraId="4491ECF7" w14:textId="77777777" w:rsidTr="006F0DCB">
        <w:trPr>
          <w:trHeight w:val="332"/>
        </w:trPr>
        <w:tc>
          <w:tcPr>
            <w:tcW w:w="191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41F36E39" w14:textId="77777777" w:rsidR="003C1C00" w:rsidRPr="000D7FA1" w:rsidRDefault="003C1C00" w:rsidP="006F0DCB">
            <w:pPr>
              <w:spacing w:after="0"/>
              <w:jc w:val="center"/>
              <w:rPr>
                <w:rFonts w:ascii="Calibri" w:eastAsia="Times New Roman" w:hAnsi="Calibri" w:cs="Calibri"/>
                <w:b/>
                <w:bCs/>
                <w:color w:val="FFFFFF"/>
                <w:sz w:val="20"/>
                <w:lang w:eastAsia="en-GB"/>
              </w:rPr>
            </w:pPr>
            <w:r w:rsidRPr="000D7FA1">
              <w:rPr>
                <w:rFonts w:ascii="Calibri" w:eastAsia="Times New Roman" w:hAnsi="Calibri" w:cs="Calibri"/>
                <w:b/>
                <w:bCs/>
                <w:color w:val="FFFFFF"/>
                <w:sz w:val="20"/>
                <w:lang w:eastAsia="en-GB"/>
              </w:rPr>
              <w:t>2016</w:t>
            </w:r>
          </w:p>
        </w:tc>
        <w:tc>
          <w:tcPr>
            <w:tcW w:w="1916" w:type="dxa"/>
            <w:tcBorders>
              <w:top w:val="nil"/>
              <w:left w:val="single" w:sz="8" w:space="0" w:color="FFFFFF"/>
              <w:bottom w:val="single" w:sz="12" w:space="0" w:color="FFFFFF"/>
              <w:right w:val="single" w:sz="12" w:space="0" w:color="FFFFFF"/>
            </w:tcBorders>
            <w:shd w:val="clear" w:color="000000" w:fill="E7EEEF"/>
            <w:vAlign w:val="center"/>
            <w:hideMark/>
          </w:tcPr>
          <w:p w14:paraId="32D8644A"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227</w:t>
            </w:r>
          </w:p>
        </w:tc>
        <w:tc>
          <w:tcPr>
            <w:tcW w:w="1742" w:type="dxa"/>
            <w:tcBorders>
              <w:top w:val="nil"/>
              <w:left w:val="single" w:sz="8" w:space="0" w:color="FFFFFF"/>
              <w:bottom w:val="single" w:sz="12" w:space="0" w:color="FFFFFF"/>
              <w:right w:val="single" w:sz="12" w:space="0" w:color="FFFFFF"/>
            </w:tcBorders>
            <w:shd w:val="clear" w:color="000000" w:fill="E7EEEF"/>
            <w:vAlign w:val="center"/>
            <w:hideMark/>
          </w:tcPr>
          <w:p w14:paraId="328C2DB8"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232</w:t>
            </w:r>
          </w:p>
        </w:tc>
        <w:tc>
          <w:tcPr>
            <w:tcW w:w="1742" w:type="dxa"/>
            <w:tcBorders>
              <w:top w:val="nil"/>
              <w:left w:val="single" w:sz="8" w:space="0" w:color="FFFFFF"/>
              <w:bottom w:val="single" w:sz="12" w:space="0" w:color="FFFFFF"/>
              <w:right w:val="single" w:sz="12" w:space="0" w:color="FFFFFF"/>
            </w:tcBorders>
            <w:shd w:val="clear" w:color="000000" w:fill="E7EEEF"/>
            <w:vAlign w:val="center"/>
            <w:hideMark/>
          </w:tcPr>
          <w:p w14:paraId="46C2C695"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234</w:t>
            </w:r>
          </w:p>
        </w:tc>
        <w:tc>
          <w:tcPr>
            <w:tcW w:w="1732" w:type="dxa"/>
            <w:tcBorders>
              <w:top w:val="nil"/>
              <w:left w:val="single" w:sz="8" w:space="0" w:color="FFFFFF"/>
              <w:bottom w:val="single" w:sz="12" w:space="0" w:color="FFFFFF"/>
              <w:right w:val="single" w:sz="12" w:space="0" w:color="FFFFFF"/>
            </w:tcBorders>
            <w:shd w:val="clear" w:color="000000" w:fill="E7EEEF"/>
            <w:vAlign w:val="center"/>
            <w:hideMark/>
          </w:tcPr>
          <w:p w14:paraId="39491AB2"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239</w:t>
            </w:r>
          </w:p>
        </w:tc>
      </w:tr>
      <w:tr w:rsidR="003C1C00" w:rsidRPr="000D7FA1" w14:paraId="5486850E" w14:textId="77777777" w:rsidTr="006F0DCB">
        <w:trPr>
          <w:trHeight w:val="332"/>
        </w:trPr>
        <w:tc>
          <w:tcPr>
            <w:tcW w:w="191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2D3C9274" w14:textId="77777777" w:rsidR="003C1C00" w:rsidRPr="000D7FA1" w:rsidRDefault="003C1C00" w:rsidP="006F0DCB">
            <w:pPr>
              <w:spacing w:after="0"/>
              <w:jc w:val="center"/>
              <w:rPr>
                <w:rFonts w:ascii="Calibri" w:eastAsia="Times New Roman" w:hAnsi="Calibri" w:cs="Calibri"/>
                <w:b/>
                <w:bCs/>
                <w:color w:val="FFFFFF"/>
                <w:sz w:val="20"/>
                <w:lang w:eastAsia="en-GB"/>
              </w:rPr>
            </w:pPr>
            <w:r w:rsidRPr="000D7FA1">
              <w:rPr>
                <w:rFonts w:ascii="Calibri" w:eastAsia="Times New Roman" w:hAnsi="Calibri" w:cs="Calibri"/>
                <w:b/>
                <w:bCs/>
                <w:color w:val="FFFFFF"/>
                <w:sz w:val="20"/>
                <w:lang w:eastAsia="en-GB"/>
              </w:rPr>
              <w:lastRenderedPageBreak/>
              <w:t>2017</w:t>
            </w:r>
          </w:p>
        </w:tc>
        <w:tc>
          <w:tcPr>
            <w:tcW w:w="1916" w:type="dxa"/>
            <w:tcBorders>
              <w:top w:val="nil"/>
              <w:left w:val="nil"/>
              <w:bottom w:val="single" w:sz="8" w:space="0" w:color="FFFFFF"/>
              <w:right w:val="single" w:sz="8" w:space="0" w:color="FFFFFF"/>
            </w:tcBorders>
            <w:shd w:val="clear" w:color="000000" w:fill="D0CECE"/>
            <w:vAlign w:val="center"/>
            <w:hideMark/>
          </w:tcPr>
          <w:p w14:paraId="07CB3400"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220</w:t>
            </w:r>
          </w:p>
        </w:tc>
        <w:tc>
          <w:tcPr>
            <w:tcW w:w="1742" w:type="dxa"/>
            <w:tcBorders>
              <w:top w:val="nil"/>
              <w:left w:val="nil"/>
              <w:bottom w:val="single" w:sz="8" w:space="0" w:color="FFFFFF"/>
              <w:right w:val="single" w:sz="8" w:space="0" w:color="FFFFFF"/>
            </w:tcBorders>
            <w:shd w:val="clear" w:color="000000" w:fill="D0CECE"/>
            <w:vAlign w:val="center"/>
            <w:hideMark/>
          </w:tcPr>
          <w:p w14:paraId="19969EE5"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248</w:t>
            </w:r>
          </w:p>
        </w:tc>
        <w:tc>
          <w:tcPr>
            <w:tcW w:w="1742" w:type="dxa"/>
            <w:tcBorders>
              <w:top w:val="nil"/>
              <w:left w:val="nil"/>
              <w:bottom w:val="single" w:sz="8" w:space="0" w:color="FFFFFF"/>
              <w:right w:val="single" w:sz="8" w:space="0" w:color="FFFFFF"/>
            </w:tcBorders>
            <w:shd w:val="clear" w:color="000000" w:fill="D0CECE"/>
            <w:vAlign w:val="center"/>
            <w:hideMark/>
          </w:tcPr>
          <w:p w14:paraId="425A8830"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251</w:t>
            </w:r>
          </w:p>
        </w:tc>
        <w:tc>
          <w:tcPr>
            <w:tcW w:w="1732" w:type="dxa"/>
            <w:tcBorders>
              <w:top w:val="nil"/>
              <w:left w:val="nil"/>
              <w:bottom w:val="single" w:sz="8" w:space="0" w:color="FFFFFF"/>
              <w:right w:val="single" w:sz="8" w:space="0" w:color="FFFFFF"/>
            </w:tcBorders>
            <w:shd w:val="clear" w:color="000000" w:fill="D0CECE"/>
            <w:vAlign w:val="center"/>
            <w:hideMark/>
          </w:tcPr>
          <w:p w14:paraId="262780D7"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256</w:t>
            </w:r>
          </w:p>
        </w:tc>
      </w:tr>
      <w:tr w:rsidR="003C1C00" w:rsidRPr="000D7FA1" w14:paraId="3C54CE50" w14:textId="77777777" w:rsidTr="006F0DCB">
        <w:trPr>
          <w:trHeight w:val="623"/>
        </w:trPr>
        <w:tc>
          <w:tcPr>
            <w:tcW w:w="191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47AB58D4" w14:textId="77777777" w:rsidR="003C1C00" w:rsidRPr="000D7FA1"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2017 investment revenue as % of ports industry revenue</w:t>
            </w:r>
          </w:p>
        </w:tc>
        <w:tc>
          <w:tcPr>
            <w:tcW w:w="1916" w:type="dxa"/>
            <w:tcBorders>
              <w:top w:val="nil"/>
              <w:left w:val="single" w:sz="8" w:space="0" w:color="FFFFFF"/>
              <w:bottom w:val="single" w:sz="12" w:space="0" w:color="FFFFFF"/>
              <w:right w:val="single" w:sz="12" w:space="0" w:color="FFFFFF"/>
            </w:tcBorders>
            <w:shd w:val="clear" w:color="000000" w:fill="E7EEEF"/>
            <w:vAlign w:val="center"/>
            <w:hideMark/>
          </w:tcPr>
          <w:p w14:paraId="137BA8B1"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1.8%</w:t>
            </w:r>
          </w:p>
        </w:tc>
        <w:tc>
          <w:tcPr>
            <w:tcW w:w="1742" w:type="dxa"/>
            <w:tcBorders>
              <w:top w:val="nil"/>
              <w:left w:val="single" w:sz="8" w:space="0" w:color="FFFFFF"/>
              <w:bottom w:val="single" w:sz="12" w:space="0" w:color="FFFFFF"/>
              <w:right w:val="single" w:sz="12" w:space="0" w:color="FFFFFF"/>
            </w:tcBorders>
            <w:shd w:val="clear" w:color="000000" w:fill="E7EEEF"/>
            <w:vAlign w:val="center"/>
            <w:hideMark/>
          </w:tcPr>
          <w:p w14:paraId="0A034274"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2.0%</w:t>
            </w:r>
          </w:p>
        </w:tc>
        <w:tc>
          <w:tcPr>
            <w:tcW w:w="1742" w:type="dxa"/>
            <w:tcBorders>
              <w:top w:val="nil"/>
              <w:left w:val="single" w:sz="8" w:space="0" w:color="FFFFFF"/>
              <w:bottom w:val="single" w:sz="12" w:space="0" w:color="FFFFFF"/>
              <w:right w:val="single" w:sz="12" w:space="0" w:color="FFFFFF"/>
            </w:tcBorders>
            <w:shd w:val="clear" w:color="000000" w:fill="E7EEEF"/>
            <w:vAlign w:val="center"/>
            <w:hideMark/>
          </w:tcPr>
          <w:p w14:paraId="3A191FCD"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2.0%</w:t>
            </w:r>
          </w:p>
        </w:tc>
        <w:tc>
          <w:tcPr>
            <w:tcW w:w="1732" w:type="dxa"/>
            <w:tcBorders>
              <w:top w:val="nil"/>
              <w:left w:val="single" w:sz="8" w:space="0" w:color="FFFFFF"/>
              <w:bottom w:val="single" w:sz="12" w:space="0" w:color="FFFFFF"/>
              <w:right w:val="single" w:sz="12" w:space="0" w:color="FFFFFF"/>
            </w:tcBorders>
            <w:shd w:val="clear" w:color="000000" w:fill="E7EEEF"/>
            <w:vAlign w:val="center"/>
            <w:hideMark/>
          </w:tcPr>
          <w:p w14:paraId="70E5D622" w14:textId="77777777" w:rsidR="003C1C00" w:rsidRPr="000D7FA1" w:rsidRDefault="003C1C00" w:rsidP="006F0DCB">
            <w:pPr>
              <w:spacing w:after="0"/>
              <w:jc w:val="center"/>
              <w:rPr>
                <w:rFonts w:ascii="Calibri" w:eastAsia="Times New Roman" w:hAnsi="Calibri" w:cs="Calibri"/>
                <w:color w:val="000000"/>
                <w:sz w:val="20"/>
                <w:lang w:eastAsia="en-GB"/>
              </w:rPr>
            </w:pPr>
            <w:r w:rsidRPr="000D7FA1">
              <w:rPr>
                <w:rFonts w:ascii="Calibri" w:eastAsia="Times New Roman" w:hAnsi="Calibri" w:cs="Calibri"/>
                <w:color w:val="000000"/>
                <w:sz w:val="20"/>
                <w:lang w:eastAsia="en-GB"/>
              </w:rPr>
              <w:t>2.1%</w:t>
            </w:r>
          </w:p>
        </w:tc>
      </w:tr>
    </w:tbl>
    <w:p w14:paraId="1C7BA590" w14:textId="77777777" w:rsidR="003C1C00" w:rsidRDefault="003C1C00" w:rsidP="003C1C00">
      <w:pPr>
        <w:jc w:val="right"/>
      </w:pPr>
      <w:r>
        <w:rPr>
          <w:i/>
          <w:sz w:val="18"/>
        </w:rPr>
        <w:t>Source: UK Major Ports Group data on investment, United Nations, Eurostat, HMRC Overseas Trade Statistics, Cebr analysis</w:t>
      </w:r>
    </w:p>
    <w:p w14:paraId="4E8B3843" w14:textId="77777777" w:rsidR="003C1C00" w:rsidRDefault="003C1C00" w:rsidP="003C1C00">
      <w:pPr>
        <w:pStyle w:val="Heading2"/>
      </w:pPr>
      <w:r>
        <w:t>Impact on GVA</w:t>
      </w:r>
    </w:p>
    <w:p w14:paraId="4DFA4FF6" w14:textId="77777777" w:rsidR="003C1C00" w:rsidRDefault="003C1C00" w:rsidP="003C1C00">
      <w:r>
        <w:t xml:space="preserve">A useful lens in which to view the contribution of the investment to the ports industry and the economy as a whole is to analyse the impact on Gross Value Added (GVA). Mechanically, this is smaller than revenue impact, but in many ways more meaningful as it indicates whether the investment has actually contributed to the production of value within the industry and the UK as a whole. </w:t>
      </w:r>
    </w:p>
    <w:p w14:paraId="16DA603E" w14:textId="77777777" w:rsidR="003C1C00" w:rsidRDefault="003C1C00" w:rsidP="003C1C00">
      <w:r>
        <w:t>To compute this, we have utilised the previous analysis of direct revenue impact from the port freight investment and applied a turnover to GVA ratio consistent with the rest of the industry analysis. From there, we have applied GVA aggregate multipliers to derive the aggregate impact of the investment. As for revenue, this is only the aggregate GVA impact supported by the increased capacity, and thus volume of goods that can pass through ports. Investment in ‘value’ activities, are not captured as part of this analysis.</w:t>
      </w:r>
      <w:r>
        <w:fldChar w:fldCharType="begin"/>
      </w:r>
      <w:r>
        <w:instrText xml:space="preserve"> REF _Ref15476620 \h  \* MERGEFORMAT </w:instrText>
      </w:r>
      <w:r>
        <w:fldChar w:fldCharType="separate"/>
      </w:r>
    </w:p>
    <w:p w14:paraId="52AAF620" w14:textId="77777777" w:rsidR="003C1C00" w:rsidRDefault="003C1C00" w:rsidP="003C1C00">
      <w:r>
        <w:t>Table</w:t>
      </w:r>
      <w:r>
        <w:rPr>
          <w:noProof/>
        </w:rPr>
        <w:t xml:space="preserve"> 10</w:t>
      </w:r>
      <w:r>
        <w:fldChar w:fldCharType="end"/>
      </w:r>
      <w:r>
        <w:t xml:space="preserve"> presents the direct GVA impacts under Scenario 1) for the different CapEx situations. It is clear that, although smaller than the direct revenue impact, port freight investment does yield significant GVA returns. In the standard CapEx scenario in 2017, the port freight investment produced a direct GVA impact of £46 million; 2.2% of the total GVA of the ports industry. Had this been 40% larger, the direct GVA impact may have been £7 million larger at £53 million, equating to 2.6% of the total industry GVA.</w:t>
      </w:r>
    </w:p>
    <w:p w14:paraId="03B10E08" w14:textId="77777777" w:rsidR="003C1C00" w:rsidRPr="001D0019" w:rsidRDefault="003C1C00" w:rsidP="003C1C00">
      <w:pPr>
        <w:pStyle w:val="Caption"/>
      </w:pPr>
      <w: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r>
        <w:t>:</w:t>
      </w:r>
      <w:r w:rsidRPr="001D0019">
        <w:t xml:space="preserve"> </w:t>
      </w:r>
      <w:r>
        <w:t>Port Freight Investment direct impact on GVA under Scenario 1)</w:t>
      </w:r>
    </w:p>
    <w:tbl>
      <w:tblPr>
        <w:tblW w:w="9023" w:type="dxa"/>
        <w:tblLook w:val="04A0" w:firstRow="1" w:lastRow="0" w:firstColumn="1" w:lastColumn="0" w:noHBand="0" w:noVBand="1"/>
      </w:tblPr>
      <w:tblGrid>
        <w:gridCol w:w="1910"/>
        <w:gridCol w:w="1910"/>
        <w:gridCol w:w="1736"/>
        <w:gridCol w:w="1736"/>
        <w:gridCol w:w="1731"/>
      </w:tblGrid>
      <w:tr w:rsidR="003C1C00" w:rsidRPr="00CE5B2D" w14:paraId="73747183" w14:textId="77777777" w:rsidTr="006F0DCB">
        <w:trPr>
          <w:trHeight w:val="333"/>
        </w:trPr>
        <w:tc>
          <w:tcPr>
            <w:tcW w:w="1910" w:type="dxa"/>
            <w:tcBorders>
              <w:top w:val="nil"/>
              <w:left w:val="nil"/>
              <w:bottom w:val="nil"/>
              <w:right w:val="nil"/>
            </w:tcBorders>
            <w:shd w:val="clear" w:color="auto" w:fill="auto"/>
            <w:noWrap/>
            <w:vAlign w:val="bottom"/>
            <w:hideMark/>
          </w:tcPr>
          <w:p w14:paraId="3A740BAB" w14:textId="77777777" w:rsidR="003C1C00" w:rsidRPr="00CE5B2D" w:rsidRDefault="003C1C00" w:rsidP="006F0DCB">
            <w:pPr>
              <w:spacing w:after="0"/>
              <w:rPr>
                <w:rFonts w:ascii="Times New Roman" w:eastAsia="Times New Roman" w:hAnsi="Times New Roman"/>
                <w:sz w:val="20"/>
                <w:szCs w:val="24"/>
                <w:lang w:eastAsia="en-GB"/>
              </w:rPr>
            </w:pPr>
          </w:p>
        </w:tc>
        <w:tc>
          <w:tcPr>
            <w:tcW w:w="7113" w:type="dxa"/>
            <w:gridSpan w:val="4"/>
            <w:tcBorders>
              <w:top w:val="nil"/>
              <w:left w:val="nil"/>
              <w:bottom w:val="single" w:sz="8" w:space="0" w:color="FFFFFF"/>
              <w:right w:val="single" w:sz="8" w:space="0" w:color="FFFFFF"/>
            </w:tcBorders>
            <w:shd w:val="clear" w:color="000000" w:fill="008C9B"/>
            <w:vAlign w:val="center"/>
            <w:hideMark/>
          </w:tcPr>
          <w:p w14:paraId="10F072E5" w14:textId="77777777" w:rsidR="003C1C00" w:rsidRPr="00CE5B2D" w:rsidRDefault="003C1C00" w:rsidP="006F0DCB">
            <w:pPr>
              <w:spacing w:after="0"/>
              <w:jc w:val="center"/>
              <w:rPr>
                <w:rFonts w:ascii="Calibri" w:eastAsia="Times New Roman" w:hAnsi="Calibri" w:cs="Calibri"/>
                <w:b/>
                <w:bCs/>
                <w:color w:val="FFFFFF"/>
                <w:sz w:val="20"/>
                <w:lang w:eastAsia="en-GB"/>
              </w:rPr>
            </w:pPr>
            <w:r w:rsidRPr="00CE5B2D">
              <w:rPr>
                <w:rFonts w:ascii="Calibri" w:eastAsia="Times New Roman" w:hAnsi="Calibri" w:cs="Calibri"/>
                <w:b/>
                <w:bCs/>
                <w:color w:val="FFFFFF"/>
                <w:sz w:val="20"/>
                <w:lang w:eastAsia="en-GB"/>
              </w:rPr>
              <w:t>Scenario 1) Direct GVA impact, £m</w:t>
            </w:r>
          </w:p>
        </w:tc>
      </w:tr>
      <w:tr w:rsidR="003C1C00" w:rsidRPr="00CE5B2D" w14:paraId="14084CD1" w14:textId="77777777" w:rsidTr="006F0DCB">
        <w:trPr>
          <w:trHeight w:val="555"/>
        </w:trPr>
        <w:tc>
          <w:tcPr>
            <w:tcW w:w="1910" w:type="dxa"/>
            <w:tcBorders>
              <w:top w:val="nil"/>
              <w:left w:val="nil"/>
              <w:bottom w:val="nil"/>
              <w:right w:val="nil"/>
            </w:tcBorders>
            <w:shd w:val="clear" w:color="auto" w:fill="auto"/>
            <w:noWrap/>
            <w:vAlign w:val="bottom"/>
            <w:hideMark/>
          </w:tcPr>
          <w:p w14:paraId="5533A2E1" w14:textId="77777777" w:rsidR="003C1C00" w:rsidRPr="00CE5B2D" w:rsidRDefault="003C1C00" w:rsidP="006F0DCB">
            <w:pPr>
              <w:spacing w:after="0"/>
              <w:jc w:val="center"/>
              <w:rPr>
                <w:rFonts w:ascii="Calibri" w:eastAsia="Times New Roman" w:hAnsi="Calibri" w:cs="Calibri"/>
                <w:b/>
                <w:bCs/>
                <w:color w:val="FFFFFF"/>
                <w:sz w:val="20"/>
                <w:lang w:eastAsia="en-GB"/>
              </w:rPr>
            </w:pPr>
          </w:p>
        </w:tc>
        <w:tc>
          <w:tcPr>
            <w:tcW w:w="1910" w:type="dxa"/>
            <w:tcBorders>
              <w:top w:val="nil"/>
              <w:left w:val="nil"/>
              <w:bottom w:val="single" w:sz="8" w:space="0" w:color="FFFFFF"/>
              <w:right w:val="single" w:sz="8" w:space="0" w:color="FFFFFF"/>
            </w:tcBorders>
            <w:shd w:val="clear" w:color="000000" w:fill="008C9B"/>
            <w:vAlign w:val="center"/>
            <w:hideMark/>
          </w:tcPr>
          <w:p w14:paraId="38FC67FB"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Standard CapEx</w:t>
            </w:r>
          </w:p>
        </w:tc>
        <w:tc>
          <w:tcPr>
            <w:tcW w:w="1736" w:type="dxa"/>
            <w:tcBorders>
              <w:top w:val="nil"/>
              <w:left w:val="nil"/>
              <w:bottom w:val="single" w:sz="8" w:space="0" w:color="FFFFFF"/>
              <w:right w:val="single" w:sz="8" w:space="0" w:color="FFFFFF"/>
            </w:tcBorders>
            <w:shd w:val="clear" w:color="000000" w:fill="008C9B"/>
            <w:vAlign w:val="center"/>
            <w:hideMark/>
          </w:tcPr>
          <w:p w14:paraId="462DE4A5"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+ 10%</w:t>
            </w:r>
          </w:p>
        </w:tc>
        <w:tc>
          <w:tcPr>
            <w:tcW w:w="1736" w:type="dxa"/>
            <w:tcBorders>
              <w:top w:val="nil"/>
              <w:left w:val="nil"/>
              <w:bottom w:val="single" w:sz="8" w:space="0" w:color="FFFFFF"/>
              <w:right w:val="single" w:sz="8" w:space="0" w:color="FFFFFF"/>
            </w:tcBorders>
            <w:shd w:val="clear" w:color="000000" w:fill="008C9B"/>
            <w:vAlign w:val="center"/>
            <w:hideMark/>
          </w:tcPr>
          <w:p w14:paraId="69A96D53"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+ 20%</w:t>
            </w:r>
          </w:p>
        </w:tc>
        <w:tc>
          <w:tcPr>
            <w:tcW w:w="1729" w:type="dxa"/>
            <w:tcBorders>
              <w:top w:val="nil"/>
              <w:left w:val="nil"/>
              <w:bottom w:val="single" w:sz="8" w:space="0" w:color="FFFFFF"/>
              <w:right w:val="single" w:sz="8" w:space="0" w:color="FFFFFF"/>
            </w:tcBorders>
            <w:shd w:val="clear" w:color="000000" w:fill="008C9B"/>
            <w:vAlign w:val="center"/>
            <w:hideMark/>
          </w:tcPr>
          <w:p w14:paraId="23D3EBC3"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+ 40%</w:t>
            </w:r>
          </w:p>
        </w:tc>
      </w:tr>
      <w:tr w:rsidR="003C1C00" w:rsidRPr="00CE5B2D" w14:paraId="2888363F" w14:textId="77777777" w:rsidTr="006F0DCB">
        <w:trPr>
          <w:trHeight w:val="333"/>
        </w:trPr>
        <w:tc>
          <w:tcPr>
            <w:tcW w:w="1910"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1D77B183" w14:textId="77777777" w:rsidR="003C1C00" w:rsidRPr="00CE5B2D" w:rsidRDefault="003C1C00" w:rsidP="006F0DCB">
            <w:pPr>
              <w:spacing w:after="0"/>
              <w:jc w:val="center"/>
              <w:rPr>
                <w:rFonts w:ascii="Calibri" w:eastAsia="Times New Roman" w:hAnsi="Calibri" w:cs="Calibri"/>
                <w:b/>
                <w:bCs/>
                <w:color w:val="FFFFFF"/>
                <w:sz w:val="20"/>
                <w:lang w:eastAsia="en-GB"/>
              </w:rPr>
            </w:pPr>
            <w:r w:rsidRPr="00CE5B2D">
              <w:rPr>
                <w:rFonts w:ascii="Calibri" w:eastAsia="Times New Roman" w:hAnsi="Calibri" w:cs="Calibri"/>
                <w:b/>
                <w:bCs/>
                <w:color w:val="FFFFFF"/>
                <w:sz w:val="20"/>
                <w:lang w:eastAsia="en-GB"/>
              </w:rPr>
              <w:t>2015</w:t>
            </w:r>
          </w:p>
        </w:tc>
        <w:tc>
          <w:tcPr>
            <w:tcW w:w="1910" w:type="dxa"/>
            <w:tcBorders>
              <w:top w:val="nil"/>
              <w:left w:val="nil"/>
              <w:bottom w:val="single" w:sz="8" w:space="0" w:color="FFFFFF"/>
              <w:right w:val="single" w:sz="8" w:space="0" w:color="FFFFFF"/>
            </w:tcBorders>
            <w:shd w:val="clear" w:color="000000" w:fill="D0CECE"/>
            <w:vAlign w:val="center"/>
            <w:hideMark/>
          </w:tcPr>
          <w:p w14:paraId="13E1C24A"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44</w:t>
            </w:r>
          </w:p>
        </w:tc>
        <w:tc>
          <w:tcPr>
            <w:tcW w:w="1736" w:type="dxa"/>
            <w:tcBorders>
              <w:top w:val="nil"/>
              <w:left w:val="nil"/>
              <w:bottom w:val="single" w:sz="8" w:space="0" w:color="FFFFFF"/>
              <w:right w:val="single" w:sz="8" w:space="0" w:color="FFFFFF"/>
            </w:tcBorders>
            <w:shd w:val="clear" w:color="000000" w:fill="D0CECE"/>
            <w:vAlign w:val="center"/>
            <w:hideMark/>
          </w:tcPr>
          <w:p w14:paraId="56E7403D"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48</w:t>
            </w:r>
          </w:p>
        </w:tc>
        <w:tc>
          <w:tcPr>
            <w:tcW w:w="1736" w:type="dxa"/>
            <w:tcBorders>
              <w:top w:val="nil"/>
              <w:left w:val="nil"/>
              <w:bottom w:val="single" w:sz="8" w:space="0" w:color="FFFFFF"/>
              <w:right w:val="single" w:sz="8" w:space="0" w:color="FFFFFF"/>
            </w:tcBorders>
            <w:shd w:val="clear" w:color="000000" w:fill="D0CECE"/>
            <w:vAlign w:val="center"/>
            <w:hideMark/>
          </w:tcPr>
          <w:p w14:paraId="00983636"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53</w:t>
            </w:r>
          </w:p>
        </w:tc>
        <w:tc>
          <w:tcPr>
            <w:tcW w:w="1729" w:type="dxa"/>
            <w:tcBorders>
              <w:top w:val="nil"/>
              <w:left w:val="nil"/>
              <w:bottom w:val="single" w:sz="8" w:space="0" w:color="FFFFFF"/>
              <w:right w:val="single" w:sz="8" w:space="0" w:color="FFFFFF"/>
            </w:tcBorders>
            <w:shd w:val="clear" w:color="000000" w:fill="D0CECE"/>
            <w:vAlign w:val="center"/>
            <w:hideMark/>
          </w:tcPr>
          <w:p w14:paraId="6A64651F"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62</w:t>
            </w:r>
          </w:p>
        </w:tc>
      </w:tr>
      <w:tr w:rsidR="003C1C00" w:rsidRPr="00CE5B2D" w14:paraId="1DC0CE07" w14:textId="77777777" w:rsidTr="006F0DCB">
        <w:trPr>
          <w:trHeight w:val="349"/>
        </w:trPr>
        <w:tc>
          <w:tcPr>
            <w:tcW w:w="1910"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0C95E7FB" w14:textId="77777777" w:rsidR="003C1C00" w:rsidRPr="00CE5B2D" w:rsidRDefault="003C1C00" w:rsidP="006F0DCB">
            <w:pPr>
              <w:spacing w:after="0"/>
              <w:jc w:val="center"/>
              <w:rPr>
                <w:rFonts w:ascii="Calibri" w:eastAsia="Times New Roman" w:hAnsi="Calibri" w:cs="Calibri"/>
                <w:b/>
                <w:bCs/>
                <w:color w:val="FFFFFF"/>
                <w:sz w:val="20"/>
                <w:lang w:eastAsia="en-GB"/>
              </w:rPr>
            </w:pPr>
            <w:r w:rsidRPr="00CE5B2D">
              <w:rPr>
                <w:rFonts w:ascii="Calibri" w:eastAsia="Times New Roman" w:hAnsi="Calibri" w:cs="Calibri"/>
                <w:b/>
                <w:bCs/>
                <w:color w:val="FFFFFF"/>
                <w:sz w:val="20"/>
                <w:lang w:eastAsia="en-GB"/>
              </w:rPr>
              <w:t>2016</w:t>
            </w:r>
          </w:p>
        </w:tc>
        <w:tc>
          <w:tcPr>
            <w:tcW w:w="1910" w:type="dxa"/>
            <w:tcBorders>
              <w:top w:val="nil"/>
              <w:left w:val="single" w:sz="8" w:space="0" w:color="FFFFFF"/>
              <w:bottom w:val="single" w:sz="12" w:space="0" w:color="FFFFFF"/>
              <w:right w:val="single" w:sz="12" w:space="0" w:color="FFFFFF"/>
            </w:tcBorders>
            <w:shd w:val="clear" w:color="000000" w:fill="E7EEEF"/>
            <w:vAlign w:val="center"/>
            <w:hideMark/>
          </w:tcPr>
          <w:p w14:paraId="6DF13A88"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46</w:t>
            </w:r>
          </w:p>
        </w:tc>
        <w:tc>
          <w:tcPr>
            <w:tcW w:w="1736" w:type="dxa"/>
            <w:tcBorders>
              <w:top w:val="nil"/>
              <w:left w:val="single" w:sz="8" w:space="0" w:color="FFFFFF"/>
              <w:bottom w:val="single" w:sz="12" w:space="0" w:color="FFFFFF"/>
              <w:right w:val="single" w:sz="12" w:space="0" w:color="FFFFFF"/>
            </w:tcBorders>
            <w:shd w:val="clear" w:color="000000" w:fill="E7EEEF"/>
            <w:vAlign w:val="center"/>
            <w:hideMark/>
          </w:tcPr>
          <w:p w14:paraId="5A5F7601"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47</w:t>
            </w:r>
          </w:p>
        </w:tc>
        <w:tc>
          <w:tcPr>
            <w:tcW w:w="1736" w:type="dxa"/>
            <w:tcBorders>
              <w:top w:val="nil"/>
              <w:left w:val="single" w:sz="8" w:space="0" w:color="FFFFFF"/>
              <w:bottom w:val="single" w:sz="12" w:space="0" w:color="FFFFFF"/>
              <w:right w:val="single" w:sz="12" w:space="0" w:color="FFFFFF"/>
            </w:tcBorders>
            <w:shd w:val="clear" w:color="000000" w:fill="E7EEEF"/>
            <w:vAlign w:val="center"/>
            <w:hideMark/>
          </w:tcPr>
          <w:p w14:paraId="1B3EF548"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47</w:t>
            </w:r>
          </w:p>
        </w:tc>
        <w:tc>
          <w:tcPr>
            <w:tcW w:w="1729" w:type="dxa"/>
            <w:tcBorders>
              <w:top w:val="nil"/>
              <w:left w:val="single" w:sz="8" w:space="0" w:color="FFFFFF"/>
              <w:bottom w:val="single" w:sz="12" w:space="0" w:color="FFFFFF"/>
              <w:right w:val="single" w:sz="12" w:space="0" w:color="FFFFFF"/>
            </w:tcBorders>
            <w:shd w:val="clear" w:color="000000" w:fill="E7EEEF"/>
            <w:vAlign w:val="center"/>
            <w:hideMark/>
          </w:tcPr>
          <w:p w14:paraId="59549ABB"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48</w:t>
            </w:r>
          </w:p>
        </w:tc>
      </w:tr>
      <w:tr w:rsidR="003C1C00" w:rsidRPr="00CE5B2D" w14:paraId="77E8DCDB" w14:textId="77777777" w:rsidTr="006F0DCB">
        <w:trPr>
          <w:trHeight w:val="349"/>
        </w:trPr>
        <w:tc>
          <w:tcPr>
            <w:tcW w:w="1910"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08ACB112" w14:textId="77777777" w:rsidR="003C1C00" w:rsidRPr="00CE5B2D" w:rsidRDefault="003C1C00" w:rsidP="006F0DCB">
            <w:pPr>
              <w:spacing w:after="0"/>
              <w:jc w:val="center"/>
              <w:rPr>
                <w:rFonts w:ascii="Calibri" w:eastAsia="Times New Roman" w:hAnsi="Calibri" w:cs="Calibri"/>
                <w:b/>
                <w:bCs/>
                <w:color w:val="FFFFFF"/>
                <w:sz w:val="20"/>
                <w:lang w:eastAsia="en-GB"/>
              </w:rPr>
            </w:pPr>
            <w:r w:rsidRPr="00CE5B2D">
              <w:rPr>
                <w:rFonts w:ascii="Calibri" w:eastAsia="Times New Roman" w:hAnsi="Calibri" w:cs="Calibri"/>
                <w:b/>
                <w:bCs/>
                <w:color w:val="FFFFFF"/>
                <w:sz w:val="20"/>
                <w:lang w:eastAsia="en-GB"/>
              </w:rPr>
              <w:t>2017</w:t>
            </w:r>
          </w:p>
        </w:tc>
        <w:tc>
          <w:tcPr>
            <w:tcW w:w="1910" w:type="dxa"/>
            <w:tcBorders>
              <w:top w:val="nil"/>
              <w:left w:val="nil"/>
              <w:bottom w:val="single" w:sz="8" w:space="0" w:color="FFFFFF"/>
              <w:right w:val="single" w:sz="8" w:space="0" w:color="FFFFFF"/>
            </w:tcBorders>
            <w:shd w:val="clear" w:color="000000" w:fill="D0CECE"/>
            <w:vAlign w:val="center"/>
            <w:hideMark/>
          </w:tcPr>
          <w:p w14:paraId="6411C0CD"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46</w:t>
            </w:r>
          </w:p>
        </w:tc>
        <w:tc>
          <w:tcPr>
            <w:tcW w:w="1736" w:type="dxa"/>
            <w:tcBorders>
              <w:top w:val="nil"/>
              <w:left w:val="nil"/>
              <w:bottom w:val="single" w:sz="8" w:space="0" w:color="FFFFFF"/>
              <w:right w:val="single" w:sz="8" w:space="0" w:color="FFFFFF"/>
            </w:tcBorders>
            <w:shd w:val="clear" w:color="000000" w:fill="D0CECE"/>
            <w:vAlign w:val="center"/>
            <w:hideMark/>
          </w:tcPr>
          <w:p w14:paraId="181E5A55"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52</w:t>
            </w:r>
          </w:p>
        </w:tc>
        <w:tc>
          <w:tcPr>
            <w:tcW w:w="1736" w:type="dxa"/>
            <w:tcBorders>
              <w:top w:val="nil"/>
              <w:left w:val="nil"/>
              <w:bottom w:val="single" w:sz="8" w:space="0" w:color="FFFFFF"/>
              <w:right w:val="single" w:sz="8" w:space="0" w:color="FFFFFF"/>
            </w:tcBorders>
            <w:shd w:val="clear" w:color="000000" w:fill="D0CECE"/>
            <w:vAlign w:val="center"/>
            <w:hideMark/>
          </w:tcPr>
          <w:p w14:paraId="5F7C2AE5"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52</w:t>
            </w:r>
          </w:p>
        </w:tc>
        <w:tc>
          <w:tcPr>
            <w:tcW w:w="1729" w:type="dxa"/>
            <w:tcBorders>
              <w:top w:val="nil"/>
              <w:left w:val="nil"/>
              <w:bottom w:val="single" w:sz="8" w:space="0" w:color="FFFFFF"/>
              <w:right w:val="single" w:sz="8" w:space="0" w:color="FFFFFF"/>
            </w:tcBorders>
            <w:shd w:val="clear" w:color="000000" w:fill="D0CECE"/>
            <w:vAlign w:val="center"/>
            <w:hideMark/>
          </w:tcPr>
          <w:p w14:paraId="39867FFD"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53</w:t>
            </w:r>
          </w:p>
        </w:tc>
      </w:tr>
      <w:tr w:rsidR="003C1C00" w:rsidRPr="00CE5B2D" w14:paraId="71E8FF20" w14:textId="77777777" w:rsidTr="006F0DCB">
        <w:trPr>
          <w:trHeight w:val="671"/>
        </w:trPr>
        <w:tc>
          <w:tcPr>
            <w:tcW w:w="1910"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3B6DB67E" w14:textId="77777777" w:rsidR="003C1C00" w:rsidRPr="00CE5B2D"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2017 investment revenue</w:t>
            </w:r>
            <w:r w:rsidRPr="002E7FB2">
              <w:rPr>
                <w:rFonts w:ascii="Calibri" w:eastAsia="Times New Roman" w:hAnsi="Calibri" w:cs="Calibri"/>
                <w:b/>
                <w:bCs/>
                <w:color w:val="FFFFFF"/>
                <w:sz w:val="20"/>
                <w:lang w:eastAsia="en-GB"/>
              </w:rPr>
              <w:t xml:space="preserve"> </w:t>
            </w:r>
            <w:r>
              <w:rPr>
                <w:rFonts w:ascii="Calibri" w:eastAsia="Times New Roman" w:hAnsi="Calibri" w:cs="Calibri"/>
                <w:b/>
                <w:bCs/>
                <w:color w:val="FFFFFF"/>
                <w:sz w:val="20"/>
                <w:lang w:eastAsia="en-GB"/>
              </w:rPr>
              <w:t>as % of ports industry revenue</w:t>
            </w:r>
          </w:p>
        </w:tc>
        <w:tc>
          <w:tcPr>
            <w:tcW w:w="1910" w:type="dxa"/>
            <w:tcBorders>
              <w:top w:val="nil"/>
              <w:left w:val="single" w:sz="8" w:space="0" w:color="FFFFFF"/>
              <w:bottom w:val="single" w:sz="12" w:space="0" w:color="FFFFFF"/>
              <w:right w:val="single" w:sz="12" w:space="0" w:color="FFFFFF"/>
            </w:tcBorders>
            <w:shd w:val="clear" w:color="000000" w:fill="E7EEEF"/>
            <w:vAlign w:val="center"/>
            <w:hideMark/>
          </w:tcPr>
          <w:p w14:paraId="7AFEE034"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2.2%</w:t>
            </w:r>
          </w:p>
        </w:tc>
        <w:tc>
          <w:tcPr>
            <w:tcW w:w="1736" w:type="dxa"/>
            <w:tcBorders>
              <w:top w:val="nil"/>
              <w:left w:val="single" w:sz="8" w:space="0" w:color="FFFFFF"/>
              <w:bottom w:val="single" w:sz="12" w:space="0" w:color="FFFFFF"/>
              <w:right w:val="single" w:sz="12" w:space="0" w:color="FFFFFF"/>
            </w:tcBorders>
            <w:shd w:val="clear" w:color="000000" w:fill="E7EEEF"/>
            <w:vAlign w:val="center"/>
            <w:hideMark/>
          </w:tcPr>
          <w:p w14:paraId="1EEC2254"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2.5%</w:t>
            </w:r>
          </w:p>
        </w:tc>
        <w:tc>
          <w:tcPr>
            <w:tcW w:w="1736" w:type="dxa"/>
            <w:tcBorders>
              <w:top w:val="nil"/>
              <w:left w:val="single" w:sz="8" w:space="0" w:color="FFFFFF"/>
              <w:bottom w:val="single" w:sz="12" w:space="0" w:color="FFFFFF"/>
              <w:right w:val="single" w:sz="12" w:space="0" w:color="FFFFFF"/>
            </w:tcBorders>
            <w:shd w:val="clear" w:color="000000" w:fill="E7EEEF"/>
            <w:vAlign w:val="center"/>
            <w:hideMark/>
          </w:tcPr>
          <w:p w14:paraId="63EDB8AB"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2.5%</w:t>
            </w:r>
          </w:p>
        </w:tc>
        <w:tc>
          <w:tcPr>
            <w:tcW w:w="1729" w:type="dxa"/>
            <w:tcBorders>
              <w:top w:val="nil"/>
              <w:left w:val="single" w:sz="8" w:space="0" w:color="FFFFFF"/>
              <w:bottom w:val="single" w:sz="12" w:space="0" w:color="FFFFFF"/>
              <w:right w:val="single" w:sz="12" w:space="0" w:color="FFFFFF"/>
            </w:tcBorders>
            <w:shd w:val="clear" w:color="000000" w:fill="E7EEEF"/>
            <w:vAlign w:val="center"/>
            <w:hideMark/>
          </w:tcPr>
          <w:p w14:paraId="31D27541"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2.6%</w:t>
            </w:r>
          </w:p>
        </w:tc>
      </w:tr>
    </w:tbl>
    <w:p w14:paraId="12905787" w14:textId="77777777" w:rsidR="003C1C00" w:rsidRDefault="003C1C00" w:rsidP="003C1C00">
      <w:pPr>
        <w:jc w:val="right"/>
        <w:rPr>
          <w:i/>
          <w:sz w:val="18"/>
        </w:rPr>
      </w:pPr>
      <w:r>
        <w:rPr>
          <w:i/>
          <w:sz w:val="18"/>
        </w:rPr>
        <w:t>Source: UK Major Ports Group data on investment, United Nations, Eurostat, HMRC Overseas Trade Statistics, Cebr analysis</w:t>
      </w:r>
    </w:p>
    <w:p w14:paraId="467A94E8" w14:textId="77777777" w:rsidR="003C1C00" w:rsidRDefault="003C1C00" w:rsidP="003C1C00">
      <w:r>
        <w:fldChar w:fldCharType="begin"/>
      </w:r>
      <w:r>
        <w:instrText xml:space="preserve"> REF _Ref15483368 \h </w:instrText>
      </w:r>
      <w:r>
        <w:fldChar w:fldCharType="separate"/>
      </w:r>
      <w:r>
        <w:t xml:space="preserve">Table </w:t>
      </w:r>
      <w:r>
        <w:rPr>
          <w:noProof/>
        </w:rPr>
        <w:t>11</w:t>
      </w:r>
      <w:r>
        <w:fldChar w:fldCharType="end"/>
      </w:r>
      <w:r>
        <w:t xml:space="preserve"> presents the aggregate impacts under Scenario 1) for each CapEx situation. This can be interpreted as the additional value added through the supply chain of the ports industry supported by the additional investment. Similar to the direct impacts, it is clear that the port freight investment does significantly support GVA through the ports industry. In 2017, Under the Standard CapEx scenario, the aggregate impact of the investment is £148 million, equating to 2.3% of the aggregate impact of the ports industry’s GVA. </w:t>
      </w:r>
    </w:p>
    <w:p w14:paraId="67AF7154" w14:textId="77777777" w:rsidR="003C1C00" w:rsidRDefault="003C1C00" w:rsidP="003C1C00">
      <w:r>
        <w:t xml:space="preserve">Under Scenario 1), the aggregate GVA impact from the port freight investment means that in 2017 for every £1 invested, a further £0.26 of GVA is supported.  </w:t>
      </w:r>
    </w:p>
    <w:p w14:paraId="509B96AE" w14:textId="77777777" w:rsidR="003C1C00" w:rsidRPr="001D0019" w:rsidRDefault="003C1C00" w:rsidP="003C1C00">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r>
        <w:t>: Port Freight Investment aggregate impact on GVA under Scenario 1)</w:t>
      </w:r>
    </w:p>
    <w:tbl>
      <w:tblPr>
        <w:tblW w:w="9061" w:type="dxa"/>
        <w:tblLook w:val="04A0" w:firstRow="1" w:lastRow="0" w:firstColumn="1" w:lastColumn="0" w:noHBand="0" w:noVBand="1"/>
      </w:tblPr>
      <w:tblGrid>
        <w:gridCol w:w="1916"/>
        <w:gridCol w:w="1916"/>
        <w:gridCol w:w="1742"/>
        <w:gridCol w:w="1742"/>
        <w:gridCol w:w="1745"/>
      </w:tblGrid>
      <w:tr w:rsidR="003C1C00" w:rsidRPr="00CE5B2D" w14:paraId="53E8AAFD" w14:textId="77777777" w:rsidTr="006F0DCB">
        <w:trPr>
          <w:trHeight w:val="329"/>
        </w:trPr>
        <w:tc>
          <w:tcPr>
            <w:tcW w:w="1916" w:type="dxa"/>
            <w:tcBorders>
              <w:top w:val="nil"/>
              <w:left w:val="nil"/>
              <w:bottom w:val="nil"/>
              <w:right w:val="nil"/>
            </w:tcBorders>
            <w:shd w:val="clear" w:color="auto" w:fill="auto"/>
            <w:noWrap/>
            <w:vAlign w:val="bottom"/>
            <w:hideMark/>
          </w:tcPr>
          <w:p w14:paraId="7BF07204" w14:textId="77777777" w:rsidR="003C1C00" w:rsidRPr="00CE5B2D" w:rsidRDefault="003C1C00" w:rsidP="006F0DCB">
            <w:pPr>
              <w:spacing w:after="0"/>
              <w:rPr>
                <w:rFonts w:ascii="Times New Roman" w:eastAsia="Times New Roman" w:hAnsi="Times New Roman"/>
                <w:sz w:val="20"/>
                <w:szCs w:val="24"/>
                <w:lang w:eastAsia="en-GB"/>
              </w:rPr>
            </w:pPr>
          </w:p>
        </w:tc>
        <w:tc>
          <w:tcPr>
            <w:tcW w:w="7145" w:type="dxa"/>
            <w:gridSpan w:val="4"/>
            <w:tcBorders>
              <w:top w:val="nil"/>
              <w:left w:val="nil"/>
              <w:bottom w:val="single" w:sz="8" w:space="0" w:color="FFFFFF"/>
              <w:right w:val="single" w:sz="8" w:space="0" w:color="FFFFFF"/>
            </w:tcBorders>
            <w:shd w:val="clear" w:color="000000" w:fill="008C9B"/>
            <w:vAlign w:val="center"/>
            <w:hideMark/>
          </w:tcPr>
          <w:p w14:paraId="5252F75E" w14:textId="77777777" w:rsidR="003C1C00" w:rsidRPr="00CE5B2D" w:rsidRDefault="003C1C00" w:rsidP="006F0DCB">
            <w:pPr>
              <w:spacing w:after="0"/>
              <w:jc w:val="center"/>
              <w:rPr>
                <w:rFonts w:ascii="Calibri" w:eastAsia="Times New Roman" w:hAnsi="Calibri" w:cs="Calibri"/>
                <w:b/>
                <w:bCs/>
                <w:color w:val="FFFFFF"/>
                <w:sz w:val="20"/>
                <w:lang w:eastAsia="en-GB"/>
              </w:rPr>
            </w:pPr>
            <w:r w:rsidRPr="00CE5B2D">
              <w:rPr>
                <w:rFonts w:ascii="Calibri" w:eastAsia="Times New Roman" w:hAnsi="Calibri" w:cs="Calibri"/>
                <w:b/>
                <w:bCs/>
                <w:color w:val="FFFFFF"/>
                <w:sz w:val="20"/>
                <w:lang w:eastAsia="en-GB"/>
              </w:rPr>
              <w:t>Scenario 1) Aggregate GVA impact, £m</w:t>
            </w:r>
          </w:p>
        </w:tc>
      </w:tr>
      <w:tr w:rsidR="003C1C00" w:rsidRPr="00CE5B2D" w14:paraId="5BA38710" w14:textId="77777777" w:rsidTr="006F0DCB">
        <w:trPr>
          <w:trHeight w:val="549"/>
        </w:trPr>
        <w:tc>
          <w:tcPr>
            <w:tcW w:w="1916" w:type="dxa"/>
            <w:tcBorders>
              <w:top w:val="nil"/>
              <w:left w:val="nil"/>
              <w:bottom w:val="nil"/>
              <w:right w:val="nil"/>
            </w:tcBorders>
            <w:shd w:val="clear" w:color="auto" w:fill="auto"/>
            <w:noWrap/>
            <w:vAlign w:val="bottom"/>
            <w:hideMark/>
          </w:tcPr>
          <w:p w14:paraId="1FF47D96" w14:textId="77777777" w:rsidR="003C1C00" w:rsidRPr="00CE5B2D" w:rsidRDefault="003C1C00" w:rsidP="006F0DCB">
            <w:pPr>
              <w:spacing w:after="0"/>
              <w:jc w:val="center"/>
              <w:rPr>
                <w:rFonts w:ascii="Calibri" w:eastAsia="Times New Roman" w:hAnsi="Calibri" w:cs="Calibri"/>
                <w:b/>
                <w:bCs/>
                <w:color w:val="FFFFFF"/>
                <w:sz w:val="20"/>
                <w:lang w:eastAsia="en-GB"/>
              </w:rPr>
            </w:pPr>
          </w:p>
        </w:tc>
        <w:tc>
          <w:tcPr>
            <w:tcW w:w="1916" w:type="dxa"/>
            <w:tcBorders>
              <w:top w:val="nil"/>
              <w:left w:val="nil"/>
              <w:bottom w:val="single" w:sz="8" w:space="0" w:color="FFFFFF"/>
              <w:right w:val="single" w:sz="8" w:space="0" w:color="FFFFFF"/>
            </w:tcBorders>
            <w:shd w:val="clear" w:color="000000" w:fill="008C9B"/>
            <w:vAlign w:val="center"/>
            <w:hideMark/>
          </w:tcPr>
          <w:p w14:paraId="01829686"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Standard CapEx</w:t>
            </w:r>
          </w:p>
        </w:tc>
        <w:tc>
          <w:tcPr>
            <w:tcW w:w="1742" w:type="dxa"/>
            <w:tcBorders>
              <w:top w:val="nil"/>
              <w:left w:val="nil"/>
              <w:bottom w:val="single" w:sz="8" w:space="0" w:color="FFFFFF"/>
              <w:right w:val="single" w:sz="8" w:space="0" w:color="FFFFFF"/>
            </w:tcBorders>
            <w:shd w:val="clear" w:color="000000" w:fill="008C9B"/>
            <w:vAlign w:val="center"/>
            <w:hideMark/>
          </w:tcPr>
          <w:p w14:paraId="09D53A8C"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+ 10%</w:t>
            </w:r>
          </w:p>
        </w:tc>
        <w:tc>
          <w:tcPr>
            <w:tcW w:w="1742" w:type="dxa"/>
            <w:tcBorders>
              <w:top w:val="nil"/>
              <w:left w:val="nil"/>
              <w:bottom w:val="single" w:sz="8" w:space="0" w:color="FFFFFF"/>
              <w:right w:val="single" w:sz="8" w:space="0" w:color="FFFFFF"/>
            </w:tcBorders>
            <w:shd w:val="clear" w:color="000000" w:fill="008C9B"/>
            <w:vAlign w:val="center"/>
            <w:hideMark/>
          </w:tcPr>
          <w:p w14:paraId="5433B240"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+ 20%</w:t>
            </w:r>
          </w:p>
        </w:tc>
        <w:tc>
          <w:tcPr>
            <w:tcW w:w="1744" w:type="dxa"/>
            <w:tcBorders>
              <w:top w:val="nil"/>
              <w:left w:val="nil"/>
              <w:bottom w:val="single" w:sz="8" w:space="0" w:color="FFFFFF"/>
              <w:right w:val="single" w:sz="8" w:space="0" w:color="FFFFFF"/>
            </w:tcBorders>
            <w:shd w:val="clear" w:color="000000" w:fill="008C9B"/>
            <w:vAlign w:val="center"/>
            <w:hideMark/>
          </w:tcPr>
          <w:p w14:paraId="5E4A18BA"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+ 40%</w:t>
            </w:r>
          </w:p>
        </w:tc>
      </w:tr>
      <w:tr w:rsidR="003C1C00" w:rsidRPr="00CE5B2D" w14:paraId="74E85822" w14:textId="77777777" w:rsidTr="006F0DCB">
        <w:trPr>
          <w:trHeight w:val="329"/>
        </w:trPr>
        <w:tc>
          <w:tcPr>
            <w:tcW w:w="191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2B815571" w14:textId="77777777" w:rsidR="003C1C00" w:rsidRPr="00CE5B2D" w:rsidRDefault="003C1C00" w:rsidP="006F0DCB">
            <w:pPr>
              <w:spacing w:after="0"/>
              <w:jc w:val="center"/>
              <w:rPr>
                <w:rFonts w:ascii="Calibri" w:eastAsia="Times New Roman" w:hAnsi="Calibri" w:cs="Calibri"/>
                <w:b/>
                <w:bCs/>
                <w:color w:val="FFFFFF"/>
                <w:sz w:val="20"/>
                <w:lang w:eastAsia="en-GB"/>
              </w:rPr>
            </w:pPr>
            <w:r w:rsidRPr="00CE5B2D">
              <w:rPr>
                <w:rFonts w:ascii="Calibri" w:eastAsia="Times New Roman" w:hAnsi="Calibri" w:cs="Calibri"/>
                <w:b/>
                <w:bCs/>
                <w:color w:val="FFFFFF"/>
                <w:sz w:val="20"/>
                <w:lang w:eastAsia="en-GB"/>
              </w:rPr>
              <w:t>2015</w:t>
            </w:r>
          </w:p>
        </w:tc>
        <w:tc>
          <w:tcPr>
            <w:tcW w:w="1916" w:type="dxa"/>
            <w:tcBorders>
              <w:top w:val="nil"/>
              <w:left w:val="nil"/>
              <w:bottom w:val="single" w:sz="8" w:space="0" w:color="FFFFFF"/>
              <w:right w:val="single" w:sz="8" w:space="0" w:color="FFFFFF"/>
            </w:tcBorders>
            <w:shd w:val="clear" w:color="000000" w:fill="D0CECE"/>
            <w:vAlign w:val="center"/>
            <w:hideMark/>
          </w:tcPr>
          <w:p w14:paraId="1BB7A7B8"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142</w:t>
            </w:r>
          </w:p>
        </w:tc>
        <w:tc>
          <w:tcPr>
            <w:tcW w:w="1742" w:type="dxa"/>
            <w:tcBorders>
              <w:top w:val="nil"/>
              <w:left w:val="nil"/>
              <w:bottom w:val="single" w:sz="8" w:space="0" w:color="FFFFFF"/>
              <w:right w:val="single" w:sz="8" w:space="0" w:color="FFFFFF"/>
            </w:tcBorders>
            <w:shd w:val="clear" w:color="000000" w:fill="D0CECE"/>
            <w:vAlign w:val="center"/>
            <w:hideMark/>
          </w:tcPr>
          <w:p w14:paraId="6FAA053F"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156</w:t>
            </w:r>
          </w:p>
        </w:tc>
        <w:tc>
          <w:tcPr>
            <w:tcW w:w="1742" w:type="dxa"/>
            <w:tcBorders>
              <w:top w:val="nil"/>
              <w:left w:val="nil"/>
              <w:bottom w:val="single" w:sz="8" w:space="0" w:color="FFFFFF"/>
              <w:right w:val="single" w:sz="8" w:space="0" w:color="FFFFFF"/>
            </w:tcBorders>
            <w:shd w:val="clear" w:color="000000" w:fill="D0CECE"/>
            <w:vAlign w:val="center"/>
            <w:hideMark/>
          </w:tcPr>
          <w:p w14:paraId="6898460F"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171</w:t>
            </w:r>
          </w:p>
        </w:tc>
        <w:tc>
          <w:tcPr>
            <w:tcW w:w="1744" w:type="dxa"/>
            <w:tcBorders>
              <w:top w:val="nil"/>
              <w:left w:val="nil"/>
              <w:bottom w:val="single" w:sz="8" w:space="0" w:color="FFFFFF"/>
              <w:right w:val="single" w:sz="8" w:space="0" w:color="FFFFFF"/>
            </w:tcBorders>
            <w:shd w:val="clear" w:color="000000" w:fill="D0CECE"/>
            <w:vAlign w:val="center"/>
            <w:hideMark/>
          </w:tcPr>
          <w:p w14:paraId="34C4972D"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199</w:t>
            </w:r>
          </w:p>
        </w:tc>
      </w:tr>
      <w:tr w:rsidR="003C1C00" w:rsidRPr="00CE5B2D" w14:paraId="026B278C" w14:textId="77777777" w:rsidTr="006F0DCB">
        <w:trPr>
          <w:trHeight w:val="345"/>
        </w:trPr>
        <w:tc>
          <w:tcPr>
            <w:tcW w:w="191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108A18CD" w14:textId="77777777" w:rsidR="003C1C00" w:rsidRPr="00CE5B2D" w:rsidRDefault="003C1C00" w:rsidP="006F0DCB">
            <w:pPr>
              <w:spacing w:after="0"/>
              <w:jc w:val="center"/>
              <w:rPr>
                <w:rFonts w:ascii="Calibri" w:eastAsia="Times New Roman" w:hAnsi="Calibri" w:cs="Calibri"/>
                <w:b/>
                <w:bCs/>
                <w:color w:val="FFFFFF"/>
                <w:sz w:val="20"/>
                <w:lang w:eastAsia="en-GB"/>
              </w:rPr>
            </w:pPr>
            <w:r w:rsidRPr="00CE5B2D">
              <w:rPr>
                <w:rFonts w:ascii="Calibri" w:eastAsia="Times New Roman" w:hAnsi="Calibri" w:cs="Calibri"/>
                <w:b/>
                <w:bCs/>
                <w:color w:val="FFFFFF"/>
                <w:sz w:val="20"/>
                <w:lang w:eastAsia="en-GB"/>
              </w:rPr>
              <w:t>2016</w:t>
            </w:r>
          </w:p>
        </w:tc>
        <w:tc>
          <w:tcPr>
            <w:tcW w:w="1916" w:type="dxa"/>
            <w:tcBorders>
              <w:top w:val="nil"/>
              <w:left w:val="single" w:sz="8" w:space="0" w:color="FFFFFF"/>
              <w:bottom w:val="single" w:sz="12" w:space="0" w:color="FFFFFF"/>
              <w:right w:val="single" w:sz="12" w:space="0" w:color="FFFFFF"/>
            </w:tcBorders>
            <w:shd w:val="clear" w:color="000000" w:fill="E7EEEF"/>
            <w:vAlign w:val="center"/>
            <w:hideMark/>
          </w:tcPr>
          <w:p w14:paraId="1CE61B1C"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147</w:t>
            </w:r>
          </w:p>
        </w:tc>
        <w:tc>
          <w:tcPr>
            <w:tcW w:w="1742" w:type="dxa"/>
            <w:tcBorders>
              <w:top w:val="nil"/>
              <w:left w:val="single" w:sz="8" w:space="0" w:color="FFFFFF"/>
              <w:bottom w:val="single" w:sz="12" w:space="0" w:color="FFFFFF"/>
              <w:right w:val="single" w:sz="12" w:space="0" w:color="FFFFFF"/>
            </w:tcBorders>
            <w:shd w:val="clear" w:color="000000" w:fill="E7EEEF"/>
            <w:vAlign w:val="center"/>
            <w:hideMark/>
          </w:tcPr>
          <w:p w14:paraId="42AAC236"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151</w:t>
            </w:r>
          </w:p>
        </w:tc>
        <w:tc>
          <w:tcPr>
            <w:tcW w:w="1742" w:type="dxa"/>
            <w:tcBorders>
              <w:top w:val="nil"/>
              <w:left w:val="single" w:sz="8" w:space="0" w:color="FFFFFF"/>
              <w:bottom w:val="single" w:sz="12" w:space="0" w:color="FFFFFF"/>
              <w:right w:val="single" w:sz="12" w:space="0" w:color="FFFFFF"/>
            </w:tcBorders>
            <w:shd w:val="clear" w:color="000000" w:fill="E7EEEF"/>
            <w:vAlign w:val="center"/>
            <w:hideMark/>
          </w:tcPr>
          <w:p w14:paraId="2BE95E92"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152</w:t>
            </w:r>
          </w:p>
        </w:tc>
        <w:tc>
          <w:tcPr>
            <w:tcW w:w="1744" w:type="dxa"/>
            <w:tcBorders>
              <w:top w:val="nil"/>
              <w:left w:val="single" w:sz="8" w:space="0" w:color="FFFFFF"/>
              <w:bottom w:val="single" w:sz="12" w:space="0" w:color="FFFFFF"/>
              <w:right w:val="single" w:sz="12" w:space="0" w:color="FFFFFF"/>
            </w:tcBorders>
            <w:shd w:val="clear" w:color="000000" w:fill="E7EEEF"/>
            <w:vAlign w:val="center"/>
            <w:hideMark/>
          </w:tcPr>
          <w:p w14:paraId="32DDCF6C"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155</w:t>
            </w:r>
          </w:p>
        </w:tc>
      </w:tr>
      <w:tr w:rsidR="003C1C00" w:rsidRPr="00CE5B2D" w14:paraId="1B48DA1B" w14:textId="77777777" w:rsidTr="006F0DCB">
        <w:trPr>
          <w:trHeight w:val="345"/>
        </w:trPr>
        <w:tc>
          <w:tcPr>
            <w:tcW w:w="191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63D8DA02" w14:textId="77777777" w:rsidR="003C1C00" w:rsidRPr="00CE5B2D" w:rsidRDefault="003C1C00" w:rsidP="006F0DCB">
            <w:pPr>
              <w:spacing w:after="0"/>
              <w:jc w:val="center"/>
              <w:rPr>
                <w:rFonts w:ascii="Calibri" w:eastAsia="Times New Roman" w:hAnsi="Calibri" w:cs="Calibri"/>
                <w:b/>
                <w:bCs/>
                <w:color w:val="FFFFFF"/>
                <w:sz w:val="20"/>
                <w:lang w:eastAsia="en-GB"/>
              </w:rPr>
            </w:pPr>
            <w:r w:rsidRPr="00CE5B2D">
              <w:rPr>
                <w:rFonts w:ascii="Calibri" w:eastAsia="Times New Roman" w:hAnsi="Calibri" w:cs="Calibri"/>
                <w:b/>
                <w:bCs/>
                <w:color w:val="FFFFFF"/>
                <w:sz w:val="20"/>
                <w:lang w:eastAsia="en-GB"/>
              </w:rPr>
              <w:t>2017</w:t>
            </w:r>
          </w:p>
        </w:tc>
        <w:tc>
          <w:tcPr>
            <w:tcW w:w="1916" w:type="dxa"/>
            <w:tcBorders>
              <w:top w:val="nil"/>
              <w:left w:val="nil"/>
              <w:bottom w:val="single" w:sz="8" w:space="0" w:color="FFFFFF"/>
              <w:right w:val="single" w:sz="8" w:space="0" w:color="FFFFFF"/>
            </w:tcBorders>
            <w:shd w:val="clear" w:color="000000" w:fill="D0CECE"/>
            <w:vAlign w:val="center"/>
            <w:hideMark/>
          </w:tcPr>
          <w:p w14:paraId="113068C1" w14:textId="77777777" w:rsidR="003C1C00" w:rsidRPr="00CE5B2D" w:rsidRDefault="003C1C00" w:rsidP="006F0DCB">
            <w:pPr>
              <w:spacing w:after="0"/>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148</w:t>
            </w:r>
          </w:p>
        </w:tc>
        <w:tc>
          <w:tcPr>
            <w:tcW w:w="1742" w:type="dxa"/>
            <w:tcBorders>
              <w:top w:val="nil"/>
              <w:left w:val="nil"/>
              <w:bottom w:val="single" w:sz="8" w:space="0" w:color="FFFFFF"/>
              <w:right w:val="single" w:sz="8" w:space="0" w:color="FFFFFF"/>
            </w:tcBorders>
            <w:shd w:val="clear" w:color="000000" w:fill="D0CECE"/>
            <w:vAlign w:val="center"/>
            <w:hideMark/>
          </w:tcPr>
          <w:p w14:paraId="092F7F6B"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167</w:t>
            </w:r>
          </w:p>
        </w:tc>
        <w:tc>
          <w:tcPr>
            <w:tcW w:w="1742" w:type="dxa"/>
            <w:tcBorders>
              <w:top w:val="nil"/>
              <w:left w:val="nil"/>
              <w:bottom w:val="single" w:sz="8" w:space="0" w:color="FFFFFF"/>
              <w:right w:val="single" w:sz="8" w:space="0" w:color="FFFFFF"/>
            </w:tcBorders>
            <w:shd w:val="clear" w:color="000000" w:fill="D0CECE"/>
            <w:vAlign w:val="center"/>
            <w:hideMark/>
          </w:tcPr>
          <w:p w14:paraId="7E37F466"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169</w:t>
            </w:r>
          </w:p>
        </w:tc>
        <w:tc>
          <w:tcPr>
            <w:tcW w:w="1744" w:type="dxa"/>
            <w:tcBorders>
              <w:top w:val="nil"/>
              <w:left w:val="nil"/>
              <w:bottom w:val="single" w:sz="8" w:space="0" w:color="FFFFFF"/>
              <w:right w:val="single" w:sz="8" w:space="0" w:color="FFFFFF"/>
            </w:tcBorders>
            <w:shd w:val="clear" w:color="000000" w:fill="D0CECE"/>
            <w:vAlign w:val="center"/>
            <w:hideMark/>
          </w:tcPr>
          <w:p w14:paraId="43A7E6AA"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172</w:t>
            </w:r>
          </w:p>
        </w:tc>
      </w:tr>
      <w:tr w:rsidR="003C1C00" w:rsidRPr="00CE5B2D" w14:paraId="199F50E5" w14:textId="77777777" w:rsidTr="006F0DCB">
        <w:trPr>
          <w:trHeight w:val="551"/>
        </w:trPr>
        <w:tc>
          <w:tcPr>
            <w:tcW w:w="191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54E4092F" w14:textId="77777777" w:rsidR="003C1C00" w:rsidRPr="00CE5B2D"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2017 investment revenue</w:t>
            </w:r>
            <w:r w:rsidRPr="002E7FB2">
              <w:rPr>
                <w:rFonts w:ascii="Calibri" w:eastAsia="Times New Roman" w:hAnsi="Calibri" w:cs="Calibri"/>
                <w:b/>
                <w:bCs/>
                <w:color w:val="FFFFFF"/>
                <w:sz w:val="20"/>
                <w:lang w:eastAsia="en-GB"/>
              </w:rPr>
              <w:t xml:space="preserve"> </w:t>
            </w:r>
            <w:r>
              <w:rPr>
                <w:rFonts w:ascii="Calibri" w:eastAsia="Times New Roman" w:hAnsi="Calibri" w:cs="Calibri"/>
                <w:b/>
                <w:bCs/>
                <w:color w:val="FFFFFF"/>
                <w:sz w:val="20"/>
                <w:lang w:eastAsia="en-GB"/>
              </w:rPr>
              <w:t>as % of ports industry revenue</w:t>
            </w:r>
          </w:p>
        </w:tc>
        <w:tc>
          <w:tcPr>
            <w:tcW w:w="1916" w:type="dxa"/>
            <w:tcBorders>
              <w:top w:val="nil"/>
              <w:left w:val="single" w:sz="8" w:space="0" w:color="FFFFFF"/>
              <w:bottom w:val="single" w:sz="12" w:space="0" w:color="FFFFFF"/>
              <w:right w:val="single" w:sz="12" w:space="0" w:color="FFFFFF"/>
            </w:tcBorders>
            <w:shd w:val="clear" w:color="000000" w:fill="E7EEEF"/>
            <w:vAlign w:val="center"/>
            <w:hideMark/>
          </w:tcPr>
          <w:p w14:paraId="4B4145F0"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2.3%</w:t>
            </w:r>
          </w:p>
        </w:tc>
        <w:tc>
          <w:tcPr>
            <w:tcW w:w="1742" w:type="dxa"/>
            <w:tcBorders>
              <w:top w:val="nil"/>
              <w:left w:val="single" w:sz="8" w:space="0" w:color="FFFFFF"/>
              <w:bottom w:val="single" w:sz="12" w:space="0" w:color="FFFFFF"/>
              <w:right w:val="single" w:sz="12" w:space="0" w:color="FFFFFF"/>
            </w:tcBorders>
            <w:shd w:val="clear" w:color="000000" w:fill="E7EEEF"/>
            <w:vAlign w:val="center"/>
            <w:hideMark/>
          </w:tcPr>
          <w:p w14:paraId="2224D750"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2.6%</w:t>
            </w:r>
          </w:p>
        </w:tc>
        <w:tc>
          <w:tcPr>
            <w:tcW w:w="1742" w:type="dxa"/>
            <w:tcBorders>
              <w:top w:val="nil"/>
              <w:left w:val="single" w:sz="8" w:space="0" w:color="FFFFFF"/>
              <w:bottom w:val="single" w:sz="12" w:space="0" w:color="FFFFFF"/>
              <w:right w:val="single" w:sz="12" w:space="0" w:color="FFFFFF"/>
            </w:tcBorders>
            <w:shd w:val="clear" w:color="000000" w:fill="E7EEEF"/>
            <w:vAlign w:val="center"/>
            <w:hideMark/>
          </w:tcPr>
          <w:p w14:paraId="7A64EAB5"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2.6%</w:t>
            </w:r>
          </w:p>
        </w:tc>
        <w:tc>
          <w:tcPr>
            <w:tcW w:w="1744" w:type="dxa"/>
            <w:tcBorders>
              <w:top w:val="nil"/>
              <w:left w:val="single" w:sz="8" w:space="0" w:color="FFFFFF"/>
              <w:bottom w:val="single" w:sz="12" w:space="0" w:color="FFFFFF"/>
              <w:right w:val="single" w:sz="12" w:space="0" w:color="FFFFFF"/>
            </w:tcBorders>
            <w:shd w:val="clear" w:color="000000" w:fill="E7EEEF"/>
            <w:vAlign w:val="center"/>
            <w:hideMark/>
          </w:tcPr>
          <w:p w14:paraId="0C8D0902" w14:textId="77777777" w:rsidR="003C1C00" w:rsidRPr="00CE5B2D" w:rsidRDefault="003C1C00" w:rsidP="006F0DCB">
            <w:pPr>
              <w:spacing w:after="0"/>
              <w:jc w:val="center"/>
              <w:rPr>
                <w:rFonts w:ascii="Calibri" w:eastAsia="Times New Roman" w:hAnsi="Calibri" w:cs="Calibri"/>
                <w:color w:val="000000"/>
                <w:sz w:val="20"/>
                <w:lang w:eastAsia="en-GB"/>
              </w:rPr>
            </w:pPr>
            <w:r w:rsidRPr="00CE5B2D">
              <w:rPr>
                <w:rFonts w:ascii="Calibri" w:eastAsia="Times New Roman" w:hAnsi="Calibri" w:cs="Calibri"/>
                <w:color w:val="000000"/>
                <w:sz w:val="20"/>
                <w:lang w:eastAsia="en-GB"/>
              </w:rPr>
              <w:t>2.6%</w:t>
            </w:r>
          </w:p>
        </w:tc>
      </w:tr>
    </w:tbl>
    <w:p w14:paraId="0FEF1964" w14:textId="77777777" w:rsidR="003C1C00" w:rsidRDefault="003C1C00" w:rsidP="003C1C00">
      <w:pPr>
        <w:jc w:val="right"/>
        <w:rPr>
          <w:i/>
          <w:sz w:val="18"/>
        </w:rPr>
      </w:pPr>
      <w:r>
        <w:rPr>
          <w:i/>
          <w:sz w:val="18"/>
        </w:rPr>
        <w:t>Source: UK Major Ports Group data on investment, United Nations, Eurostat, HMRC Overseas Trade Statistics, Cebr analysis</w:t>
      </w:r>
    </w:p>
    <w:p w14:paraId="62ADCDA5" w14:textId="77777777" w:rsidR="003C1C00" w:rsidRDefault="003C1C00" w:rsidP="003C1C00">
      <w:r>
        <w:t xml:space="preserve">This analysis also included estimating the impacts under the more conservative Scenario 2) which is detailed in </w:t>
      </w:r>
      <w:r>
        <w:fldChar w:fldCharType="begin"/>
      </w:r>
      <w:r>
        <w:instrText xml:space="preserve"> REF _Ref15478421 \h </w:instrText>
      </w:r>
      <w:r>
        <w:fldChar w:fldCharType="separate"/>
      </w:r>
      <w:r>
        <w:t xml:space="preserve">Table </w:t>
      </w:r>
      <w:r>
        <w:rPr>
          <w:noProof/>
        </w:rPr>
        <w:t>12</w:t>
      </w:r>
      <w:r>
        <w:fldChar w:fldCharType="end"/>
      </w:r>
      <w:r>
        <w:t xml:space="preserve"> and </w:t>
      </w:r>
      <w:r>
        <w:fldChar w:fldCharType="begin"/>
      </w:r>
      <w:r>
        <w:instrText xml:space="preserve"> REF _Ref15478422 \h </w:instrText>
      </w:r>
      <w:r>
        <w:fldChar w:fldCharType="separate"/>
      </w:r>
      <w:r>
        <w:t xml:space="preserve">Table </w:t>
      </w:r>
      <w:r>
        <w:rPr>
          <w:noProof/>
        </w:rPr>
        <w:t>13</w:t>
      </w:r>
      <w:r>
        <w:fldChar w:fldCharType="end"/>
      </w:r>
      <w:r>
        <w:t xml:space="preserve">. The more conservative impacts are still significant, showing under the standard CapEx outturn that the port freight investment had a direct impact of £37 million in GVA; 1.8% of the total direct GVA of the ports industry. Under Scenario 2), had CapEx been 40% greater in 2017, the direct GVA impact would have been £43 million, £6 million greater equating to 2.1% of the total direct GVA of the ports industry. </w:t>
      </w:r>
    </w:p>
    <w:p w14:paraId="40B7153F" w14:textId="77777777" w:rsidR="003C1C00" w:rsidRDefault="003C1C00" w:rsidP="003C1C00">
      <w:pPr>
        <w:pStyle w:val="Caption"/>
      </w:pPr>
      <w:r>
        <w:t xml:space="preserve">Table </w:t>
      </w:r>
      <w:r>
        <w:rPr>
          <w:noProof/>
        </w:rPr>
        <w:fldChar w:fldCharType="begin"/>
      </w:r>
      <w:r>
        <w:rPr>
          <w:noProof/>
        </w:rPr>
        <w:instrText xml:space="preserve"> SEQ Table \* ARABIC </w:instrText>
      </w:r>
      <w:r>
        <w:rPr>
          <w:noProof/>
        </w:rPr>
        <w:fldChar w:fldCharType="separate"/>
      </w:r>
      <w:r>
        <w:rPr>
          <w:noProof/>
        </w:rPr>
        <w:t>12</w:t>
      </w:r>
      <w:r>
        <w:rPr>
          <w:noProof/>
        </w:rPr>
        <w:fldChar w:fldCharType="end"/>
      </w:r>
      <w:r>
        <w:t>: Port Freight Investment direct impact on GVA under Scenario 2)</w:t>
      </w:r>
    </w:p>
    <w:tbl>
      <w:tblPr>
        <w:tblW w:w="9001" w:type="dxa"/>
        <w:tblLook w:val="04A0" w:firstRow="1" w:lastRow="0" w:firstColumn="1" w:lastColumn="0" w:noHBand="0" w:noVBand="1"/>
      </w:tblPr>
      <w:tblGrid>
        <w:gridCol w:w="1903"/>
        <w:gridCol w:w="1903"/>
        <w:gridCol w:w="1730"/>
        <w:gridCol w:w="1730"/>
        <w:gridCol w:w="1735"/>
      </w:tblGrid>
      <w:tr w:rsidR="003C1C00" w:rsidRPr="00FB510B" w14:paraId="7944226A" w14:textId="77777777" w:rsidTr="006F0DCB">
        <w:trPr>
          <w:trHeight w:val="290"/>
        </w:trPr>
        <w:tc>
          <w:tcPr>
            <w:tcW w:w="1903" w:type="dxa"/>
            <w:tcBorders>
              <w:top w:val="nil"/>
              <w:left w:val="nil"/>
              <w:bottom w:val="nil"/>
              <w:right w:val="nil"/>
            </w:tcBorders>
            <w:shd w:val="clear" w:color="auto" w:fill="auto"/>
            <w:noWrap/>
            <w:vAlign w:val="bottom"/>
            <w:hideMark/>
          </w:tcPr>
          <w:p w14:paraId="4AB6F7B7" w14:textId="77777777" w:rsidR="003C1C00" w:rsidRPr="00FB510B" w:rsidRDefault="003C1C00" w:rsidP="006F0DCB">
            <w:pPr>
              <w:spacing w:after="0"/>
              <w:rPr>
                <w:rFonts w:ascii="Times New Roman" w:eastAsia="Times New Roman" w:hAnsi="Times New Roman"/>
                <w:sz w:val="20"/>
                <w:szCs w:val="24"/>
                <w:lang w:eastAsia="en-GB"/>
              </w:rPr>
            </w:pPr>
          </w:p>
        </w:tc>
        <w:tc>
          <w:tcPr>
            <w:tcW w:w="7098" w:type="dxa"/>
            <w:gridSpan w:val="4"/>
            <w:tcBorders>
              <w:top w:val="nil"/>
              <w:left w:val="nil"/>
              <w:bottom w:val="single" w:sz="8" w:space="0" w:color="FFFFFF"/>
              <w:right w:val="single" w:sz="8" w:space="0" w:color="FFFFFF"/>
            </w:tcBorders>
            <w:shd w:val="clear" w:color="000000" w:fill="008C9B"/>
            <w:vAlign w:val="center"/>
            <w:hideMark/>
          </w:tcPr>
          <w:p w14:paraId="6849FB8C" w14:textId="77777777" w:rsidR="003C1C00" w:rsidRPr="00FB510B" w:rsidRDefault="003C1C00" w:rsidP="006F0DCB">
            <w:pPr>
              <w:spacing w:after="0"/>
              <w:jc w:val="center"/>
              <w:rPr>
                <w:rFonts w:ascii="Calibri" w:eastAsia="Times New Roman" w:hAnsi="Calibri" w:cs="Calibri"/>
                <w:b/>
                <w:bCs/>
                <w:color w:val="FFFFFF"/>
                <w:sz w:val="20"/>
                <w:lang w:eastAsia="en-GB"/>
              </w:rPr>
            </w:pPr>
            <w:r w:rsidRPr="00FB510B">
              <w:rPr>
                <w:rFonts w:ascii="Calibri" w:eastAsia="Times New Roman" w:hAnsi="Calibri" w:cs="Calibri"/>
                <w:b/>
                <w:bCs/>
                <w:color w:val="FFFFFF"/>
                <w:sz w:val="20"/>
                <w:lang w:eastAsia="en-GB"/>
              </w:rPr>
              <w:t>Scenario 2) Direct GVA impact, £m</w:t>
            </w:r>
          </w:p>
        </w:tc>
      </w:tr>
      <w:tr w:rsidR="003C1C00" w:rsidRPr="00FB510B" w14:paraId="75B3940D" w14:textId="77777777" w:rsidTr="006F0DCB">
        <w:trPr>
          <w:trHeight w:val="441"/>
        </w:trPr>
        <w:tc>
          <w:tcPr>
            <w:tcW w:w="1903" w:type="dxa"/>
            <w:tcBorders>
              <w:top w:val="nil"/>
              <w:left w:val="nil"/>
              <w:bottom w:val="nil"/>
              <w:right w:val="nil"/>
            </w:tcBorders>
            <w:shd w:val="clear" w:color="auto" w:fill="auto"/>
            <w:noWrap/>
            <w:vAlign w:val="bottom"/>
            <w:hideMark/>
          </w:tcPr>
          <w:p w14:paraId="45E946AD" w14:textId="77777777" w:rsidR="003C1C00" w:rsidRPr="00FB510B" w:rsidRDefault="003C1C00" w:rsidP="006F0DCB">
            <w:pPr>
              <w:spacing w:after="0"/>
              <w:jc w:val="center"/>
              <w:rPr>
                <w:rFonts w:ascii="Calibri" w:eastAsia="Times New Roman" w:hAnsi="Calibri" w:cs="Calibri"/>
                <w:b/>
                <w:bCs/>
                <w:color w:val="FFFFFF"/>
                <w:sz w:val="20"/>
                <w:lang w:eastAsia="en-GB"/>
              </w:rPr>
            </w:pPr>
          </w:p>
        </w:tc>
        <w:tc>
          <w:tcPr>
            <w:tcW w:w="1903" w:type="dxa"/>
            <w:tcBorders>
              <w:top w:val="nil"/>
              <w:left w:val="nil"/>
              <w:bottom w:val="single" w:sz="8" w:space="0" w:color="FFFFFF"/>
              <w:right w:val="single" w:sz="8" w:space="0" w:color="FFFFFF"/>
            </w:tcBorders>
            <w:shd w:val="clear" w:color="000000" w:fill="008C9B"/>
            <w:vAlign w:val="center"/>
            <w:hideMark/>
          </w:tcPr>
          <w:p w14:paraId="21493297"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Standard CapEx</w:t>
            </w:r>
          </w:p>
        </w:tc>
        <w:tc>
          <w:tcPr>
            <w:tcW w:w="1730" w:type="dxa"/>
            <w:tcBorders>
              <w:top w:val="nil"/>
              <w:left w:val="nil"/>
              <w:bottom w:val="single" w:sz="8" w:space="0" w:color="FFFFFF"/>
              <w:right w:val="single" w:sz="8" w:space="0" w:color="FFFFFF"/>
            </w:tcBorders>
            <w:shd w:val="clear" w:color="000000" w:fill="008C9B"/>
            <w:vAlign w:val="center"/>
            <w:hideMark/>
          </w:tcPr>
          <w:p w14:paraId="1026993C"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+ 10%</w:t>
            </w:r>
          </w:p>
        </w:tc>
        <w:tc>
          <w:tcPr>
            <w:tcW w:w="1730" w:type="dxa"/>
            <w:tcBorders>
              <w:top w:val="nil"/>
              <w:left w:val="nil"/>
              <w:bottom w:val="single" w:sz="8" w:space="0" w:color="FFFFFF"/>
              <w:right w:val="single" w:sz="8" w:space="0" w:color="FFFFFF"/>
            </w:tcBorders>
            <w:shd w:val="clear" w:color="000000" w:fill="008C9B"/>
            <w:vAlign w:val="center"/>
            <w:hideMark/>
          </w:tcPr>
          <w:p w14:paraId="33D14620"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+ 20%</w:t>
            </w:r>
          </w:p>
        </w:tc>
        <w:tc>
          <w:tcPr>
            <w:tcW w:w="1732" w:type="dxa"/>
            <w:tcBorders>
              <w:top w:val="nil"/>
              <w:left w:val="nil"/>
              <w:bottom w:val="single" w:sz="8" w:space="0" w:color="FFFFFF"/>
              <w:right w:val="single" w:sz="8" w:space="0" w:color="FFFFFF"/>
            </w:tcBorders>
            <w:shd w:val="clear" w:color="000000" w:fill="008C9B"/>
            <w:vAlign w:val="center"/>
            <w:hideMark/>
          </w:tcPr>
          <w:p w14:paraId="7E7BFD5B"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+ 40%</w:t>
            </w:r>
          </w:p>
        </w:tc>
      </w:tr>
      <w:tr w:rsidR="003C1C00" w:rsidRPr="00FB510B" w14:paraId="1E993500" w14:textId="77777777" w:rsidTr="006F0DCB">
        <w:trPr>
          <w:trHeight w:val="264"/>
        </w:trPr>
        <w:tc>
          <w:tcPr>
            <w:tcW w:w="1903"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0543AAA4" w14:textId="77777777" w:rsidR="003C1C00" w:rsidRPr="00FB510B" w:rsidRDefault="003C1C00" w:rsidP="006F0DCB">
            <w:pPr>
              <w:spacing w:after="0"/>
              <w:jc w:val="center"/>
              <w:rPr>
                <w:rFonts w:ascii="Calibri" w:eastAsia="Times New Roman" w:hAnsi="Calibri" w:cs="Calibri"/>
                <w:b/>
                <w:bCs/>
                <w:color w:val="FFFFFF"/>
                <w:sz w:val="20"/>
                <w:lang w:eastAsia="en-GB"/>
              </w:rPr>
            </w:pPr>
            <w:r w:rsidRPr="00FB510B">
              <w:rPr>
                <w:rFonts w:ascii="Calibri" w:eastAsia="Times New Roman" w:hAnsi="Calibri" w:cs="Calibri"/>
                <w:b/>
                <w:bCs/>
                <w:color w:val="FFFFFF"/>
                <w:sz w:val="20"/>
                <w:lang w:eastAsia="en-GB"/>
              </w:rPr>
              <w:t>2015</w:t>
            </w:r>
          </w:p>
        </w:tc>
        <w:tc>
          <w:tcPr>
            <w:tcW w:w="1903" w:type="dxa"/>
            <w:tcBorders>
              <w:top w:val="nil"/>
              <w:left w:val="nil"/>
              <w:bottom w:val="single" w:sz="8" w:space="0" w:color="FFFFFF"/>
              <w:right w:val="single" w:sz="8" w:space="0" w:color="FFFFFF"/>
            </w:tcBorders>
            <w:shd w:val="clear" w:color="000000" w:fill="D0CECE"/>
            <w:vAlign w:val="center"/>
            <w:hideMark/>
          </w:tcPr>
          <w:p w14:paraId="0FF6090F"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35</w:t>
            </w:r>
          </w:p>
        </w:tc>
        <w:tc>
          <w:tcPr>
            <w:tcW w:w="1730" w:type="dxa"/>
            <w:tcBorders>
              <w:top w:val="nil"/>
              <w:left w:val="nil"/>
              <w:bottom w:val="single" w:sz="8" w:space="0" w:color="FFFFFF"/>
              <w:right w:val="single" w:sz="8" w:space="0" w:color="FFFFFF"/>
            </w:tcBorders>
            <w:shd w:val="clear" w:color="000000" w:fill="D0CECE"/>
            <w:vAlign w:val="center"/>
            <w:hideMark/>
          </w:tcPr>
          <w:p w14:paraId="6CC62FC1"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39</w:t>
            </w:r>
          </w:p>
        </w:tc>
        <w:tc>
          <w:tcPr>
            <w:tcW w:w="1730" w:type="dxa"/>
            <w:tcBorders>
              <w:top w:val="nil"/>
              <w:left w:val="nil"/>
              <w:bottom w:val="single" w:sz="8" w:space="0" w:color="FFFFFF"/>
              <w:right w:val="single" w:sz="8" w:space="0" w:color="FFFFFF"/>
            </w:tcBorders>
            <w:shd w:val="clear" w:color="000000" w:fill="D0CECE"/>
            <w:vAlign w:val="center"/>
            <w:hideMark/>
          </w:tcPr>
          <w:p w14:paraId="0A22FEDF"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42</w:t>
            </w:r>
          </w:p>
        </w:tc>
        <w:tc>
          <w:tcPr>
            <w:tcW w:w="1732" w:type="dxa"/>
            <w:tcBorders>
              <w:top w:val="nil"/>
              <w:left w:val="nil"/>
              <w:bottom w:val="single" w:sz="8" w:space="0" w:color="FFFFFF"/>
              <w:right w:val="single" w:sz="8" w:space="0" w:color="FFFFFF"/>
            </w:tcBorders>
            <w:shd w:val="clear" w:color="000000" w:fill="D0CECE"/>
            <w:vAlign w:val="center"/>
            <w:hideMark/>
          </w:tcPr>
          <w:p w14:paraId="7B9858F2"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50</w:t>
            </w:r>
          </w:p>
        </w:tc>
      </w:tr>
      <w:tr w:rsidR="003C1C00" w:rsidRPr="00FB510B" w14:paraId="2A901135" w14:textId="77777777" w:rsidTr="006F0DCB">
        <w:trPr>
          <w:trHeight w:val="277"/>
        </w:trPr>
        <w:tc>
          <w:tcPr>
            <w:tcW w:w="1903"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769308DA" w14:textId="77777777" w:rsidR="003C1C00" w:rsidRPr="00FB510B" w:rsidRDefault="003C1C00" w:rsidP="006F0DCB">
            <w:pPr>
              <w:spacing w:after="0"/>
              <w:jc w:val="center"/>
              <w:rPr>
                <w:rFonts w:ascii="Calibri" w:eastAsia="Times New Roman" w:hAnsi="Calibri" w:cs="Calibri"/>
                <w:b/>
                <w:bCs/>
                <w:color w:val="FFFFFF"/>
                <w:sz w:val="20"/>
                <w:lang w:eastAsia="en-GB"/>
              </w:rPr>
            </w:pPr>
            <w:r w:rsidRPr="00FB510B">
              <w:rPr>
                <w:rFonts w:ascii="Calibri" w:eastAsia="Times New Roman" w:hAnsi="Calibri" w:cs="Calibri"/>
                <w:b/>
                <w:bCs/>
                <w:color w:val="FFFFFF"/>
                <w:sz w:val="20"/>
                <w:lang w:eastAsia="en-GB"/>
              </w:rPr>
              <w:t>2016</w:t>
            </w:r>
          </w:p>
        </w:tc>
        <w:tc>
          <w:tcPr>
            <w:tcW w:w="1903" w:type="dxa"/>
            <w:tcBorders>
              <w:top w:val="nil"/>
              <w:left w:val="single" w:sz="8" w:space="0" w:color="FFFFFF"/>
              <w:bottom w:val="single" w:sz="12" w:space="0" w:color="FFFFFF"/>
              <w:right w:val="single" w:sz="12" w:space="0" w:color="FFFFFF"/>
            </w:tcBorders>
            <w:shd w:val="clear" w:color="000000" w:fill="E7EEEF"/>
            <w:vAlign w:val="center"/>
            <w:hideMark/>
          </w:tcPr>
          <w:p w14:paraId="01C79AD2"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37</w:t>
            </w:r>
          </w:p>
        </w:tc>
        <w:tc>
          <w:tcPr>
            <w:tcW w:w="1730" w:type="dxa"/>
            <w:tcBorders>
              <w:top w:val="nil"/>
              <w:left w:val="single" w:sz="8" w:space="0" w:color="FFFFFF"/>
              <w:bottom w:val="single" w:sz="12" w:space="0" w:color="FFFFFF"/>
              <w:right w:val="single" w:sz="12" w:space="0" w:color="FFFFFF"/>
            </w:tcBorders>
            <w:shd w:val="clear" w:color="000000" w:fill="E7EEEF"/>
            <w:vAlign w:val="center"/>
            <w:hideMark/>
          </w:tcPr>
          <w:p w14:paraId="618B1512"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37</w:t>
            </w:r>
          </w:p>
        </w:tc>
        <w:tc>
          <w:tcPr>
            <w:tcW w:w="1730" w:type="dxa"/>
            <w:tcBorders>
              <w:top w:val="nil"/>
              <w:left w:val="single" w:sz="8" w:space="0" w:color="FFFFFF"/>
              <w:bottom w:val="single" w:sz="12" w:space="0" w:color="FFFFFF"/>
              <w:right w:val="single" w:sz="12" w:space="0" w:color="FFFFFF"/>
            </w:tcBorders>
            <w:shd w:val="clear" w:color="000000" w:fill="E7EEEF"/>
            <w:vAlign w:val="center"/>
            <w:hideMark/>
          </w:tcPr>
          <w:p w14:paraId="2FB448E1"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38</w:t>
            </w:r>
          </w:p>
        </w:tc>
        <w:tc>
          <w:tcPr>
            <w:tcW w:w="1732" w:type="dxa"/>
            <w:tcBorders>
              <w:top w:val="nil"/>
              <w:left w:val="single" w:sz="8" w:space="0" w:color="FFFFFF"/>
              <w:bottom w:val="single" w:sz="12" w:space="0" w:color="FFFFFF"/>
              <w:right w:val="single" w:sz="12" w:space="0" w:color="FFFFFF"/>
            </w:tcBorders>
            <w:shd w:val="clear" w:color="000000" w:fill="E7EEEF"/>
            <w:vAlign w:val="center"/>
            <w:hideMark/>
          </w:tcPr>
          <w:p w14:paraId="325CBB74"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39</w:t>
            </w:r>
          </w:p>
        </w:tc>
      </w:tr>
      <w:tr w:rsidR="003C1C00" w:rsidRPr="00FB510B" w14:paraId="5CEAAFB7" w14:textId="77777777" w:rsidTr="006F0DCB">
        <w:trPr>
          <w:trHeight w:val="277"/>
        </w:trPr>
        <w:tc>
          <w:tcPr>
            <w:tcW w:w="1903"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73F0DD57" w14:textId="77777777" w:rsidR="003C1C00" w:rsidRPr="00FB510B" w:rsidRDefault="003C1C00" w:rsidP="006F0DCB">
            <w:pPr>
              <w:spacing w:after="0"/>
              <w:jc w:val="center"/>
              <w:rPr>
                <w:rFonts w:ascii="Calibri" w:eastAsia="Times New Roman" w:hAnsi="Calibri" w:cs="Calibri"/>
                <w:b/>
                <w:bCs/>
                <w:color w:val="FFFFFF"/>
                <w:sz w:val="20"/>
                <w:lang w:eastAsia="en-GB"/>
              </w:rPr>
            </w:pPr>
            <w:r w:rsidRPr="00FB510B">
              <w:rPr>
                <w:rFonts w:ascii="Calibri" w:eastAsia="Times New Roman" w:hAnsi="Calibri" w:cs="Calibri"/>
                <w:b/>
                <w:bCs/>
                <w:color w:val="FFFFFF"/>
                <w:sz w:val="20"/>
                <w:lang w:eastAsia="en-GB"/>
              </w:rPr>
              <w:t>2017</w:t>
            </w:r>
          </w:p>
        </w:tc>
        <w:tc>
          <w:tcPr>
            <w:tcW w:w="1903" w:type="dxa"/>
            <w:tcBorders>
              <w:top w:val="nil"/>
              <w:left w:val="nil"/>
              <w:bottom w:val="single" w:sz="8" w:space="0" w:color="FFFFFF"/>
              <w:right w:val="single" w:sz="8" w:space="0" w:color="FFFFFF"/>
            </w:tcBorders>
            <w:shd w:val="clear" w:color="000000" w:fill="D0CECE"/>
            <w:vAlign w:val="center"/>
            <w:hideMark/>
          </w:tcPr>
          <w:p w14:paraId="7A68508F"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37</w:t>
            </w:r>
          </w:p>
        </w:tc>
        <w:tc>
          <w:tcPr>
            <w:tcW w:w="1730" w:type="dxa"/>
            <w:tcBorders>
              <w:top w:val="nil"/>
              <w:left w:val="nil"/>
              <w:bottom w:val="single" w:sz="8" w:space="0" w:color="FFFFFF"/>
              <w:right w:val="single" w:sz="8" w:space="0" w:color="FFFFFF"/>
            </w:tcBorders>
            <w:shd w:val="clear" w:color="000000" w:fill="D0CECE"/>
            <w:vAlign w:val="center"/>
            <w:hideMark/>
          </w:tcPr>
          <w:p w14:paraId="0EE764D4"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42</w:t>
            </w:r>
          </w:p>
        </w:tc>
        <w:tc>
          <w:tcPr>
            <w:tcW w:w="1730" w:type="dxa"/>
            <w:tcBorders>
              <w:top w:val="nil"/>
              <w:left w:val="nil"/>
              <w:bottom w:val="single" w:sz="8" w:space="0" w:color="FFFFFF"/>
              <w:right w:val="single" w:sz="8" w:space="0" w:color="FFFFFF"/>
            </w:tcBorders>
            <w:shd w:val="clear" w:color="000000" w:fill="D0CECE"/>
            <w:vAlign w:val="center"/>
            <w:hideMark/>
          </w:tcPr>
          <w:p w14:paraId="5E13DBA0"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42</w:t>
            </w:r>
          </w:p>
        </w:tc>
        <w:tc>
          <w:tcPr>
            <w:tcW w:w="1732" w:type="dxa"/>
            <w:tcBorders>
              <w:top w:val="nil"/>
              <w:left w:val="nil"/>
              <w:bottom w:val="single" w:sz="8" w:space="0" w:color="FFFFFF"/>
              <w:right w:val="single" w:sz="8" w:space="0" w:color="FFFFFF"/>
            </w:tcBorders>
            <w:shd w:val="clear" w:color="000000" w:fill="D0CECE"/>
            <w:vAlign w:val="center"/>
            <w:hideMark/>
          </w:tcPr>
          <w:p w14:paraId="3ADD7552"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43</w:t>
            </w:r>
          </w:p>
        </w:tc>
      </w:tr>
      <w:tr w:rsidR="003C1C00" w:rsidRPr="00FB510B" w14:paraId="602402D4" w14:textId="77777777" w:rsidTr="006F0DCB">
        <w:trPr>
          <w:trHeight w:val="669"/>
        </w:trPr>
        <w:tc>
          <w:tcPr>
            <w:tcW w:w="1903"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3263F305" w14:textId="77777777" w:rsidR="003C1C00" w:rsidRPr="00CE5B2D"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2017 investment revenue</w:t>
            </w:r>
            <w:r w:rsidRPr="002E7FB2">
              <w:rPr>
                <w:rFonts w:ascii="Calibri" w:eastAsia="Times New Roman" w:hAnsi="Calibri" w:cs="Calibri"/>
                <w:b/>
                <w:bCs/>
                <w:color w:val="FFFFFF"/>
                <w:sz w:val="20"/>
                <w:lang w:eastAsia="en-GB"/>
              </w:rPr>
              <w:t xml:space="preserve"> </w:t>
            </w:r>
            <w:r>
              <w:rPr>
                <w:rFonts w:ascii="Calibri" w:eastAsia="Times New Roman" w:hAnsi="Calibri" w:cs="Calibri"/>
                <w:b/>
                <w:bCs/>
                <w:color w:val="FFFFFF"/>
                <w:sz w:val="20"/>
                <w:lang w:eastAsia="en-GB"/>
              </w:rPr>
              <w:t>as % of ports industry revenue</w:t>
            </w:r>
          </w:p>
        </w:tc>
        <w:tc>
          <w:tcPr>
            <w:tcW w:w="1903" w:type="dxa"/>
            <w:tcBorders>
              <w:top w:val="nil"/>
              <w:left w:val="single" w:sz="8" w:space="0" w:color="FFFFFF"/>
              <w:bottom w:val="single" w:sz="12" w:space="0" w:color="FFFFFF"/>
              <w:right w:val="single" w:sz="12" w:space="0" w:color="FFFFFF"/>
            </w:tcBorders>
            <w:shd w:val="clear" w:color="000000" w:fill="E7EEEF"/>
            <w:vAlign w:val="center"/>
            <w:hideMark/>
          </w:tcPr>
          <w:p w14:paraId="3F6EE41A"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1.8%</w:t>
            </w:r>
          </w:p>
        </w:tc>
        <w:tc>
          <w:tcPr>
            <w:tcW w:w="1730" w:type="dxa"/>
            <w:tcBorders>
              <w:top w:val="nil"/>
              <w:left w:val="single" w:sz="8" w:space="0" w:color="FFFFFF"/>
              <w:bottom w:val="single" w:sz="12" w:space="0" w:color="FFFFFF"/>
              <w:right w:val="single" w:sz="12" w:space="0" w:color="FFFFFF"/>
            </w:tcBorders>
            <w:shd w:val="clear" w:color="000000" w:fill="E7EEEF"/>
            <w:vAlign w:val="center"/>
            <w:hideMark/>
          </w:tcPr>
          <w:p w14:paraId="1C3198C2"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2.0%</w:t>
            </w:r>
          </w:p>
        </w:tc>
        <w:tc>
          <w:tcPr>
            <w:tcW w:w="1730" w:type="dxa"/>
            <w:tcBorders>
              <w:top w:val="nil"/>
              <w:left w:val="single" w:sz="8" w:space="0" w:color="FFFFFF"/>
              <w:bottom w:val="single" w:sz="12" w:space="0" w:color="FFFFFF"/>
              <w:right w:val="single" w:sz="12" w:space="0" w:color="FFFFFF"/>
            </w:tcBorders>
            <w:shd w:val="clear" w:color="000000" w:fill="E7EEEF"/>
            <w:vAlign w:val="center"/>
            <w:hideMark/>
          </w:tcPr>
          <w:p w14:paraId="35BDFFC0"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2.0%</w:t>
            </w:r>
          </w:p>
        </w:tc>
        <w:tc>
          <w:tcPr>
            <w:tcW w:w="1732" w:type="dxa"/>
            <w:tcBorders>
              <w:top w:val="nil"/>
              <w:left w:val="single" w:sz="8" w:space="0" w:color="FFFFFF"/>
              <w:bottom w:val="single" w:sz="12" w:space="0" w:color="FFFFFF"/>
              <w:right w:val="single" w:sz="12" w:space="0" w:color="FFFFFF"/>
            </w:tcBorders>
            <w:shd w:val="clear" w:color="000000" w:fill="E7EEEF"/>
            <w:vAlign w:val="center"/>
            <w:hideMark/>
          </w:tcPr>
          <w:p w14:paraId="55094835"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2.1%</w:t>
            </w:r>
          </w:p>
        </w:tc>
      </w:tr>
    </w:tbl>
    <w:p w14:paraId="608D563B" w14:textId="77777777" w:rsidR="003C1C00" w:rsidRDefault="003C1C00" w:rsidP="003C1C00">
      <w:pPr>
        <w:jc w:val="right"/>
        <w:rPr>
          <w:i/>
          <w:sz w:val="18"/>
        </w:rPr>
      </w:pPr>
      <w:r>
        <w:rPr>
          <w:i/>
          <w:sz w:val="18"/>
        </w:rPr>
        <w:t>Source: UK Major Ports Group data on investment, United Nations, Eurostat, HMRC Overseas Trade Statistics, Cebr analysis</w:t>
      </w:r>
    </w:p>
    <w:p w14:paraId="2931FFC2" w14:textId="77777777" w:rsidR="003C1C00" w:rsidRDefault="003C1C00" w:rsidP="003C1C00">
      <w:r>
        <w:t xml:space="preserve">The aggregate impact on GVA is detailed in </w:t>
      </w:r>
      <w:r>
        <w:fldChar w:fldCharType="begin"/>
      </w:r>
      <w:r>
        <w:instrText xml:space="preserve"> REF _Ref15478421 \h </w:instrText>
      </w:r>
      <w:r>
        <w:fldChar w:fldCharType="separate"/>
      </w:r>
      <w:r>
        <w:t xml:space="preserve">Table </w:t>
      </w:r>
      <w:r>
        <w:rPr>
          <w:noProof/>
        </w:rPr>
        <w:t>12</w:t>
      </w:r>
      <w:r>
        <w:fldChar w:fldCharType="end"/>
      </w:r>
      <w:r>
        <w:t xml:space="preserve"> below. The aggregate impact is significantly greater than the direct for the standard CapEx, supporting £119 million of GVA in 2017 – 1.8% of the entire industry. With a CapEx 40% greater than the outturn, the aggregate impact could have potentially been £139 million, £20 million greater, accounting for 2.1% of the aggregate impact of the industry.</w:t>
      </w:r>
    </w:p>
    <w:p w14:paraId="7E2D85A5" w14:textId="77777777" w:rsidR="003C1C00" w:rsidRDefault="003C1C00" w:rsidP="003C1C00">
      <w:r>
        <w:t xml:space="preserve">Under Scenario 2), the aggregate GVA impact from the port freight investment means that in 2017 for every £1 invested, a further £0.21 is supported in GVA. </w:t>
      </w:r>
    </w:p>
    <w:p w14:paraId="336D18C8" w14:textId="77777777" w:rsidR="003C1C00" w:rsidRDefault="003C1C00" w:rsidP="003C1C00">
      <w:pPr>
        <w:pStyle w:val="Caption"/>
      </w:pPr>
      <w:r>
        <w:t xml:space="preserve">Table </w:t>
      </w:r>
      <w:r>
        <w:rPr>
          <w:noProof/>
        </w:rPr>
        <w:fldChar w:fldCharType="begin"/>
      </w:r>
      <w:r>
        <w:rPr>
          <w:noProof/>
        </w:rPr>
        <w:instrText xml:space="preserve"> SEQ Table \* ARABIC </w:instrText>
      </w:r>
      <w:r>
        <w:rPr>
          <w:noProof/>
        </w:rPr>
        <w:fldChar w:fldCharType="separate"/>
      </w:r>
      <w:r>
        <w:rPr>
          <w:noProof/>
        </w:rPr>
        <w:t>13</w:t>
      </w:r>
      <w:r>
        <w:rPr>
          <w:noProof/>
        </w:rPr>
        <w:fldChar w:fldCharType="end"/>
      </w:r>
      <w:r>
        <w:t>: Port Freight Investment aggregate impact on GVA under Scenario 2)</w:t>
      </w:r>
    </w:p>
    <w:tbl>
      <w:tblPr>
        <w:tblW w:w="9098" w:type="dxa"/>
        <w:tblLook w:val="04A0" w:firstRow="1" w:lastRow="0" w:firstColumn="1" w:lastColumn="0" w:noHBand="0" w:noVBand="1"/>
      </w:tblPr>
      <w:tblGrid>
        <w:gridCol w:w="1926"/>
        <w:gridCol w:w="1926"/>
        <w:gridCol w:w="1751"/>
        <w:gridCol w:w="1751"/>
        <w:gridCol w:w="1744"/>
      </w:tblGrid>
      <w:tr w:rsidR="003C1C00" w:rsidRPr="00FB510B" w14:paraId="3A09CA1E" w14:textId="77777777" w:rsidTr="006F0DCB">
        <w:trPr>
          <w:trHeight w:val="276"/>
        </w:trPr>
        <w:tc>
          <w:tcPr>
            <w:tcW w:w="1926" w:type="dxa"/>
            <w:tcBorders>
              <w:top w:val="nil"/>
              <w:left w:val="nil"/>
              <w:bottom w:val="nil"/>
              <w:right w:val="nil"/>
            </w:tcBorders>
            <w:shd w:val="clear" w:color="auto" w:fill="auto"/>
            <w:noWrap/>
            <w:vAlign w:val="bottom"/>
            <w:hideMark/>
          </w:tcPr>
          <w:p w14:paraId="7B5C84A6" w14:textId="77777777" w:rsidR="003C1C00" w:rsidRPr="00FB510B" w:rsidRDefault="003C1C00" w:rsidP="006F0DCB">
            <w:pPr>
              <w:spacing w:after="0"/>
              <w:rPr>
                <w:rFonts w:ascii="Times New Roman" w:eastAsia="Times New Roman" w:hAnsi="Times New Roman"/>
                <w:sz w:val="20"/>
                <w:szCs w:val="24"/>
                <w:lang w:eastAsia="en-GB"/>
              </w:rPr>
            </w:pPr>
          </w:p>
        </w:tc>
        <w:tc>
          <w:tcPr>
            <w:tcW w:w="7172" w:type="dxa"/>
            <w:gridSpan w:val="4"/>
            <w:tcBorders>
              <w:top w:val="nil"/>
              <w:left w:val="nil"/>
              <w:bottom w:val="single" w:sz="8" w:space="0" w:color="FFFFFF"/>
              <w:right w:val="single" w:sz="8" w:space="0" w:color="FFFFFF"/>
            </w:tcBorders>
            <w:shd w:val="clear" w:color="000000" w:fill="008C9B"/>
            <w:vAlign w:val="center"/>
            <w:hideMark/>
          </w:tcPr>
          <w:p w14:paraId="2759C5E6" w14:textId="77777777" w:rsidR="003C1C00" w:rsidRPr="00FB510B" w:rsidRDefault="003C1C00" w:rsidP="006F0DCB">
            <w:pPr>
              <w:spacing w:after="0"/>
              <w:jc w:val="center"/>
              <w:rPr>
                <w:rFonts w:ascii="Calibri" w:eastAsia="Times New Roman" w:hAnsi="Calibri" w:cs="Calibri"/>
                <w:b/>
                <w:bCs/>
                <w:color w:val="FFFFFF"/>
                <w:sz w:val="20"/>
                <w:lang w:eastAsia="en-GB"/>
              </w:rPr>
            </w:pPr>
            <w:r w:rsidRPr="00FB510B">
              <w:rPr>
                <w:rFonts w:ascii="Calibri" w:eastAsia="Times New Roman" w:hAnsi="Calibri" w:cs="Calibri"/>
                <w:b/>
                <w:bCs/>
                <w:color w:val="FFFFFF"/>
                <w:sz w:val="20"/>
                <w:lang w:eastAsia="en-GB"/>
              </w:rPr>
              <w:t>Scenario 2) Aggregate GVA impact, £m</w:t>
            </w:r>
          </w:p>
        </w:tc>
      </w:tr>
      <w:tr w:rsidR="003C1C00" w:rsidRPr="00FB510B" w14:paraId="32F20211" w14:textId="77777777" w:rsidTr="006F0DCB">
        <w:trPr>
          <w:trHeight w:val="462"/>
        </w:trPr>
        <w:tc>
          <w:tcPr>
            <w:tcW w:w="1926" w:type="dxa"/>
            <w:tcBorders>
              <w:top w:val="nil"/>
              <w:left w:val="nil"/>
              <w:bottom w:val="nil"/>
              <w:right w:val="nil"/>
            </w:tcBorders>
            <w:shd w:val="clear" w:color="auto" w:fill="auto"/>
            <w:noWrap/>
            <w:vAlign w:val="bottom"/>
            <w:hideMark/>
          </w:tcPr>
          <w:p w14:paraId="249BB844" w14:textId="77777777" w:rsidR="003C1C00" w:rsidRPr="00FB510B" w:rsidRDefault="003C1C00" w:rsidP="006F0DCB">
            <w:pPr>
              <w:spacing w:after="0"/>
              <w:jc w:val="center"/>
              <w:rPr>
                <w:rFonts w:ascii="Calibri" w:eastAsia="Times New Roman" w:hAnsi="Calibri" w:cs="Calibri"/>
                <w:b/>
                <w:bCs/>
                <w:color w:val="FFFFFF"/>
                <w:sz w:val="20"/>
                <w:lang w:eastAsia="en-GB"/>
              </w:rPr>
            </w:pPr>
          </w:p>
        </w:tc>
        <w:tc>
          <w:tcPr>
            <w:tcW w:w="1926" w:type="dxa"/>
            <w:tcBorders>
              <w:top w:val="nil"/>
              <w:left w:val="nil"/>
              <w:bottom w:val="single" w:sz="8" w:space="0" w:color="FFFFFF"/>
              <w:right w:val="single" w:sz="8" w:space="0" w:color="FFFFFF"/>
            </w:tcBorders>
            <w:shd w:val="clear" w:color="000000" w:fill="008C9B"/>
            <w:vAlign w:val="center"/>
            <w:hideMark/>
          </w:tcPr>
          <w:p w14:paraId="04F8DA9B"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Standard CapEx</w:t>
            </w:r>
          </w:p>
        </w:tc>
        <w:tc>
          <w:tcPr>
            <w:tcW w:w="1751" w:type="dxa"/>
            <w:tcBorders>
              <w:top w:val="nil"/>
              <w:left w:val="nil"/>
              <w:bottom w:val="single" w:sz="8" w:space="0" w:color="FFFFFF"/>
              <w:right w:val="single" w:sz="8" w:space="0" w:color="FFFFFF"/>
            </w:tcBorders>
            <w:shd w:val="clear" w:color="000000" w:fill="008C9B"/>
            <w:vAlign w:val="center"/>
            <w:hideMark/>
          </w:tcPr>
          <w:p w14:paraId="59E70DE0"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+ 10%</w:t>
            </w:r>
          </w:p>
        </w:tc>
        <w:tc>
          <w:tcPr>
            <w:tcW w:w="1751" w:type="dxa"/>
            <w:tcBorders>
              <w:top w:val="nil"/>
              <w:left w:val="nil"/>
              <w:bottom w:val="single" w:sz="8" w:space="0" w:color="FFFFFF"/>
              <w:right w:val="single" w:sz="8" w:space="0" w:color="FFFFFF"/>
            </w:tcBorders>
            <w:shd w:val="clear" w:color="000000" w:fill="008C9B"/>
            <w:vAlign w:val="center"/>
            <w:hideMark/>
          </w:tcPr>
          <w:p w14:paraId="100C329A"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+ 20%</w:t>
            </w:r>
          </w:p>
        </w:tc>
        <w:tc>
          <w:tcPr>
            <w:tcW w:w="1744" w:type="dxa"/>
            <w:tcBorders>
              <w:top w:val="nil"/>
              <w:left w:val="nil"/>
              <w:bottom w:val="single" w:sz="8" w:space="0" w:color="FFFFFF"/>
              <w:right w:val="single" w:sz="8" w:space="0" w:color="FFFFFF"/>
            </w:tcBorders>
            <w:shd w:val="clear" w:color="000000" w:fill="008C9B"/>
            <w:vAlign w:val="center"/>
            <w:hideMark/>
          </w:tcPr>
          <w:p w14:paraId="3EFE0AD2" w14:textId="77777777" w:rsidR="003C1C00" w:rsidRPr="002E7FB2"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CapEx</w:t>
            </w:r>
            <w:r w:rsidRPr="002E7FB2">
              <w:rPr>
                <w:rFonts w:ascii="Calibri" w:eastAsia="Times New Roman" w:hAnsi="Calibri" w:cs="Calibri"/>
                <w:b/>
                <w:bCs/>
                <w:color w:val="FFFFFF"/>
                <w:sz w:val="20"/>
                <w:lang w:eastAsia="en-GB"/>
              </w:rPr>
              <w:t xml:space="preserve"> + 40%</w:t>
            </w:r>
          </w:p>
        </w:tc>
      </w:tr>
      <w:tr w:rsidR="003C1C00" w:rsidRPr="00FB510B" w14:paraId="4A074C32" w14:textId="77777777" w:rsidTr="006F0DCB">
        <w:trPr>
          <w:trHeight w:val="276"/>
        </w:trPr>
        <w:tc>
          <w:tcPr>
            <w:tcW w:w="192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09460F9C" w14:textId="77777777" w:rsidR="003C1C00" w:rsidRPr="00FB510B" w:rsidRDefault="003C1C00" w:rsidP="006F0DCB">
            <w:pPr>
              <w:spacing w:after="0"/>
              <w:jc w:val="center"/>
              <w:rPr>
                <w:rFonts w:ascii="Calibri" w:eastAsia="Times New Roman" w:hAnsi="Calibri" w:cs="Calibri"/>
                <w:b/>
                <w:bCs/>
                <w:color w:val="FFFFFF"/>
                <w:sz w:val="20"/>
                <w:lang w:eastAsia="en-GB"/>
              </w:rPr>
            </w:pPr>
            <w:r w:rsidRPr="00FB510B">
              <w:rPr>
                <w:rFonts w:ascii="Calibri" w:eastAsia="Times New Roman" w:hAnsi="Calibri" w:cs="Calibri"/>
                <w:b/>
                <w:bCs/>
                <w:color w:val="FFFFFF"/>
                <w:sz w:val="20"/>
                <w:lang w:eastAsia="en-GB"/>
              </w:rPr>
              <w:t>2015</w:t>
            </w:r>
          </w:p>
        </w:tc>
        <w:tc>
          <w:tcPr>
            <w:tcW w:w="1926" w:type="dxa"/>
            <w:tcBorders>
              <w:top w:val="nil"/>
              <w:left w:val="nil"/>
              <w:bottom w:val="single" w:sz="8" w:space="0" w:color="FFFFFF"/>
              <w:right w:val="single" w:sz="8" w:space="0" w:color="FFFFFF"/>
            </w:tcBorders>
            <w:shd w:val="clear" w:color="000000" w:fill="D0CECE"/>
            <w:vAlign w:val="center"/>
            <w:hideMark/>
          </w:tcPr>
          <w:p w14:paraId="5FD18772"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114</w:t>
            </w:r>
          </w:p>
        </w:tc>
        <w:tc>
          <w:tcPr>
            <w:tcW w:w="1751" w:type="dxa"/>
            <w:tcBorders>
              <w:top w:val="nil"/>
              <w:left w:val="nil"/>
              <w:bottom w:val="single" w:sz="8" w:space="0" w:color="FFFFFF"/>
              <w:right w:val="single" w:sz="8" w:space="0" w:color="FFFFFF"/>
            </w:tcBorders>
            <w:shd w:val="clear" w:color="000000" w:fill="D0CECE"/>
            <w:vAlign w:val="center"/>
            <w:hideMark/>
          </w:tcPr>
          <w:p w14:paraId="04460DF7"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126</w:t>
            </w:r>
          </w:p>
        </w:tc>
        <w:tc>
          <w:tcPr>
            <w:tcW w:w="1751" w:type="dxa"/>
            <w:tcBorders>
              <w:top w:val="nil"/>
              <w:left w:val="nil"/>
              <w:bottom w:val="single" w:sz="8" w:space="0" w:color="FFFFFF"/>
              <w:right w:val="single" w:sz="8" w:space="0" w:color="FFFFFF"/>
            </w:tcBorders>
            <w:shd w:val="clear" w:color="000000" w:fill="D0CECE"/>
            <w:vAlign w:val="center"/>
            <w:hideMark/>
          </w:tcPr>
          <w:p w14:paraId="0E925F47"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137</w:t>
            </w:r>
          </w:p>
        </w:tc>
        <w:tc>
          <w:tcPr>
            <w:tcW w:w="1744" w:type="dxa"/>
            <w:tcBorders>
              <w:top w:val="nil"/>
              <w:left w:val="nil"/>
              <w:bottom w:val="single" w:sz="8" w:space="0" w:color="FFFFFF"/>
              <w:right w:val="single" w:sz="8" w:space="0" w:color="FFFFFF"/>
            </w:tcBorders>
            <w:shd w:val="clear" w:color="000000" w:fill="D0CECE"/>
            <w:vAlign w:val="center"/>
            <w:hideMark/>
          </w:tcPr>
          <w:p w14:paraId="205DD028"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160</w:t>
            </w:r>
          </w:p>
        </w:tc>
      </w:tr>
      <w:tr w:rsidR="003C1C00" w:rsidRPr="00FB510B" w14:paraId="123A2F9A" w14:textId="77777777" w:rsidTr="006F0DCB">
        <w:trPr>
          <w:trHeight w:val="290"/>
        </w:trPr>
        <w:tc>
          <w:tcPr>
            <w:tcW w:w="192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150306D0" w14:textId="77777777" w:rsidR="003C1C00" w:rsidRPr="00FB510B" w:rsidRDefault="003C1C00" w:rsidP="006F0DCB">
            <w:pPr>
              <w:spacing w:after="0"/>
              <w:jc w:val="center"/>
              <w:rPr>
                <w:rFonts w:ascii="Calibri" w:eastAsia="Times New Roman" w:hAnsi="Calibri" w:cs="Calibri"/>
                <w:b/>
                <w:bCs/>
                <w:color w:val="FFFFFF"/>
                <w:sz w:val="20"/>
                <w:lang w:eastAsia="en-GB"/>
              </w:rPr>
            </w:pPr>
            <w:r w:rsidRPr="00FB510B">
              <w:rPr>
                <w:rFonts w:ascii="Calibri" w:eastAsia="Times New Roman" w:hAnsi="Calibri" w:cs="Calibri"/>
                <w:b/>
                <w:bCs/>
                <w:color w:val="FFFFFF"/>
                <w:sz w:val="20"/>
                <w:lang w:eastAsia="en-GB"/>
              </w:rPr>
              <w:t>2016</w:t>
            </w:r>
          </w:p>
        </w:tc>
        <w:tc>
          <w:tcPr>
            <w:tcW w:w="1926" w:type="dxa"/>
            <w:tcBorders>
              <w:top w:val="nil"/>
              <w:left w:val="single" w:sz="8" w:space="0" w:color="FFFFFF"/>
              <w:bottom w:val="single" w:sz="12" w:space="0" w:color="FFFFFF"/>
              <w:right w:val="single" w:sz="12" w:space="0" w:color="FFFFFF"/>
            </w:tcBorders>
            <w:shd w:val="clear" w:color="000000" w:fill="E7EEEF"/>
            <w:vAlign w:val="center"/>
            <w:hideMark/>
          </w:tcPr>
          <w:p w14:paraId="30291B93"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119</w:t>
            </w:r>
          </w:p>
        </w:tc>
        <w:tc>
          <w:tcPr>
            <w:tcW w:w="1751" w:type="dxa"/>
            <w:tcBorders>
              <w:top w:val="nil"/>
              <w:left w:val="single" w:sz="8" w:space="0" w:color="FFFFFF"/>
              <w:bottom w:val="single" w:sz="12" w:space="0" w:color="FFFFFF"/>
              <w:right w:val="single" w:sz="12" w:space="0" w:color="FFFFFF"/>
            </w:tcBorders>
            <w:shd w:val="clear" w:color="000000" w:fill="E7EEEF"/>
            <w:vAlign w:val="center"/>
            <w:hideMark/>
          </w:tcPr>
          <w:p w14:paraId="3413B137"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121</w:t>
            </w:r>
          </w:p>
        </w:tc>
        <w:tc>
          <w:tcPr>
            <w:tcW w:w="1751" w:type="dxa"/>
            <w:tcBorders>
              <w:top w:val="nil"/>
              <w:left w:val="single" w:sz="8" w:space="0" w:color="FFFFFF"/>
              <w:bottom w:val="single" w:sz="12" w:space="0" w:color="FFFFFF"/>
              <w:right w:val="single" w:sz="12" w:space="0" w:color="FFFFFF"/>
            </w:tcBorders>
            <w:shd w:val="clear" w:color="000000" w:fill="E7EEEF"/>
            <w:vAlign w:val="center"/>
            <w:hideMark/>
          </w:tcPr>
          <w:p w14:paraId="72826A83"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123</w:t>
            </w:r>
          </w:p>
        </w:tc>
        <w:tc>
          <w:tcPr>
            <w:tcW w:w="1744" w:type="dxa"/>
            <w:tcBorders>
              <w:top w:val="nil"/>
              <w:left w:val="single" w:sz="8" w:space="0" w:color="FFFFFF"/>
              <w:bottom w:val="single" w:sz="12" w:space="0" w:color="FFFFFF"/>
              <w:right w:val="single" w:sz="12" w:space="0" w:color="FFFFFF"/>
            </w:tcBorders>
            <w:shd w:val="clear" w:color="000000" w:fill="E7EEEF"/>
            <w:vAlign w:val="center"/>
            <w:hideMark/>
          </w:tcPr>
          <w:p w14:paraId="103D1423"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125</w:t>
            </w:r>
          </w:p>
        </w:tc>
      </w:tr>
      <w:tr w:rsidR="003C1C00" w:rsidRPr="00FB510B" w14:paraId="23DFF550" w14:textId="77777777" w:rsidTr="006F0DCB">
        <w:trPr>
          <w:trHeight w:val="290"/>
        </w:trPr>
        <w:tc>
          <w:tcPr>
            <w:tcW w:w="192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5D40D2DA" w14:textId="77777777" w:rsidR="003C1C00" w:rsidRPr="00FB510B" w:rsidRDefault="003C1C00" w:rsidP="006F0DCB">
            <w:pPr>
              <w:spacing w:after="0"/>
              <w:jc w:val="center"/>
              <w:rPr>
                <w:rFonts w:ascii="Calibri" w:eastAsia="Times New Roman" w:hAnsi="Calibri" w:cs="Calibri"/>
                <w:b/>
                <w:bCs/>
                <w:color w:val="FFFFFF"/>
                <w:sz w:val="20"/>
                <w:lang w:eastAsia="en-GB"/>
              </w:rPr>
            </w:pPr>
            <w:r w:rsidRPr="00FB510B">
              <w:rPr>
                <w:rFonts w:ascii="Calibri" w:eastAsia="Times New Roman" w:hAnsi="Calibri" w:cs="Calibri"/>
                <w:b/>
                <w:bCs/>
                <w:color w:val="FFFFFF"/>
                <w:sz w:val="20"/>
                <w:lang w:eastAsia="en-GB"/>
              </w:rPr>
              <w:lastRenderedPageBreak/>
              <w:t>2017</w:t>
            </w:r>
          </w:p>
        </w:tc>
        <w:tc>
          <w:tcPr>
            <w:tcW w:w="1926" w:type="dxa"/>
            <w:tcBorders>
              <w:top w:val="nil"/>
              <w:left w:val="nil"/>
              <w:bottom w:val="single" w:sz="8" w:space="0" w:color="FFFFFF"/>
              <w:right w:val="single" w:sz="8" w:space="0" w:color="FFFFFF"/>
            </w:tcBorders>
            <w:shd w:val="clear" w:color="000000" w:fill="D0CECE"/>
            <w:vAlign w:val="center"/>
            <w:hideMark/>
          </w:tcPr>
          <w:p w14:paraId="1AE5DFF9"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119</w:t>
            </w:r>
          </w:p>
        </w:tc>
        <w:tc>
          <w:tcPr>
            <w:tcW w:w="1751" w:type="dxa"/>
            <w:tcBorders>
              <w:top w:val="nil"/>
              <w:left w:val="nil"/>
              <w:bottom w:val="single" w:sz="8" w:space="0" w:color="FFFFFF"/>
              <w:right w:val="single" w:sz="8" w:space="0" w:color="FFFFFF"/>
            </w:tcBorders>
            <w:shd w:val="clear" w:color="000000" w:fill="D0CECE"/>
            <w:vAlign w:val="center"/>
            <w:hideMark/>
          </w:tcPr>
          <w:p w14:paraId="7FCE00B6"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134</w:t>
            </w:r>
          </w:p>
        </w:tc>
        <w:tc>
          <w:tcPr>
            <w:tcW w:w="1751" w:type="dxa"/>
            <w:tcBorders>
              <w:top w:val="nil"/>
              <w:left w:val="nil"/>
              <w:bottom w:val="single" w:sz="8" w:space="0" w:color="FFFFFF"/>
              <w:right w:val="single" w:sz="8" w:space="0" w:color="FFFFFF"/>
            </w:tcBorders>
            <w:shd w:val="clear" w:color="000000" w:fill="D0CECE"/>
            <w:vAlign w:val="center"/>
            <w:hideMark/>
          </w:tcPr>
          <w:p w14:paraId="1CFE3B3C"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136</w:t>
            </w:r>
          </w:p>
        </w:tc>
        <w:tc>
          <w:tcPr>
            <w:tcW w:w="1744" w:type="dxa"/>
            <w:tcBorders>
              <w:top w:val="nil"/>
              <w:left w:val="nil"/>
              <w:bottom w:val="single" w:sz="8" w:space="0" w:color="FFFFFF"/>
              <w:right w:val="single" w:sz="8" w:space="0" w:color="FFFFFF"/>
            </w:tcBorders>
            <w:shd w:val="clear" w:color="000000" w:fill="D0CECE"/>
            <w:vAlign w:val="center"/>
            <w:hideMark/>
          </w:tcPr>
          <w:p w14:paraId="60331CAD"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139</w:t>
            </w:r>
          </w:p>
        </w:tc>
      </w:tr>
      <w:tr w:rsidR="003C1C00" w:rsidRPr="00FB510B" w14:paraId="396D6ABB" w14:textId="77777777" w:rsidTr="006F0DCB">
        <w:trPr>
          <w:trHeight w:val="701"/>
        </w:trPr>
        <w:tc>
          <w:tcPr>
            <w:tcW w:w="192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61D2B715" w14:textId="77777777" w:rsidR="003C1C00" w:rsidRPr="00FB510B" w:rsidRDefault="003C1C00" w:rsidP="006F0DCB">
            <w:pPr>
              <w:spacing w:after="0"/>
              <w:jc w:val="center"/>
              <w:rPr>
                <w:rFonts w:ascii="Calibri" w:eastAsia="Times New Roman" w:hAnsi="Calibri" w:cs="Calibri"/>
                <w:b/>
                <w:bCs/>
                <w:color w:val="FFFFFF"/>
                <w:sz w:val="20"/>
                <w:lang w:eastAsia="en-GB"/>
              </w:rPr>
            </w:pPr>
            <w:r>
              <w:rPr>
                <w:rFonts w:ascii="Calibri" w:eastAsia="Times New Roman" w:hAnsi="Calibri" w:cs="Calibri"/>
                <w:b/>
                <w:bCs/>
                <w:color w:val="FFFFFF"/>
                <w:sz w:val="20"/>
                <w:lang w:eastAsia="en-GB"/>
              </w:rPr>
              <w:t>2017 investment revenue</w:t>
            </w:r>
            <w:r w:rsidRPr="002E7FB2">
              <w:rPr>
                <w:rFonts w:ascii="Calibri" w:eastAsia="Times New Roman" w:hAnsi="Calibri" w:cs="Calibri"/>
                <w:b/>
                <w:bCs/>
                <w:color w:val="FFFFFF"/>
                <w:sz w:val="20"/>
                <w:lang w:eastAsia="en-GB"/>
              </w:rPr>
              <w:t xml:space="preserve"> </w:t>
            </w:r>
            <w:r>
              <w:rPr>
                <w:rFonts w:ascii="Calibri" w:eastAsia="Times New Roman" w:hAnsi="Calibri" w:cs="Calibri"/>
                <w:b/>
                <w:bCs/>
                <w:color w:val="FFFFFF"/>
                <w:sz w:val="20"/>
                <w:lang w:eastAsia="en-GB"/>
              </w:rPr>
              <w:t>as % of ports industry revenue</w:t>
            </w:r>
          </w:p>
        </w:tc>
        <w:tc>
          <w:tcPr>
            <w:tcW w:w="1926" w:type="dxa"/>
            <w:tcBorders>
              <w:top w:val="nil"/>
              <w:left w:val="single" w:sz="8" w:space="0" w:color="FFFFFF"/>
              <w:bottom w:val="single" w:sz="12" w:space="0" w:color="FFFFFF"/>
              <w:right w:val="single" w:sz="12" w:space="0" w:color="FFFFFF"/>
            </w:tcBorders>
            <w:shd w:val="clear" w:color="000000" w:fill="E7EEEF"/>
            <w:vAlign w:val="center"/>
            <w:hideMark/>
          </w:tcPr>
          <w:p w14:paraId="6BC6833B"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1.8%</w:t>
            </w:r>
          </w:p>
        </w:tc>
        <w:tc>
          <w:tcPr>
            <w:tcW w:w="1751" w:type="dxa"/>
            <w:tcBorders>
              <w:top w:val="nil"/>
              <w:left w:val="single" w:sz="8" w:space="0" w:color="FFFFFF"/>
              <w:bottom w:val="single" w:sz="12" w:space="0" w:color="FFFFFF"/>
              <w:right w:val="single" w:sz="12" w:space="0" w:color="FFFFFF"/>
            </w:tcBorders>
            <w:shd w:val="clear" w:color="000000" w:fill="E7EEEF"/>
            <w:vAlign w:val="center"/>
            <w:hideMark/>
          </w:tcPr>
          <w:p w14:paraId="39A57023"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2.1%</w:t>
            </w:r>
          </w:p>
        </w:tc>
        <w:tc>
          <w:tcPr>
            <w:tcW w:w="1751" w:type="dxa"/>
            <w:tcBorders>
              <w:top w:val="nil"/>
              <w:left w:val="single" w:sz="8" w:space="0" w:color="FFFFFF"/>
              <w:bottom w:val="single" w:sz="12" w:space="0" w:color="FFFFFF"/>
              <w:right w:val="single" w:sz="12" w:space="0" w:color="FFFFFF"/>
            </w:tcBorders>
            <w:shd w:val="clear" w:color="000000" w:fill="E7EEEF"/>
            <w:vAlign w:val="center"/>
            <w:hideMark/>
          </w:tcPr>
          <w:p w14:paraId="1ACBB261"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2.1%</w:t>
            </w:r>
          </w:p>
        </w:tc>
        <w:tc>
          <w:tcPr>
            <w:tcW w:w="1744" w:type="dxa"/>
            <w:tcBorders>
              <w:top w:val="nil"/>
              <w:left w:val="single" w:sz="8" w:space="0" w:color="FFFFFF"/>
              <w:bottom w:val="single" w:sz="12" w:space="0" w:color="FFFFFF"/>
              <w:right w:val="single" w:sz="12" w:space="0" w:color="FFFFFF"/>
            </w:tcBorders>
            <w:shd w:val="clear" w:color="000000" w:fill="E7EEEF"/>
            <w:vAlign w:val="center"/>
            <w:hideMark/>
          </w:tcPr>
          <w:p w14:paraId="1386E78B" w14:textId="77777777" w:rsidR="003C1C00" w:rsidRPr="00FB510B" w:rsidRDefault="003C1C00" w:rsidP="006F0DCB">
            <w:pPr>
              <w:spacing w:after="0"/>
              <w:jc w:val="center"/>
              <w:rPr>
                <w:rFonts w:ascii="Calibri" w:eastAsia="Times New Roman" w:hAnsi="Calibri" w:cs="Calibri"/>
                <w:color w:val="000000"/>
                <w:sz w:val="20"/>
                <w:lang w:eastAsia="en-GB"/>
              </w:rPr>
            </w:pPr>
            <w:r w:rsidRPr="00FB510B">
              <w:rPr>
                <w:rFonts w:ascii="Calibri" w:eastAsia="Times New Roman" w:hAnsi="Calibri" w:cs="Calibri"/>
                <w:color w:val="000000"/>
                <w:sz w:val="20"/>
                <w:lang w:eastAsia="en-GB"/>
              </w:rPr>
              <w:t>2.1%</w:t>
            </w:r>
          </w:p>
        </w:tc>
      </w:tr>
    </w:tbl>
    <w:p w14:paraId="35A45A5B" w14:textId="77777777" w:rsidR="003C1C00" w:rsidRDefault="003C1C00" w:rsidP="003C1C00">
      <w:pPr>
        <w:jc w:val="right"/>
        <w:rPr>
          <w:i/>
          <w:sz w:val="18"/>
        </w:rPr>
      </w:pPr>
      <w:r>
        <w:rPr>
          <w:i/>
          <w:sz w:val="18"/>
        </w:rPr>
        <w:t>Source: UK Major Ports Group data on investment, United Nations, Eurostat, HMRC Overseas Trade Statistics, Cebr analysis</w:t>
      </w:r>
    </w:p>
    <w:bookmarkEnd w:id="1"/>
    <w:bookmarkEnd w:id="2"/>
    <w:sectPr w:rsidR="003C1C00" w:rsidSect="00426236">
      <w:headerReference w:type="default" r:id="rId8"/>
      <w:footerReference w:type="default" r:id="rId9"/>
      <w:headerReference w:type="first" r:id="rId10"/>
      <w:footerReference w:type="first" r:id="rId11"/>
      <w:pgSz w:w="11906" w:h="16838" w:code="9"/>
      <w:pgMar w:top="2495" w:right="1247" w:bottom="1134" w:left="1247" w:header="567"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2B76B" w14:textId="77777777" w:rsidR="002646E8" w:rsidRDefault="002646E8" w:rsidP="00717C6C">
      <w:r>
        <w:separator/>
      </w:r>
    </w:p>
  </w:endnote>
  <w:endnote w:type="continuationSeparator" w:id="0">
    <w:p w14:paraId="3CF56DC7" w14:textId="77777777" w:rsidR="002646E8" w:rsidRDefault="002646E8" w:rsidP="0071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7C9BF" w14:textId="77777777" w:rsidR="002646E8" w:rsidRPr="005D37CB" w:rsidRDefault="002646E8" w:rsidP="005D37CB">
    <w:pPr>
      <w:pStyle w:val="Footer"/>
    </w:pPr>
    <w:r>
      <w:rPr>
        <w:rFonts w:cstheme="minorHAnsi"/>
        <w:noProof/>
        <w:lang w:eastAsia="en-GB"/>
      </w:rPr>
      <w:drawing>
        <wp:anchor distT="0" distB="0" distL="114300" distR="114300" simplePos="0" relativeHeight="251664384" behindDoc="0" locked="1" layoutInCell="1" allowOverlap="1" wp14:anchorId="75BA0967" wp14:editId="7D07A34F">
          <wp:simplePos x="0" y="0"/>
          <wp:positionH relativeFrom="page">
            <wp:posOffset>6336665</wp:posOffset>
          </wp:positionH>
          <wp:positionV relativeFrom="page">
            <wp:posOffset>10318750</wp:posOffset>
          </wp:positionV>
          <wp:extent cx="431800" cy="154305"/>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_white_logo_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00" cy="154305"/>
                  </a:xfrm>
                  <a:prstGeom prst="rect">
                    <a:avLst/>
                  </a:prstGeom>
                </pic:spPr>
              </pic:pic>
            </a:graphicData>
          </a:graphic>
          <wp14:sizeRelH relativeFrom="page">
            <wp14:pctWidth>0</wp14:pctWidth>
          </wp14:sizeRelH>
          <wp14:sizeRelV relativeFrom="page">
            <wp14:pctHeight>0</wp14:pctHeight>
          </wp14:sizeRelV>
        </wp:anchor>
      </w:drawing>
    </w:r>
    <w:r>
      <w:rPr>
        <w:rFonts w:cstheme="minorHAnsi"/>
      </w:rPr>
      <w:t>©</w:t>
    </w:r>
    <w:r>
      <w:rPr>
        <w:noProof/>
        <w:lang w:eastAsia="en-GB"/>
      </w:rPr>
      <mc:AlternateContent>
        <mc:Choice Requires="wps">
          <w:drawing>
            <wp:anchor distT="0" distB="0" distL="114300" distR="114300" simplePos="0" relativeHeight="251662336" behindDoc="1" locked="1" layoutInCell="1" allowOverlap="1" wp14:anchorId="2911074F" wp14:editId="0D52340D">
              <wp:simplePos x="0" y="0"/>
              <wp:positionH relativeFrom="page">
                <wp:posOffset>0</wp:posOffset>
              </wp:positionH>
              <wp:positionV relativeFrom="page">
                <wp:posOffset>10248900</wp:posOffset>
              </wp:positionV>
              <wp:extent cx="7559675" cy="445135"/>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4451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A206EC" id="Rectangle 3" o:spid="_x0000_s1026" style="position:absolute;margin-left:0;margin-top:807pt;width:595.25pt;height:35.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" fillcolor="#008c9b [3204]" stroked="f" strokeweight="2pt">
              <w10:wrap anchorx="page" anchory="page"/>
              <w10:anchorlock/>
            </v:rect>
          </w:pict>
        </mc:Fallback>
      </mc:AlternateContent>
    </w:r>
    <w:r>
      <w:t xml:space="preserve"> Centre for Economics and Business Research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F906E" w14:textId="77777777" w:rsidR="002646E8" w:rsidRDefault="002646E8" w:rsidP="008B0A02">
    <w:pPr>
      <w:pStyle w:val="Footer"/>
    </w:pPr>
    <w:r>
      <w:rPr>
        <w:noProof/>
        <w:lang w:eastAsia="en-GB"/>
      </w:rPr>
      <w:drawing>
        <wp:anchor distT="0" distB="0" distL="114300" distR="114300" simplePos="0" relativeHeight="251663360" behindDoc="0" locked="1" layoutInCell="1" allowOverlap="1" wp14:anchorId="183AE106" wp14:editId="25D74F77">
          <wp:simplePos x="0" y="0"/>
          <wp:positionH relativeFrom="page">
            <wp:posOffset>5796915</wp:posOffset>
          </wp:positionH>
          <wp:positionV relativeFrom="page">
            <wp:posOffset>9541510</wp:posOffset>
          </wp:positionV>
          <wp:extent cx="986400" cy="345600"/>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 logo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400" cy="345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1" layoutInCell="1" allowOverlap="1" wp14:anchorId="5010491E" wp14:editId="1BD1E947">
          <wp:simplePos x="0" y="0"/>
          <wp:positionH relativeFrom="page">
            <wp:posOffset>5867400</wp:posOffset>
          </wp:positionH>
          <wp:positionV relativeFrom="page">
            <wp:posOffset>790575</wp:posOffset>
          </wp:positionV>
          <wp:extent cx="895985" cy="8959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 logo vector box.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985" cy="8959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1" locked="1" layoutInCell="1" allowOverlap="1" wp14:anchorId="5EEF196A" wp14:editId="15AEE26F">
              <wp:simplePos x="0" y="0"/>
              <wp:positionH relativeFrom="page">
                <wp:posOffset>0</wp:posOffset>
              </wp:positionH>
              <wp:positionV relativeFrom="page">
                <wp:posOffset>8858250</wp:posOffset>
              </wp:positionV>
              <wp:extent cx="7560000" cy="1836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83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D1D6011" id="Rectangle 1" o:spid="_x0000_s1026" style="position:absolute;margin-left:0;margin-top:697.5pt;width:595.3pt;height:144.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" fillcolor="#008c9b [3204]" stroked="f" strokeweight="2pt">
              <w10:wrap anchorx="page" anchory="pag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648FB" w14:textId="77777777" w:rsidR="002646E8" w:rsidRDefault="002646E8" w:rsidP="00717C6C">
      <w:r>
        <w:separator/>
      </w:r>
    </w:p>
  </w:footnote>
  <w:footnote w:type="continuationSeparator" w:id="0">
    <w:p w14:paraId="7B4F303E" w14:textId="77777777" w:rsidR="002646E8" w:rsidRDefault="002646E8" w:rsidP="00717C6C">
      <w:r>
        <w:continuationSeparator/>
      </w:r>
    </w:p>
  </w:footnote>
  <w:footnote w:id="1">
    <w:p w14:paraId="7B938C28" w14:textId="77777777" w:rsidR="003C1C00" w:rsidRDefault="003C1C00" w:rsidP="003C1C00">
      <w:pPr>
        <w:pStyle w:val="FootnoteText"/>
      </w:pPr>
      <w:r>
        <w:rPr>
          <w:rStyle w:val="FootnoteReference"/>
        </w:rPr>
        <w:footnoteRef/>
      </w:r>
      <w:r>
        <w:t xml:space="preserve"> Department for Transport. (2019). ‘Maritime 2050’.</w:t>
      </w:r>
    </w:p>
  </w:footnote>
  <w:footnote w:id="2">
    <w:p w14:paraId="6674D08B" w14:textId="77777777" w:rsidR="003C1C00" w:rsidRDefault="003C1C00" w:rsidP="003C1C00">
      <w:pPr>
        <w:pStyle w:val="FootnoteText"/>
      </w:pPr>
      <w:r>
        <w:rPr>
          <w:rStyle w:val="FootnoteReference"/>
        </w:rPr>
        <w:footnoteRef/>
      </w:r>
      <w:r>
        <w:t xml:space="preserve"> Ibid.  </w:t>
      </w:r>
    </w:p>
  </w:footnote>
  <w:footnote w:id="3">
    <w:p w14:paraId="2A7141A2" w14:textId="77777777" w:rsidR="003C1C00" w:rsidRDefault="003C1C00" w:rsidP="003C1C00">
      <w:pPr>
        <w:pStyle w:val="FootnoteText"/>
      </w:pPr>
      <w:r>
        <w:rPr>
          <w:rStyle w:val="FootnoteReference"/>
        </w:rPr>
        <w:footnoteRef/>
      </w:r>
      <w:r>
        <w:t xml:space="preserve"> Ibid. </w:t>
      </w:r>
    </w:p>
  </w:footnote>
  <w:footnote w:id="4">
    <w:p w14:paraId="55EFB539" w14:textId="77777777" w:rsidR="003C1C00" w:rsidRDefault="003C1C00" w:rsidP="003C1C00">
      <w:pPr>
        <w:pStyle w:val="FootnoteText"/>
      </w:pPr>
      <w:r>
        <w:rPr>
          <w:rStyle w:val="FootnoteReference"/>
        </w:rPr>
        <w:footnoteRef/>
      </w:r>
      <w:r>
        <w:t xml:space="preserve"> British Ports Association. (2018). ‘UK Port Infrastructure Project Pipeline Analysis Report’.</w:t>
      </w:r>
    </w:p>
  </w:footnote>
  <w:footnote w:id="5">
    <w:p w14:paraId="68082F96" w14:textId="77777777" w:rsidR="003C1C00" w:rsidRDefault="003C1C00" w:rsidP="003C1C00">
      <w:pPr>
        <w:pStyle w:val="FootnoteText"/>
      </w:pPr>
      <w:r>
        <w:rPr>
          <w:rStyle w:val="FootnoteReference"/>
        </w:rPr>
        <w:footnoteRef/>
      </w:r>
      <w:r>
        <w:t xml:space="preserve"> United Nations. (2012). </w:t>
      </w:r>
      <w:r w:rsidRPr="00026AF5">
        <w:t>‘Investment and port traffic: an analy</w:t>
      </w:r>
      <w:r>
        <w:t xml:space="preserve">sis of the situation in Spain’. </w:t>
      </w:r>
    </w:p>
  </w:footnote>
  <w:footnote w:id="6">
    <w:p w14:paraId="1D166C34" w14:textId="77777777" w:rsidR="003C1C00" w:rsidRDefault="003C1C00" w:rsidP="003C1C00">
      <w:pPr>
        <w:pStyle w:val="FootnoteText"/>
      </w:pPr>
      <w:r>
        <w:rPr>
          <w:rStyle w:val="FootnoteReference"/>
        </w:rPr>
        <w:footnoteRef/>
      </w:r>
      <w:r>
        <w:t xml:space="preserve"> </w:t>
      </w:r>
      <w:r w:rsidRPr="00722909">
        <w:t>Park. J. &amp; Seo. Y. (2016). ‘The impact of seaports on the regional economies in South Korea: Panel evidence from the augmented Solow model</w:t>
      </w:r>
      <w:r>
        <w:t>’.</w:t>
      </w:r>
    </w:p>
  </w:footnote>
  <w:footnote w:id="7">
    <w:p w14:paraId="0041D126" w14:textId="77777777" w:rsidR="003C1C00" w:rsidRDefault="003C1C00" w:rsidP="003C1C00">
      <w:pPr>
        <w:pStyle w:val="FootnoteText"/>
      </w:pPr>
      <w:r>
        <w:rPr>
          <w:rStyle w:val="FootnoteReference"/>
        </w:rPr>
        <w:footnoteRef/>
      </w:r>
      <w:r>
        <w:t xml:space="preserve"> </w:t>
      </w:r>
      <w:r w:rsidRPr="00722909">
        <w:t>Park. J. &amp; Seo. Y. (2016). ‘The impact of seaports on the regional economies in South Korea: Panel evidence from the augmented Solow model</w:t>
      </w:r>
      <w:r>
        <w:t>’.</w:t>
      </w:r>
    </w:p>
  </w:footnote>
  <w:footnote w:id="8">
    <w:p w14:paraId="78015281" w14:textId="77777777" w:rsidR="003C1C00" w:rsidRDefault="003C1C00" w:rsidP="003C1C00">
      <w:pPr>
        <w:pStyle w:val="FootnoteText"/>
      </w:pPr>
      <w:r>
        <w:rPr>
          <w:rStyle w:val="FootnoteReference"/>
        </w:rPr>
        <w:footnoteRef/>
      </w:r>
      <w:r>
        <w:t xml:space="preserve"> Department for Transport. (2019). ‘Maritime 2050’.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84DF6" w14:textId="77777777" w:rsidR="002646E8" w:rsidRDefault="002646E8">
    <w:pPr>
      <w:pStyle w:val="Header"/>
    </w:pPr>
    <w:r>
      <w:tab/>
    </w:r>
    <w:r>
      <w:fldChar w:fldCharType="begin"/>
    </w:r>
    <w:r>
      <w:instrText xml:space="preserve"> PAGE  \* Arabic  \* MERGEFORMAT </w:instrText>
    </w:r>
    <w:r>
      <w:fldChar w:fldCharType="separate"/>
    </w:r>
    <w:r w:rsidR="003C1C00">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25309" w14:textId="77777777" w:rsidR="002646E8" w:rsidRDefault="002646E8">
    <w:pPr>
      <w:pStyle w:val="Header"/>
    </w:pPr>
    <w:r>
      <w:rPr>
        <w:noProof/>
        <w:lang w:eastAsia="en-GB"/>
      </w:rPr>
      <w:drawing>
        <wp:anchor distT="0" distB="0" distL="114300" distR="114300" simplePos="0" relativeHeight="251665408" behindDoc="1" locked="1" layoutInCell="1" allowOverlap="1" wp14:anchorId="25A37BBD" wp14:editId="0BCED12A">
          <wp:simplePos x="0" y="0"/>
          <wp:positionH relativeFrom="page">
            <wp:posOffset>0</wp:posOffset>
          </wp:positionH>
          <wp:positionV relativeFrom="page">
            <wp:posOffset>0</wp:posOffset>
          </wp:positionV>
          <wp:extent cx="7563600" cy="8960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_Operandi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896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C0FF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1AEA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00AD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3E15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5673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DED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9EF4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A19D8"/>
    <w:lvl w:ilvl="0">
      <w:start w:val="1"/>
      <w:numFmt w:val="bullet"/>
      <w:pStyle w:val="ListBullet2"/>
      <w:lvlText w:val="–"/>
      <w:lvlJc w:val="left"/>
      <w:pPr>
        <w:ind w:left="587" w:hanging="360"/>
      </w:pPr>
      <w:rPr>
        <w:rFonts w:ascii="Gotham Light" w:hAnsi="Gotham Light" w:cs="Symbol" w:hint="default"/>
        <w:color w:val="008C9B" w:themeColor="accent1"/>
      </w:rPr>
    </w:lvl>
  </w:abstractNum>
  <w:abstractNum w:abstractNumId="8" w15:restartNumberingAfterBreak="0">
    <w:nsid w:val="FFFFFF88"/>
    <w:multiLevelType w:val="singleLevel"/>
    <w:tmpl w:val="0812F64C"/>
    <w:lvl w:ilvl="0">
      <w:start w:val="1"/>
      <w:numFmt w:val="decimal"/>
      <w:pStyle w:val="ListNumber"/>
      <w:lvlText w:val="%1"/>
      <w:lvlJc w:val="left"/>
      <w:pPr>
        <w:ind w:left="360" w:hanging="360"/>
      </w:pPr>
      <w:rPr>
        <w:rFonts w:hint="default"/>
        <w:b/>
        <w:i w:val="0"/>
        <w:color w:val="008C9B" w:themeColor="text2"/>
      </w:rPr>
    </w:lvl>
  </w:abstractNum>
  <w:abstractNum w:abstractNumId="9" w15:restartNumberingAfterBreak="0">
    <w:nsid w:val="FFFFFF89"/>
    <w:multiLevelType w:val="singleLevel"/>
    <w:tmpl w:val="03042192"/>
    <w:lvl w:ilvl="0">
      <w:start w:val="1"/>
      <w:numFmt w:val="bullet"/>
      <w:pStyle w:val="ListBullet"/>
      <w:lvlText w:val="·"/>
      <w:lvlJc w:val="left"/>
      <w:pPr>
        <w:ind w:left="360" w:hanging="360"/>
      </w:pPr>
      <w:rPr>
        <w:rFonts w:ascii="Symbol" w:hAnsi="Symbol" w:cs="Symbol" w:hint="default"/>
        <w:color w:val="008C9B" w:themeColor="accent1"/>
      </w:rPr>
    </w:lvl>
  </w:abstractNum>
  <w:abstractNum w:abstractNumId="10" w15:restartNumberingAfterBreak="0">
    <w:nsid w:val="074D38FB"/>
    <w:multiLevelType w:val="hybridMultilevel"/>
    <w:tmpl w:val="76BC8184"/>
    <w:lvl w:ilvl="0" w:tplc="3DEA876A">
      <w:start w:val="1"/>
      <w:numFmt w:val="lowerLetter"/>
      <w:pStyle w:val="ListNumber2"/>
      <w:lvlText w:val="%1"/>
      <w:lvlJc w:val="left"/>
      <w:pPr>
        <w:ind w:left="947" w:hanging="360"/>
      </w:pPr>
      <w:rPr>
        <w:rFonts w:hint="default"/>
        <w:bCs/>
        <w:iCs w:val="0"/>
        <w:color w:val="008C9B" w:themeColor="accent1"/>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1" w15:restartNumberingAfterBreak="0">
    <w:nsid w:val="15016C94"/>
    <w:multiLevelType w:val="hybridMultilevel"/>
    <w:tmpl w:val="4B206EBC"/>
    <w:lvl w:ilvl="0" w:tplc="08090011">
      <w:start w:val="1"/>
      <w:numFmt w:val="decimal"/>
      <w:lvlText w:val="%1)"/>
      <w:lvlJc w:val="left"/>
      <w:pPr>
        <w:ind w:left="720" w:hanging="360"/>
      </w:pPr>
      <w:rPr>
        <w:rFonts w:hint="default"/>
        <w:color w:val="008C9B"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187BDF"/>
    <w:multiLevelType w:val="hybridMultilevel"/>
    <w:tmpl w:val="F2EE3444"/>
    <w:lvl w:ilvl="0" w:tplc="08090001">
      <w:start w:val="1"/>
      <w:numFmt w:val="bullet"/>
      <w:lvlText w:val=""/>
      <w:lvlJc w:val="left"/>
      <w:pPr>
        <w:ind w:left="720" w:hanging="360"/>
      </w:pPr>
      <w:rPr>
        <w:rFonts w:ascii="Symbol" w:hAnsi="Symbol" w:hint="default"/>
        <w:color w:val="008C9B"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26F57"/>
    <w:multiLevelType w:val="hybridMultilevel"/>
    <w:tmpl w:val="1F86A46E"/>
    <w:lvl w:ilvl="0" w:tplc="08090001">
      <w:start w:val="1"/>
      <w:numFmt w:val="bullet"/>
      <w:lvlText w:val=""/>
      <w:lvlJc w:val="left"/>
      <w:pPr>
        <w:ind w:left="360" w:hanging="360"/>
      </w:pPr>
      <w:rPr>
        <w:rFonts w:ascii="Symbol" w:hAnsi="Symbol" w:hint="default"/>
        <w:color w:val="008C9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313A1A"/>
    <w:multiLevelType w:val="multilevel"/>
    <w:tmpl w:val="B596C11A"/>
    <w:numStyleLink w:val="Cebrlist"/>
  </w:abstractNum>
  <w:abstractNum w:abstractNumId="15" w15:restartNumberingAfterBreak="0">
    <w:nsid w:val="576E6442"/>
    <w:multiLevelType w:val="multilevel"/>
    <w:tmpl w:val="B596C11A"/>
    <w:styleLink w:val="Cebrlist"/>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B4263B"/>
    <w:multiLevelType w:val="hybridMultilevel"/>
    <w:tmpl w:val="DB586C10"/>
    <w:lvl w:ilvl="0" w:tplc="08090001">
      <w:start w:val="1"/>
      <w:numFmt w:val="bullet"/>
      <w:lvlText w:val=""/>
      <w:lvlJc w:val="left"/>
      <w:pPr>
        <w:ind w:left="720" w:hanging="360"/>
      </w:pPr>
      <w:rPr>
        <w:rFonts w:ascii="Symbol" w:hAnsi="Symbol" w:hint="default"/>
        <w:color w:val="008C9B" w:themeColor="accent1"/>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A14CF"/>
    <w:multiLevelType w:val="hybridMultilevel"/>
    <w:tmpl w:val="16F2B2EE"/>
    <w:lvl w:ilvl="0" w:tplc="08090001">
      <w:start w:val="1"/>
      <w:numFmt w:val="bullet"/>
      <w:lvlText w:val=""/>
      <w:lvlJc w:val="left"/>
      <w:pPr>
        <w:ind w:left="360" w:hanging="360"/>
      </w:pPr>
      <w:rPr>
        <w:rFonts w:ascii="Symbol" w:hAnsi="Symbol" w:hint="default"/>
        <w:color w:val="008C9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8"/>
  </w:num>
  <w:num w:numId="3">
    <w:abstractNumId w:val="3"/>
  </w:num>
  <w:num w:numId="4">
    <w:abstractNumId w:val="3"/>
  </w:num>
  <w:num w:numId="5">
    <w:abstractNumId w:val="8"/>
  </w:num>
  <w:num w:numId="6">
    <w:abstractNumId w:val="3"/>
  </w:num>
  <w:num w:numId="7">
    <w:abstractNumId w:val="8"/>
  </w:num>
  <w:num w:numId="8">
    <w:abstractNumId w:val="9"/>
  </w:num>
  <w:num w:numId="9">
    <w:abstractNumId w:val="7"/>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5"/>
  </w:num>
  <w:num w:numId="15">
    <w:abstractNumId w:val="4"/>
  </w:num>
  <w:num w:numId="16">
    <w:abstractNumId w:val="2"/>
  </w:num>
  <w:num w:numId="17">
    <w:abstractNumId w:val="1"/>
  </w:num>
  <w:num w:numId="18">
    <w:abstractNumId w:val="0"/>
  </w:num>
  <w:num w:numId="19">
    <w:abstractNumId w:val="10"/>
  </w:num>
  <w:num w:numId="20">
    <w:abstractNumId w:val="13"/>
  </w:num>
  <w:num w:numId="21">
    <w:abstractNumId w:val="16"/>
  </w:num>
  <w:num w:numId="22">
    <w:abstractNumId w:val="17"/>
  </w:num>
  <w:num w:numId="23">
    <w:abstractNumId w:val="11"/>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3B"/>
    <w:rsid w:val="0000035D"/>
    <w:rsid w:val="00006E5C"/>
    <w:rsid w:val="000077AE"/>
    <w:rsid w:val="00007C23"/>
    <w:rsid w:val="00010C80"/>
    <w:rsid w:val="00013814"/>
    <w:rsid w:val="000145D9"/>
    <w:rsid w:val="00015BFA"/>
    <w:rsid w:val="00017B3F"/>
    <w:rsid w:val="00017CAC"/>
    <w:rsid w:val="00021574"/>
    <w:rsid w:val="00025F5B"/>
    <w:rsid w:val="00026D12"/>
    <w:rsid w:val="000301CF"/>
    <w:rsid w:val="000316A7"/>
    <w:rsid w:val="0003255C"/>
    <w:rsid w:val="00032F6E"/>
    <w:rsid w:val="000339A1"/>
    <w:rsid w:val="00033CD0"/>
    <w:rsid w:val="00040DD1"/>
    <w:rsid w:val="00042625"/>
    <w:rsid w:val="0004733F"/>
    <w:rsid w:val="00047514"/>
    <w:rsid w:val="00047721"/>
    <w:rsid w:val="0005078B"/>
    <w:rsid w:val="00053C2C"/>
    <w:rsid w:val="000540B6"/>
    <w:rsid w:val="00055776"/>
    <w:rsid w:val="00055F41"/>
    <w:rsid w:val="00057ECE"/>
    <w:rsid w:val="00060CBE"/>
    <w:rsid w:val="00061AAF"/>
    <w:rsid w:val="00062168"/>
    <w:rsid w:val="00064FA6"/>
    <w:rsid w:val="000671C9"/>
    <w:rsid w:val="00067F4A"/>
    <w:rsid w:val="0007060A"/>
    <w:rsid w:val="00071FFF"/>
    <w:rsid w:val="00073034"/>
    <w:rsid w:val="00073064"/>
    <w:rsid w:val="00073F0F"/>
    <w:rsid w:val="000757FE"/>
    <w:rsid w:val="00076452"/>
    <w:rsid w:val="00076A24"/>
    <w:rsid w:val="00083198"/>
    <w:rsid w:val="0008458B"/>
    <w:rsid w:val="000850E1"/>
    <w:rsid w:val="00085B8A"/>
    <w:rsid w:val="000877A0"/>
    <w:rsid w:val="0009102E"/>
    <w:rsid w:val="00091674"/>
    <w:rsid w:val="000A2FA4"/>
    <w:rsid w:val="000B0E64"/>
    <w:rsid w:val="000B440A"/>
    <w:rsid w:val="000B6741"/>
    <w:rsid w:val="000B77B0"/>
    <w:rsid w:val="000C056B"/>
    <w:rsid w:val="000C1C43"/>
    <w:rsid w:val="000C527D"/>
    <w:rsid w:val="000C5C34"/>
    <w:rsid w:val="000C6F1C"/>
    <w:rsid w:val="000D1555"/>
    <w:rsid w:val="000D1BF6"/>
    <w:rsid w:val="000E076A"/>
    <w:rsid w:val="000E2E03"/>
    <w:rsid w:val="000E6039"/>
    <w:rsid w:val="000E7925"/>
    <w:rsid w:val="000F1888"/>
    <w:rsid w:val="000F31E2"/>
    <w:rsid w:val="000F7B47"/>
    <w:rsid w:val="001007A9"/>
    <w:rsid w:val="00103724"/>
    <w:rsid w:val="001064CC"/>
    <w:rsid w:val="001115DE"/>
    <w:rsid w:val="00112781"/>
    <w:rsid w:val="001131C6"/>
    <w:rsid w:val="00125EEC"/>
    <w:rsid w:val="00130A8A"/>
    <w:rsid w:val="00133030"/>
    <w:rsid w:val="00135A06"/>
    <w:rsid w:val="0014383E"/>
    <w:rsid w:val="00144185"/>
    <w:rsid w:val="00151039"/>
    <w:rsid w:val="001526F1"/>
    <w:rsid w:val="00157C50"/>
    <w:rsid w:val="00163CEA"/>
    <w:rsid w:val="00167185"/>
    <w:rsid w:val="00171DB7"/>
    <w:rsid w:val="00177469"/>
    <w:rsid w:val="00186E7E"/>
    <w:rsid w:val="00187311"/>
    <w:rsid w:val="00194306"/>
    <w:rsid w:val="00194FE6"/>
    <w:rsid w:val="0019647D"/>
    <w:rsid w:val="001964CE"/>
    <w:rsid w:val="001A1EE7"/>
    <w:rsid w:val="001A4DFA"/>
    <w:rsid w:val="001A721C"/>
    <w:rsid w:val="001B2016"/>
    <w:rsid w:val="001C16F9"/>
    <w:rsid w:val="001C1C10"/>
    <w:rsid w:val="001C3FD6"/>
    <w:rsid w:val="001D0ABA"/>
    <w:rsid w:val="001D19F7"/>
    <w:rsid w:val="001D437E"/>
    <w:rsid w:val="001D4AC3"/>
    <w:rsid w:val="001D5823"/>
    <w:rsid w:val="001E2652"/>
    <w:rsid w:val="001E2BFE"/>
    <w:rsid w:val="001E3254"/>
    <w:rsid w:val="001E48CA"/>
    <w:rsid w:val="001E65CF"/>
    <w:rsid w:val="001E7502"/>
    <w:rsid w:val="001E76DC"/>
    <w:rsid w:val="001F1317"/>
    <w:rsid w:val="001F194D"/>
    <w:rsid w:val="001F1E17"/>
    <w:rsid w:val="001F34EB"/>
    <w:rsid w:val="001F3A0F"/>
    <w:rsid w:val="001F3A87"/>
    <w:rsid w:val="001F6C71"/>
    <w:rsid w:val="001F721C"/>
    <w:rsid w:val="00202AAE"/>
    <w:rsid w:val="00202E5E"/>
    <w:rsid w:val="00206D6D"/>
    <w:rsid w:val="00207BC4"/>
    <w:rsid w:val="00212695"/>
    <w:rsid w:val="002174B1"/>
    <w:rsid w:val="0022582B"/>
    <w:rsid w:val="00227C17"/>
    <w:rsid w:val="002375E7"/>
    <w:rsid w:val="00244D83"/>
    <w:rsid w:val="00250D16"/>
    <w:rsid w:val="002550FE"/>
    <w:rsid w:val="00256901"/>
    <w:rsid w:val="002609CB"/>
    <w:rsid w:val="00260C3C"/>
    <w:rsid w:val="00263927"/>
    <w:rsid w:val="002646E8"/>
    <w:rsid w:val="00271CDD"/>
    <w:rsid w:val="00271DFF"/>
    <w:rsid w:val="00275846"/>
    <w:rsid w:val="00275DF1"/>
    <w:rsid w:val="0027610A"/>
    <w:rsid w:val="002761E3"/>
    <w:rsid w:val="00277E65"/>
    <w:rsid w:val="002835F1"/>
    <w:rsid w:val="00290D28"/>
    <w:rsid w:val="00292561"/>
    <w:rsid w:val="00295ED6"/>
    <w:rsid w:val="00296144"/>
    <w:rsid w:val="00297F9D"/>
    <w:rsid w:val="002A23D3"/>
    <w:rsid w:val="002A707A"/>
    <w:rsid w:val="002B7DA7"/>
    <w:rsid w:val="002C1D39"/>
    <w:rsid w:val="002C2939"/>
    <w:rsid w:val="002C310D"/>
    <w:rsid w:val="002D1B65"/>
    <w:rsid w:val="002D245F"/>
    <w:rsid w:val="002D6FDD"/>
    <w:rsid w:val="002E5295"/>
    <w:rsid w:val="002E573A"/>
    <w:rsid w:val="002F26A9"/>
    <w:rsid w:val="002F3202"/>
    <w:rsid w:val="002F3289"/>
    <w:rsid w:val="00305C8C"/>
    <w:rsid w:val="003111A6"/>
    <w:rsid w:val="003140A1"/>
    <w:rsid w:val="0031429A"/>
    <w:rsid w:val="00314870"/>
    <w:rsid w:val="00315DCB"/>
    <w:rsid w:val="00316B77"/>
    <w:rsid w:val="0032011B"/>
    <w:rsid w:val="00324268"/>
    <w:rsid w:val="003377BC"/>
    <w:rsid w:val="0034023B"/>
    <w:rsid w:val="00343274"/>
    <w:rsid w:val="00347327"/>
    <w:rsid w:val="003475CC"/>
    <w:rsid w:val="00350EE5"/>
    <w:rsid w:val="00355E7A"/>
    <w:rsid w:val="00375E28"/>
    <w:rsid w:val="00385ADF"/>
    <w:rsid w:val="00387F9F"/>
    <w:rsid w:val="00391267"/>
    <w:rsid w:val="00391D51"/>
    <w:rsid w:val="0039219E"/>
    <w:rsid w:val="003926F2"/>
    <w:rsid w:val="003952A3"/>
    <w:rsid w:val="00395FF3"/>
    <w:rsid w:val="003A5435"/>
    <w:rsid w:val="003A73EB"/>
    <w:rsid w:val="003B1E8C"/>
    <w:rsid w:val="003B25A8"/>
    <w:rsid w:val="003C1C00"/>
    <w:rsid w:val="003C3B65"/>
    <w:rsid w:val="003C403F"/>
    <w:rsid w:val="003D43E2"/>
    <w:rsid w:val="003D61A3"/>
    <w:rsid w:val="003E40F7"/>
    <w:rsid w:val="003E5A10"/>
    <w:rsid w:val="003F01A8"/>
    <w:rsid w:val="003F27CC"/>
    <w:rsid w:val="003F3070"/>
    <w:rsid w:val="003F4A1E"/>
    <w:rsid w:val="003F5B00"/>
    <w:rsid w:val="00401644"/>
    <w:rsid w:val="004039AA"/>
    <w:rsid w:val="00412B76"/>
    <w:rsid w:val="0042361D"/>
    <w:rsid w:val="00423757"/>
    <w:rsid w:val="00424F1F"/>
    <w:rsid w:val="00424FAC"/>
    <w:rsid w:val="00426236"/>
    <w:rsid w:val="00426E10"/>
    <w:rsid w:val="00427633"/>
    <w:rsid w:val="00427F6C"/>
    <w:rsid w:val="00430485"/>
    <w:rsid w:val="00433183"/>
    <w:rsid w:val="0043696E"/>
    <w:rsid w:val="00436CA4"/>
    <w:rsid w:val="00437C23"/>
    <w:rsid w:val="00440ACF"/>
    <w:rsid w:val="00443944"/>
    <w:rsid w:val="004527D3"/>
    <w:rsid w:val="00461C28"/>
    <w:rsid w:val="004730FA"/>
    <w:rsid w:val="00473ABF"/>
    <w:rsid w:val="00481111"/>
    <w:rsid w:val="0049238F"/>
    <w:rsid w:val="00494B13"/>
    <w:rsid w:val="00494BC8"/>
    <w:rsid w:val="00495D3F"/>
    <w:rsid w:val="00496157"/>
    <w:rsid w:val="004A1FE7"/>
    <w:rsid w:val="004A47E5"/>
    <w:rsid w:val="004B2648"/>
    <w:rsid w:val="004B2FF3"/>
    <w:rsid w:val="004B3342"/>
    <w:rsid w:val="004B5853"/>
    <w:rsid w:val="004C04BD"/>
    <w:rsid w:val="004C7895"/>
    <w:rsid w:val="004E0227"/>
    <w:rsid w:val="004E7B03"/>
    <w:rsid w:val="004F051B"/>
    <w:rsid w:val="004F1540"/>
    <w:rsid w:val="004F37E0"/>
    <w:rsid w:val="004F76ED"/>
    <w:rsid w:val="00501139"/>
    <w:rsid w:val="00512CF9"/>
    <w:rsid w:val="005131DD"/>
    <w:rsid w:val="0051792B"/>
    <w:rsid w:val="00517B1A"/>
    <w:rsid w:val="005202B5"/>
    <w:rsid w:val="005264A3"/>
    <w:rsid w:val="00526B9B"/>
    <w:rsid w:val="00530054"/>
    <w:rsid w:val="005339CA"/>
    <w:rsid w:val="00534013"/>
    <w:rsid w:val="00537692"/>
    <w:rsid w:val="005410A7"/>
    <w:rsid w:val="00541C20"/>
    <w:rsid w:val="00541C37"/>
    <w:rsid w:val="00552FC9"/>
    <w:rsid w:val="00565ECA"/>
    <w:rsid w:val="005673F0"/>
    <w:rsid w:val="00567EF4"/>
    <w:rsid w:val="00575363"/>
    <w:rsid w:val="0058086A"/>
    <w:rsid w:val="00581970"/>
    <w:rsid w:val="00584CD7"/>
    <w:rsid w:val="005867D5"/>
    <w:rsid w:val="00586D36"/>
    <w:rsid w:val="00587492"/>
    <w:rsid w:val="00587E4A"/>
    <w:rsid w:val="0059031B"/>
    <w:rsid w:val="005955ED"/>
    <w:rsid w:val="005A05C9"/>
    <w:rsid w:val="005A53D8"/>
    <w:rsid w:val="005A5C97"/>
    <w:rsid w:val="005A6FB0"/>
    <w:rsid w:val="005B13D8"/>
    <w:rsid w:val="005B1574"/>
    <w:rsid w:val="005B7DB0"/>
    <w:rsid w:val="005D37CB"/>
    <w:rsid w:val="005D40D6"/>
    <w:rsid w:val="005D68C4"/>
    <w:rsid w:val="005D71F8"/>
    <w:rsid w:val="005E30B2"/>
    <w:rsid w:val="005E799A"/>
    <w:rsid w:val="005F219F"/>
    <w:rsid w:val="005F28DD"/>
    <w:rsid w:val="005F4A46"/>
    <w:rsid w:val="00604A2B"/>
    <w:rsid w:val="006075DE"/>
    <w:rsid w:val="006077B0"/>
    <w:rsid w:val="006117EC"/>
    <w:rsid w:val="006127E4"/>
    <w:rsid w:val="00613918"/>
    <w:rsid w:val="00614109"/>
    <w:rsid w:val="00617A2C"/>
    <w:rsid w:val="006201CE"/>
    <w:rsid w:val="00620DFA"/>
    <w:rsid w:val="00622975"/>
    <w:rsid w:val="00625296"/>
    <w:rsid w:val="006257B3"/>
    <w:rsid w:val="006345F8"/>
    <w:rsid w:val="00652073"/>
    <w:rsid w:val="00654FA7"/>
    <w:rsid w:val="00661021"/>
    <w:rsid w:val="00666C04"/>
    <w:rsid w:val="006677A5"/>
    <w:rsid w:val="00673648"/>
    <w:rsid w:val="0067516D"/>
    <w:rsid w:val="00677B64"/>
    <w:rsid w:val="00680573"/>
    <w:rsid w:val="006813F6"/>
    <w:rsid w:val="00684635"/>
    <w:rsid w:val="006903DB"/>
    <w:rsid w:val="00690436"/>
    <w:rsid w:val="006916F1"/>
    <w:rsid w:val="00697BB3"/>
    <w:rsid w:val="006A0046"/>
    <w:rsid w:val="006A0D03"/>
    <w:rsid w:val="006A1F8E"/>
    <w:rsid w:val="006A3761"/>
    <w:rsid w:val="006A5DE9"/>
    <w:rsid w:val="006B020A"/>
    <w:rsid w:val="006B253F"/>
    <w:rsid w:val="006B3273"/>
    <w:rsid w:val="006B4656"/>
    <w:rsid w:val="006B6DB8"/>
    <w:rsid w:val="006B6F5D"/>
    <w:rsid w:val="006C173A"/>
    <w:rsid w:val="006C3722"/>
    <w:rsid w:val="006C3A0A"/>
    <w:rsid w:val="006C4365"/>
    <w:rsid w:val="006C7E55"/>
    <w:rsid w:val="006D2C9C"/>
    <w:rsid w:val="006D2E95"/>
    <w:rsid w:val="006D40BD"/>
    <w:rsid w:val="006E5584"/>
    <w:rsid w:val="006F4830"/>
    <w:rsid w:val="006F49CE"/>
    <w:rsid w:val="006F7153"/>
    <w:rsid w:val="007030DF"/>
    <w:rsid w:val="00703174"/>
    <w:rsid w:val="00706434"/>
    <w:rsid w:val="0071683A"/>
    <w:rsid w:val="00717C6C"/>
    <w:rsid w:val="00720EF4"/>
    <w:rsid w:val="00726132"/>
    <w:rsid w:val="00726394"/>
    <w:rsid w:val="007307EA"/>
    <w:rsid w:val="00733ED0"/>
    <w:rsid w:val="00737E5F"/>
    <w:rsid w:val="00750D96"/>
    <w:rsid w:val="0075296F"/>
    <w:rsid w:val="00752FE6"/>
    <w:rsid w:val="00766380"/>
    <w:rsid w:val="00770F31"/>
    <w:rsid w:val="00773CE3"/>
    <w:rsid w:val="00785EDD"/>
    <w:rsid w:val="00787CA6"/>
    <w:rsid w:val="00790EE1"/>
    <w:rsid w:val="00792FDF"/>
    <w:rsid w:val="00797A22"/>
    <w:rsid w:val="007A2119"/>
    <w:rsid w:val="007A28B9"/>
    <w:rsid w:val="007B2D87"/>
    <w:rsid w:val="007C1F71"/>
    <w:rsid w:val="007C21BF"/>
    <w:rsid w:val="007C28A9"/>
    <w:rsid w:val="007C6ED5"/>
    <w:rsid w:val="007D082E"/>
    <w:rsid w:val="007D110F"/>
    <w:rsid w:val="007D33DD"/>
    <w:rsid w:val="007D3BFB"/>
    <w:rsid w:val="007D425B"/>
    <w:rsid w:val="007D472A"/>
    <w:rsid w:val="007D55CE"/>
    <w:rsid w:val="007D6EF1"/>
    <w:rsid w:val="007E007B"/>
    <w:rsid w:val="007E2196"/>
    <w:rsid w:val="007E47DD"/>
    <w:rsid w:val="007E4A50"/>
    <w:rsid w:val="007F677B"/>
    <w:rsid w:val="00802AAA"/>
    <w:rsid w:val="008039D6"/>
    <w:rsid w:val="00806CAD"/>
    <w:rsid w:val="00807111"/>
    <w:rsid w:val="00811959"/>
    <w:rsid w:val="00812B1D"/>
    <w:rsid w:val="0081381F"/>
    <w:rsid w:val="00821A91"/>
    <w:rsid w:val="00822D1F"/>
    <w:rsid w:val="0082417E"/>
    <w:rsid w:val="008244D6"/>
    <w:rsid w:val="00830830"/>
    <w:rsid w:val="008309C2"/>
    <w:rsid w:val="00831EDE"/>
    <w:rsid w:val="008329FC"/>
    <w:rsid w:val="0083612A"/>
    <w:rsid w:val="00851762"/>
    <w:rsid w:val="00851FD9"/>
    <w:rsid w:val="00853EF4"/>
    <w:rsid w:val="00861345"/>
    <w:rsid w:val="008629B8"/>
    <w:rsid w:val="0086483C"/>
    <w:rsid w:val="00866A1A"/>
    <w:rsid w:val="00877153"/>
    <w:rsid w:val="00881503"/>
    <w:rsid w:val="00882EB4"/>
    <w:rsid w:val="0088517F"/>
    <w:rsid w:val="008918FA"/>
    <w:rsid w:val="008A1F4E"/>
    <w:rsid w:val="008A251B"/>
    <w:rsid w:val="008A3734"/>
    <w:rsid w:val="008A5629"/>
    <w:rsid w:val="008A5E03"/>
    <w:rsid w:val="008A6174"/>
    <w:rsid w:val="008A6539"/>
    <w:rsid w:val="008B0A02"/>
    <w:rsid w:val="008B6E39"/>
    <w:rsid w:val="008C1BB6"/>
    <w:rsid w:val="008C723D"/>
    <w:rsid w:val="008D15DF"/>
    <w:rsid w:val="008D4C2E"/>
    <w:rsid w:val="008D7C2F"/>
    <w:rsid w:val="008D7F46"/>
    <w:rsid w:val="008E658C"/>
    <w:rsid w:val="008F0D51"/>
    <w:rsid w:val="00900189"/>
    <w:rsid w:val="00900964"/>
    <w:rsid w:val="009144BE"/>
    <w:rsid w:val="009157B7"/>
    <w:rsid w:val="009161A5"/>
    <w:rsid w:val="00916B19"/>
    <w:rsid w:val="00917390"/>
    <w:rsid w:val="009212A9"/>
    <w:rsid w:val="009245D9"/>
    <w:rsid w:val="0092532C"/>
    <w:rsid w:val="00927A5C"/>
    <w:rsid w:val="00931399"/>
    <w:rsid w:val="0093199B"/>
    <w:rsid w:val="00942955"/>
    <w:rsid w:val="00943910"/>
    <w:rsid w:val="009440C0"/>
    <w:rsid w:val="00946AC0"/>
    <w:rsid w:val="00954123"/>
    <w:rsid w:val="00957449"/>
    <w:rsid w:val="00966B57"/>
    <w:rsid w:val="0097705B"/>
    <w:rsid w:val="009816E0"/>
    <w:rsid w:val="00984314"/>
    <w:rsid w:val="009861BC"/>
    <w:rsid w:val="00987570"/>
    <w:rsid w:val="0099000C"/>
    <w:rsid w:val="00993726"/>
    <w:rsid w:val="009947D8"/>
    <w:rsid w:val="009A1691"/>
    <w:rsid w:val="009A46DE"/>
    <w:rsid w:val="009B2DA4"/>
    <w:rsid w:val="009B3918"/>
    <w:rsid w:val="009B3EFC"/>
    <w:rsid w:val="009B413C"/>
    <w:rsid w:val="009B526C"/>
    <w:rsid w:val="009B69B9"/>
    <w:rsid w:val="009C0BDE"/>
    <w:rsid w:val="009C131D"/>
    <w:rsid w:val="009C2C5B"/>
    <w:rsid w:val="009C6091"/>
    <w:rsid w:val="009C6635"/>
    <w:rsid w:val="009C6F9E"/>
    <w:rsid w:val="009D1FE3"/>
    <w:rsid w:val="009D3360"/>
    <w:rsid w:val="009D5710"/>
    <w:rsid w:val="009E0286"/>
    <w:rsid w:val="009E28CD"/>
    <w:rsid w:val="009E5432"/>
    <w:rsid w:val="009E7174"/>
    <w:rsid w:val="009F3D8C"/>
    <w:rsid w:val="009F463B"/>
    <w:rsid w:val="009F5CF3"/>
    <w:rsid w:val="009F6040"/>
    <w:rsid w:val="009F7063"/>
    <w:rsid w:val="009F736C"/>
    <w:rsid w:val="00A014CF"/>
    <w:rsid w:val="00A029AD"/>
    <w:rsid w:val="00A02EEC"/>
    <w:rsid w:val="00A0694E"/>
    <w:rsid w:val="00A27831"/>
    <w:rsid w:val="00A31A66"/>
    <w:rsid w:val="00A349CB"/>
    <w:rsid w:val="00A42769"/>
    <w:rsid w:val="00A50B36"/>
    <w:rsid w:val="00A52C1C"/>
    <w:rsid w:val="00A53F70"/>
    <w:rsid w:val="00A56262"/>
    <w:rsid w:val="00A56A08"/>
    <w:rsid w:val="00A61E76"/>
    <w:rsid w:val="00A654BA"/>
    <w:rsid w:val="00A709CC"/>
    <w:rsid w:val="00A70B1C"/>
    <w:rsid w:val="00A7453D"/>
    <w:rsid w:val="00A75CE5"/>
    <w:rsid w:val="00A76027"/>
    <w:rsid w:val="00A76987"/>
    <w:rsid w:val="00A85AF4"/>
    <w:rsid w:val="00A91087"/>
    <w:rsid w:val="00A9674F"/>
    <w:rsid w:val="00AA0453"/>
    <w:rsid w:val="00AA394D"/>
    <w:rsid w:val="00AB477E"/>
    <w:rsid w:val="00AC13B2"/>
    <w:rsid w:val="00AC25B1"/>
    <w:rsid w:val="00AC32B6"/>
    <w:rsid w:val="00AC4158"/>
    <w:rsid w:val="00AC428E"/>
    <w:rsid w:val="00AD22F8"/>
    <w:rsid w:val="00AD6B86"/>
    <w:rsid w:val="00AF0571"/>
    <w:rsid w:val="00AF4D5C"/>
    <w:rsid w:val="00AF5F10"/>
    <w:rsid w:val="00B0186E"/>
    <w:rsid w:val="00B276D8"/>
    <w:rsid w:val="00B318A0"/>
    <w:rsid w:val="00B35917"/>
    <w:rsid w:val="00B43933"/>
    <w:rsid w:val="00B44099"/>
    <w:rsid w:val="00B44CD4"/>
    <w:rsid w:val="00B5047A"/>
    <w:rsid w:val="00B54D55"/>
    <w:rsid w:val="00B55E98"/>
    <w:rsid w:val="00B6328E"/>
    <w:rsid w:val="00B645EB"/>
    <w:rsid w:val="00B70A62"/>
    <w:rsid w:val="00B71DBA"/>
    <w:rsid w:val="00B77070"/>
    <w:rsid w:val="00B802B8"/>
    <w:rsid w:val="00B90E5E"/>
    <w:rsid w:val="00B92580"/>
    <w:rsid w:val="00B936D6"/>
    <w:rsid w:val="00B9405B"/>
    <w:rsid w:val="00BB5496"/>
    <w:rsid w:val="00BB5944"/>
    <w:rsid w:val="00BB6DEF"/>
    <w:rsid w:val="00BC5710"/>
    <w:rsid w:val="00BC69A8"/>
    <w:rsid w:val="00BC6C6A"/>
    <w:rsid w:val="00BC7999"/>
    <w:rsid w:val="00BD5298"/>
    <w:rsid w:val="00BD65C0"/>
    <w:rsid w:val="00BF2487"/>
    <w:rsid w:val="00C015CD"/>
    <w:rsid w:val="00C03B16"/>
    <w:rsid w:val="00C051A5"/>
    <w:rsid w:val="00C10289"/>
    <w:rsid w:val="00C16EF9"/>
    <w:rsid w:val="00C2042C"/>
    <w:rsid w:val="00C20F26"/>
    <w:rsid w:val="00C23CE7"/>
    <w:rsid w:val="00C40A07"/>
    <w:rsid w:val="00C450A0"/>
    <w:rsid w:val="00C467B4"/>
    <w:rsid w:val="00C54C91"/>
    <w:rsid w:val="00C575FF"/>
    <w:rsid w:val="00C57E38"/>
    <w:rsid w:val="00C609BB"/>
    <w:rsid w:val="00C627A9"/>
    <w:rsid w:val="00C64755"/>
    <w:rsid w:val="00C660B3"/>
    <w:rsid w:val="00C70850"/>
    <w:rsid w:val="00C723F8"/>
    <w:rsid w:val="00C812A8"/>
    <w:rsid w:val="00C84DE8"/>
    <w:rsid w:val="00CA1BBF"/>
    <w:rsid w:val="00CD6245"/>
    <w:rsid w:val="00CE381A"/>
    <w:rsid w:val="00CE3C5D"/>
    <w:rsid w:val="00CE3E75"/>
    <w:rsid w:val="00CE6B26"/>
    <w:rsid w:val="00CE7128"/>
    <w:rsid w:val="00CF0287"/>
    <w:rsid w:val="00CF27CE"/>
    <w:rsid w:val="00CF2AC6"/>
    <w:rsid w:val="00CF39B2"/>
    <w:rsid w:val="00CF7439"/>
    <w:rsid w:val="00CF77D0"/>
    <w:rsid w:val="00CF7800"/>
    <w:rsid w:val="00D02CB2"/>
    <w:rsid w:val="00D05AE2"/>
    <w:rsid w:val="00D20DE0"/>
    <w:rsid w:val="00D22357"/>
    <w:rsid w:val="00D2286E"/>
    <w:rsid w:val="00D32793"/>
    <w:rsid w:val="00D37DE3"/>
    <w:rsid w:val="00D4135E"/>
    <w:rsid w:val="00D42F98"/>
    <w:rsid w:val="00D43EC4"/>
    <w:rsid w:val="00D44509"/>
    <w:rsid w:val="00D47861"/>
    <w:rsid w:val="00D51247"/>
    <w:rsid w:val="00D53839"/>
    <w:rsid w:val="00D54AC5"/>
    <w:rsid w:val="00D6240A"/>
    <w:rsid w:val="00D62748"/>
    <w:rsid w:val="00D63625"/>
    <w:rsid w:val="00D64D35"/>
    <w:rsid w:val="00D65CD9"/>
    <w:rsid w:val="00D6730C"/>
    <w:rsid w:val="00D7015F"/>
    <w:rsid w:val="00D74F50"/>
    <w:rsid w:val="00D86939"/>
    <w:rsid w:val="00D87C94"/>
    <w:rsid w:val="00D87EC8"/>
    <w:rsid w:val="00D90CA5"/>
    <w:rsid w:val="00D917EC"/>
    <w:rsid w:val="00DA12B6"/>
    <w:rsid w:val="00DA3C4A"/>
    <w:rsid w:val="00DA6532"/>
    <w:rsid w:val="00DA7A45"/>
    <w:rsid w:val="00DB1A7C"/>
    <w:rsid w:val="00DB4FC9"/>
    <w:rsid w:val="00DC4B42"/>
    <w:rsid w:val="00DD0274"/>
    <w:rsid w:val="00DD7EBE"/>
    <w:rsid w:val="00DE147A"/>
    <w:rsid w:val="00DE2A3F"/>
    <w:rsid w:val="00DE2D38"/>
    <w:rsid w:val="00DE31F8"/>
    <w:rsid w:val="00DE7988"/>
    <w:rsid w:val="00DF025E"/>
    <w:rsid w:val="00E02BD6"/>
    <w:rsid w:val="00E04C5E"/>
    <w:rsid w:val="00E12240"/>
    <w:rsid w:val="00E15C4D"/>
    <w:rsid w:val="00E20E4C"/>
    <w:rsid w:val="00E20FF2"/>
    <w:rsid w:val="00E22EFA"/>
    <w:rsid w:val="00E24FC3"/>
    <w:rsid w:val="00E25345"/>
    <w:rsid w:val="00E26DEC"/>
    <w:rsid w:val="00E27E79"/>
    <w:rsid w:val="00E27F01"/>
    <w:rsid w:val="00E33152"/>
    <w:rsid w:val="00E33BF8"/>
    <w:rsid w:val="00E3467D"/>
    <w:rsid w:val="00E44985"/>
    <w:rsid w:val="00E46F08"/>
    <w:rsid w:val="00E500FB"/>
    <w:rsid w:val="00E51A19"/>
    <w:rsid w:val="00E55F7C"/>
    <w:rsid w:val="00E6019B"/>
    <w:rsid w:val="00E60BFD"/>
    <w:rsid w:val="00E61473"/>
    <w:rsid w:val="00E634CC"/>
    <w:rsid w:val="00E64F9F"/>
    <w:rsid w:val="00E6694E"/>
    <w:rsid w:val="00E84776"/>
    <w:rsid w:val="00E84A64"/>
    <w:rsid w:val="00E91672"/>
    <w:rsid w:val="00E973E7"/>
    <w:rsid w:val="00EA23EB"/>
    <w:rsid w:val="00EA53D0"/>
    <w:rsid w:val="00EA737B"/>
    <w:rsid w:val="00EB0CE1"/>
    <w:rsid w:val="00EB1A03"/>
    <w:rsid w:val="00EB51BB"/>
    <w:rsid w:val="00EB75FA"/>
    <w:rsid w:val="00EC41F7"/>
    <w:rsid w:val="00ED294D"/>
    <w:rsid w:val="00ED3CFB"/>
    <w:rsid w:val="00ED4570"/>
    <w:rsid w:val="00ED7BCD"/>
    <w:rsid w:val="00EE06F3"/>
    <w:rsid w:val="00EE6A47"/>
    <w:rsid w:val="00EF2913"/>
    <w:rsid w:val="00EF2E05"/>
    <w:rsid w:val="00EF448E"/>
    <w:rsid w:val="00EF59D0"/>
    <w:rsid w:val="00EF74BC"/>
    <w:rsid w:val="00F110A0"/>
    <w:rsid w:val="00F16C42"/>
    <w:rsid w:val="00F175B0"/>
    <w:rsid w:val="00F17893"/>
    <w:rsid w:val="00F201CC"/>
    <w:rsid w:val="00F210C5"/>
    <w:rsid w:val="00F22D76"/>
    <w:rsid w:val="00F23CDC"/>
    <w:rsid w:val="00F2725F"/>
    <w:rsid w:val="00F32EE4"/>
    <w:rsid w:val="00F33FED"/>
    <w:rsid w:val="00F43DB4"/>
    <w:rsid w:val="00F44809"/>
    <w:rsid w:val="00F52C97"/>
    <w:rsid w:val="00F53382"/>
    <w:rsid w:val="00F54039"/>
    <w:rsid w:val="00F541ED"/>
    <w:rsid w:val="00F561DC"/>
    <w:rsid w:val="00F563E4"/>
    <w:rsid w:val="00F6094A"/>
    <w:rsid w:val="00F64B77"/>
    <w:rsid w:val="00F73649"/>
    <w:rsid w:val="00F757B0"/>
    <w:rsid w:val="00F874D1"/>
    <w:rsid w:val="00F92372"/>
    <w:rsid w:val="00F9396C"/>
    <w:rsid w:val="00F94481"/>
    <w:rsid w:val="00FA3083"/>
    <w:rsid w:val="00FA7057"/>
    <w:rsid w:val="00FB42B9"/>
    <w:rsid w:val="00FB4FFB"/>
    <w:rsid w:val="00FB586D"/>
    <w:rsid w:val="00FC3E77"/>
    <w:rsid w:val="00FC5D96"/>
    <w:rsid w:val="00FC6D89"/>
    <w:rsid w:val="00FD1E3B"/>
    <w:rsid w:val="00FD405A"/>
    <w:rsid w:val="00FE577F"/>
    <w:rsid w:val="00FF2EB8"/>
    <w:rsid w:val="00FF4FA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3D08F58"/>
  <w15:docId w15:val="{786CD61D-206A-43C8-9C45-BDE6E2AF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74F"/>
    <w:pPr>
      <w:spacing w:after="180"/>
    </w:pPr>
    <w:rPr>
      <w:rFonts w:asciiTheme="minorHAnsi" w:hAnsiTheme="minorHAnsi"/>
      <w:sz w:val="22"/>
    </w:rPr>
  </w:style>
  <w:style w:type="paragraph" w:styleId="Heading1">
    <w:name w:val="heading 1"/>
    <w:basedOn w:val="Normal"/>
    <w:next w:val="Normal"/>
    <w:link w:val="Heading1Char"/>
    <w:uiPriority w:val="9"/>
    <w:qFormat/>
    <w:rsid w:val="00424F1F"/>
    <w:pPr>
      <w:keepNext/>
      <w:keepLines/>
      <w:pageBreakBefore/>
      <w:numPr>
        <w:numId w:val="12"/>
      </w:numPr>
      <w:tabs>
        <w:tab w:val="left" w:pos="680"/>
      </w:tabs>
      <w:spacing w:after="120" w:line="340" w:lineRule="atLeast"/>
      <w:outlineLvl w:val="0"/>
    </w:pPr>
    <w:rPr>
      <w:rFonts w:eastAsiaTheme="majorEastAsia" w:cstheme="majorBidi"/>
      <w:b/>
      <w:bCs/>
      <w:color w:val="008C9B" w:themeColor="text2"/>
      <w:sz w:val="44"/>
      <w:szCs w:val="28"/>
    </w:rPr>
  </w:style>
  <w:style w:type="paragraph" w:styleId="Heading2">
    <w:name w:val="heading 2"/>
    <w:basedOn w:val="Normal"/>
    <w:next w:val="Normal"/>
    <w:link w:val="Heading2Char"/>
    <w:uiPriority w:val="9"/>
    <w:qFormat/>
    <w:rsid w:val="00F6094A"/>
    <w:pPr>
      <w:keepNext/>
      <w:keepLines/>
      <w:numPr>
        <w:ilvl w:val="1"/>
        <w:numId w:val="12"/>
      </w:numPr>
      <w:tabs>
        <w:tab w:val="left" w:pos="680"/>
      </w:tabs>
      <w:spacing w:after="120" w:line="340" w:lineRule="atLeast"/>
      <w:outlineLvl w:val="1"/>
    </w:pPr>
    <w:rPr>
      <w:rFonts w:eastAsiaTheme="majorEastAsia" w:cstheme="majorBidi"/>
      <w:b/>
      <w:bCs/>
      <w:color w:val="7F7F7F" w:themeColor="text1" w:themeTint="80"/>
      <w:sz w:val="28"/>
      <w:szCs w:val="26"/>
    </w:rPr>
  </w:style>
  <w:style w:type="paragraph" w:styleId="Heading3">
    <w:name w:val="heading 3"/>
    <w:basedOn w:val="Normal"/>
    <w:next w:val="Normal"/>
    <w:link w:val="Heading3Char"/>
    <w:uiPriority w:val="9"/>
    <w:qFormat/>
    <w:rsid w:val="00171DB7"/>
    <w:pPr>
      <w:keepNext/>
      <w:keepLines/>
      <w:spacing w:line="340" w:lineRule="atLeast"/>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171DB7"/>
    <w:pPr>
      <w:keepNext/>
      <w:keepLines/>
      <w:spacing w:line="320" w:lineRule="atLeast"/>
      <w:outlineLvl w:val="3"/>
    </w:pPr>
    <w:rPr>
      <w:rFonts w:asciiTheme="majorHAnsi" w:eastAsiaTheme="majorEastAsia" w:hAnsiTheme="majorHAnsi" w:cstheme="majorBidi"/>
      <w:bCs/>
      <w:iCs/>
      <w:color w:val="7F7F7F" w:themeColor="text1" w:themeTint="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F1F"/>
    <w:rPr>
      <w:rFonts w:asciiTheme="minorHAnsi" w:eastAsiaTheme="majorEastAsia" w:hAnsiTheme="minorHAnsi" w:cstheme="majorBidi"/>
      <w:b/>
      <w:bCs/>
      <w:color w:val="008C9B" w:themeColor="text2"/>
      <w:sz w:val="44"/>
      <w:szCs w:val="28"/>
    </w:rPr>
  </w:style>
  <w:style w:type="character" w:customStyle="1" w:styleId="Heading2Char">
    <w:name w:val="Heading 2 Char"/>
    <w:basedOn w:val="DefaultParagraphFont"/>
    <w:link w:val="Heading2"/>
    <w:uiPriority w:val="9"/>
    <w:rsid w:val="00F6094A"/>
    <w:rPr>
      <w:rFonts w:asciiTheme="minorHAnsi" w:eastAsiaTheme="majorEastAsia" w:hAnsiTheme="minorHAnsi" w:cstheme="majorBidi"/>
      <w:b/>
      <w:bCs/>
      <w:color w:val="7F7F7F" w:themeColor="text1" w:themeTint="80"/>
      <w:sz w:val="28"/>
      <w:szCs w:val="26"/>
    </w:rPr>
  </w:style>
  <w:style w:type="paragraph" w:styleId="Header">
    <w:name w:val="header"/>
    <w:basedOn w:val="Normal"/>
    <w:link w:val="HeaderChar"/>
    <w:uiPriority w:val="99"/>
    <w:unhideWhenUsed/>
    <w:rsid w:val="00CE3E75"/>
    <w:pPr>
      <w:tabs>
        <w:tab w:val="right" w:pos="10093"/>
      </w:tabs>
      <w:spacing w:line="290" w:lineRule="atLeast"/>
    </w:pPr>
    <w:rPr>
      <w:color w:val="7F7F7F" w:themeColor="text1" w:themeTint="80"/>
      <w:sz w:val="24"/>
    </w:rPr>
  </w:style>
  <w:style w:type="character" w:customStyle="1" w:styleId="HeaderChar">
    <w:name w:val="Header Char"/>
    <w:basedOn w:val="DefaultParagraphFont"/>
    <w:link w:val="Header"/>
    <w:uiPriority w:val="99"/>
    <w:rsid w:val="00CE3E75"/>
    <w:rPr>
      <w:rFonts w:asciiTheme="minorHAnsi" w:hAnsiTheme="minorHAnsi"/>
      <w:color w:val="7F7F7F" w:themeColor="text1" w:themeTint="80"/>
      <w:sz w:val="24"/>
    </w:rPr>
  </w:style>
  <w:style w:type="paragraph" w:styleId="Footer">
    <w:name w:val="footer"/>
    <w:basedOn w:val="Normal"/>
    <w:link w:val="FooterChar"/>
    <w:uiPriority w:val="99"/>
    <w:unhideWhenUsed/>
    <w:rsid w:val="0008458B"/>
    <w:pPr>
      <w:tabs>
        <w:tab w:val="center" w:pos="4536"/>
        <w:tab w:val="right" w:pos="9072"/>
      </w:tabs>
    </w:pPr>
    <w:rPr>
      <w:color w:val="FFFFFF" w:themeColor="background1"/>
      <w:sz w:val="14"/>
    </w:rPr>
  </w:style>
  <w:style w:type="character" w:customStyle="1" w:styleId="FooterChar">
    <w:name w:val="Footer Char"/>
    <w:basedOn w:val="DefaultParagraphFont"/>
    <w:link w:val="Footer"/>
    <w:uiPriority w:val="99"/>
    <w:rsid w:val="0008458B"/>
    <w:rPr>
      <w:rFonts w:asciiTheme="minorHAnsi" w:hAnsiTheme="minorHAnsi"/>
      <w:color w:val="FFFFFF" w:themeColor="background1"/>
      <w:sz w:val="14"/>
    </w:rPr>
  </w:style>
  <w:style w:type="paragraph" w:styleId="ListNumber">
    <w:name w:val="List Number"/>
    <w:basedOn w:val="Normal"/>
    <w:qFormat/>
    <w:rsid w:val="00424F1F"/>
    <w:pPr>
      <w:numPr>
        <w:numId w:val="7"/>
      </w:numPr>
      <w:tabs>
        <w:tab w:val="left" w:pos="357"/>
      </w:tabs>
      <w:spacing w:line="240" w:lineRule="atLeast"/>
      <w:ind w:left="357" w:hanging="357"/>
    </w:pPr>
    <w:rPr>
      <w:rFonts w:eastAsia="Times New Roman"/>
      <w:color w:val="000000" w:themeColor="text1"/>
      <w:szCs w:val="24"/>
      <w:lang w:eastAsia="en-GB"/>
    </w:rPr>
  </w:style>
  <w:style w:type="paragraph" w:styleId="ListNumber2">
    <w:name w:val="List Number 2"/>
    <w:basedOn w:val="ListNumber"/>
    <w:uiPriority w:val="99"/>
    <w:qFormat/>
    <w:rsid w:val="00622975"/>
    <w:pPr>
      <w:numPr>
        <w:numId w:val="19"/>
      </w:numPr>
      <w:tabs>
        <w:tab w:val="clear" w:pos="357"/>
        <w:tab w:val="left" w:pos="714"/>
      </w:tabs>
      <w:ind w:left="714" w:hanging="357"/>
    </w:pPr>
  </w:style>
  <w:style w:type="paragraph" w:styleId="BalloonText">
    <w:name w:val="Balloon Text"/>
    <w:basedOn w:val="Normal"/>
    <w:link w:val="BalloonTextChar"/>
    <w:uiPriority w:val="99"/>
    <w:semiHidden/>
    <w:rsid w:val="007E4A50"/>
    <w:rPr>
      <w:rFonts w:ascii="Tahoma" w:hAnsi="Tahoma" w:cs="Tahoma"/>
      <w:sz w:val="16"/>
      <w:szCs w:val="16"/>
    </w:rPr>
  </w:style>
  <w:style w:type="character" w:customStyle="1" w:styleId="BalloonTextChar">
    <w:name w:val="Balloon Text Char"/>
    <w:basedOn w:val="DefaultParagraphFont"/>
    <w:link w:val="BalloonText"/>
    <w:uiPriority w:val="99"/>
    <w:semiHidden/>
    <w:rsid w:val="007E4A50"/>
    <w:rPr>
      <w:rFonts w:ascii="Tahoma" w:hAnsi="Tahoma" w:cs="Tahoma"/>
      <w:color w:val="EEECE1" w:themeColor="background2"/>
      <w:sz w:val="16"/>
      <w:szCs w:val="16"/>
    </w:rPr>
  </w:style>
  <w:style w:type="table" w:styleId="TableGrid">
    <w:name w:val="Table Grid"/>
    <w:basedOn w:val="TableNormal"/>
    <w:uiPriority w:val="59"/>
    <w:rsid w:val="007E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A50"/>
    <w:rPr>
      <w:color w:val="808080"/>
    </w:rPr>
  </w:style>
  <w:style w:type="paragraph" w:styleId="ListParagraph">
    <w:name w:val="List Paragraph"/>
    <w:basedOn w:val="Normal"/>
    <w:uiPriority w:val="34"/>
    <w:qFormat/>
    <w:rsid w:val="007E4A50"/>
    <w:pPr>
      <w:ind w:left="720"/>
      <w:contextualSpacing/>
    </w:pPr>
  </w:style>
  <w:style w:type="paragraph" w:styleId="ListBullet">
    <w:name w:val="List Bullet"/>
    <w:basedOn w:val="Normal"/>
    <w:uiPriority w:val="99"/>
    <w:qFormat/>
    <w:rsid w:val="00424F1F"/>
    <w:pPr>
      <w:numPr>
        <w:numId w:val="8"/>
      </w:numPr>
      <w:tabs>
        <w:tab w:val="left" w:pos="357"/>
      </w:tabs>
    </w:pPr>
  </w:style>
  <w:style w:type="paragraph" w:customStyle="1" w:styleId="Documenttitle">
    <w:name w:val="Document title"/>
    <w:next w:val="Documentsubtitle"/>
    <w:qFormat/>
    <w:rsid w:val="00F757B0"/>
    <w:pPr>
      <w:spacing w:after="60" w:line="720" w:lineRule="atLeast"/>
    </w:pPr>
    <w:rPr>
      <w:rFonts w:asciiTheme="minorHAnsi" w:hAnsiTheme="minorHAnsi"/>
      <w:b/>
      <w:color w:val="008C9B" w:themeColor="text2"/>
      <w:sz w:val="60"/>
    </w:rPr>
  </w:style>
  <w:style w:type="paragraph" w:customStyle="1" w:styleId="Documentsubtitle">
    <w:name w:val="Document subtitle"/>
    <w:next w:val="Documentoutline"/>
    <w:qFormat/>
    <w:rsid w:val="00F757B0"/>
    <w:pPr>
      <w:spacing w:after="120" w:line="480" w:lineRule="atLeast"/>
    </w:pPr>
    <w:rPr>
      <w:rFonts w:asciiTheme="minorHAnsi" w:hAnsiTheme="minorHAnsi"/>
      <w:sz w:val="40"/>
    </w:rPr>
  </w:style>
  <w:style w:type="paragraph" w:customStyle="1" w:styleId="Documentoutline">
    <w:name w:val="Document outline"/>
    <w:next w:val="Normal"/>
    <w:qFormat/>
    <w:rsid w:val="000C6F1C"/>
    <w:pPr>
      <w:spacing w:line="340" w:lineRule="atLeast"/>
    </w:pPr>
    <w:rPr>
      <w:rFonts w:asciiTheme="minorHAnsi" w:hAnsiTheme="minorHAnsi"/>
      <w:sz w:val="28"/>
    </w:rPr>
  </w:style>
  <w:style w:type="paragraph" w:customStyle="1" w:styleId="Disclaimer">
    <w:name w:val="Disclaimer"/>
    <w:basedOn w:val="Normal"/>
    <w:qFormat/>
    <w:rsid w:val="007A2119"/>
    <w:pPr>
      <w:spacing w:after="80" w:line="240" w:lineRule="atLeast"/>
    </w:pPr>
    <w:rPr>
      <w:sz w:val="18"/>
    </w:rPr>
  </w:style>
  <w:style w:type="paragraph" w:customStyle="1" w:styleId="Sectiontitle">
    <w:name w:val="Section title"/>
    <w:basedOn w:val="Normal"/>
    <w:next w:val="Normal"/>
    <w:qFormat/>
    <w:rsid w:val="00AC32B6"/>
    <w:pPr>
      <w:pageBreakBefore/>
      <w:spacing w:after="360" w:line="530" w:lineRule="atLeast"/>
    </w:pPr>
    <w:rPr>
      <w:b/>
      <w:color w:val="008C9B" w:themeColor="text2"/>
      <w:sz w:val="44"/>
    </w:rPr>
  </w:style>
  <w:style w:type="paragraph" w:customStyle="1" w:styleId="Subsectiontitle">
    <w:name w:val="Subsection title"/>
    <w:basedOn w:val="Normal"/>
    <w:next w:val="Normal"/>
    <w:qFormat/>
    <w:rsid w:val="00B44CD4"/>
    <w:pPr>
      <w:spacing w:after="120" w:line="340" w:lineRule="atLeast"/>
    </w:pPr>
    <w:rPr>
      <w:color w:val="7F7F7F" w:themeColor="text1" w:themeTint="80"/>
      <w:sz w:val="28"/>
    </w:rPr>
  </w:style>
  <w:style w:type="numbering" w:customStyle="1" w:styleId="Cebrlist">
    <w:name w:val="Cebr list"/>
    <w:uiPriority w:val="99"/>
    <w:rsid w:val="00F6094A"/>
    <w:pPr>
      <w:numPr>
        <w:numId w:val="10"/>
      </w:numPr>
    </w:pPr>
  </w:style>
  <w:style w:type="character" w:customStyle="1" w:styleId="Heading3Char">
    <w:name w:val="Heading 3 Char"/>
    <w:basedOn w:val="DefaultParagraphFont"/>
    <w:link w:val="Heading3"/>
    <w:uiPriority w:val="9"/>
    <w:rsid w:val="00171DB7"/>
    <w:rPr>
      <w:rFonts w:asciiTheme="majorHAnsi" w:eastAsiaTheme="majorEastAsia" w:hAnsiTheme="majorHAnsi" w:cstheme="majorBidi"/>
      <w:b/>
      <w:bCs/>
      <w:color w:val="000000" w:themeColor="text1"/>
      <w:sz w:val="24"/>
    </w:rPr>
  </w:style>
  <w:style w:type="paragraph" w:styleId="TOC1">
    <w:name w:val="toc 1"/>
    <w:basedOn w:val="Normal"/>
    <w:next w:val="Normal"/>
    <w:autoRedefine/>
    <w:uiPriority w:val="39"/>
    <w:rsid w:val="006D2C9C"/>
    <w:pPr>
      <w:tabs>
        <w:tab w:val="right" w:pos="9402"/>
      </w:tabs>
      <w:spacing w:before="160" w:line="320" w:lineRule="atLeast"/>
    </w:pPr>
    <w:rPr>
      <w:b/>
      <w:color w:val="000000" w:themeColor="text1"/>
      <w:sz w:val="24"/>
    </w:rPr>
  </w:style>
  <w:style w:type="paragraph" w:styleId="TOC2">
    <w:name w:val="toc 2"/>
    <w:basedOn w:val="Normal"/>
    <w:next w:val="Normal"/>
    <w:autoRedefine/>
    <w:uiPriority w:val="39"/>
    <w:rsid w:val="00207BC4"/>
    <w:pPr>
      <w:tabs>
        <w:tab w:val="right" w:pos="9402"/>
      </w:tabs>
      <w:spacing w:before="40" w:line="320" w:lineRule="atLeast"/>
    </w:pPr>
    <w:rPr>
      <w:sz w:val="24"/>
    </w:rPr>
  </w:style>
  <w:style w:type="paragraph" w:styleId="TOC3">
    <w:name w:val="toc 3"/>
    <w:basedOn w:val="Normal"/>
    <w:next w:val="Normal"/>
    <w:autoRedefine/>
    <w:uiPriority w:val="39"/>
    <w:rsid w:val="006D2C9C"/>
    <w:pPr>
      <w:tabs>
        <w:tab w:val="left" w:pos="567"/>
        <w:tab w:val="right" w:pos="9402"/>
      </w:tabs>
      <w:spacing w:before="160" w:line="320" w:lineRule="atLeast"/>
      <w:ind w:left="567" w:hanging="567"/>
    </w:pPr>
    <w:rPr>
      <w:b/>
      <w:sz w:val="24"/>
    </w:rPr>
  </w:style>
  <w:style w:type="paragraph" w:styleId="TOC4">
    <w:name w:val="toc 4"/>
    <w:basedOn w:val="Normal"/>
    <w:next w:val="Normal"/>
    <w:autoRedefine/>
    <w:uiPriority w:val="39"/>
    <w:rsid w:val="006D2C9C"/>
    <w:pPr>
      <w:tabs>
        <w:tab w:val="left" w:pos="1134"/>
        <w:tab w:val="right" w:pos="9402"/>
      </w:tabs>
      <w:spacing w:before="40" w:line="320" w:lineRule="atLeast"/>
      <w:ind w:left="1134" w:hanging="567"/>
    </w:pPr>
    <w:rPr>
      <w:color w:val="000000" w:themeColor="text1"/>
      <w:sz w:val="24"/>
    </w:rPr>
  </w:style>
  <w:style w:type="character" w:styleId="Hyperlink">
    <w:name w:val="Hyperlink"/>
    <w:basedOn w:val="DefaultParagraphFont"/>
    <w:uiPriority w:val="99"/>
    <w:unhideWhenUsed/>
    <w:rsid w:val="00F6094A"/>
    <w:rPr>
      <w:color w:val="0000FF" w:themeColor="hyperlink"/>
      <w:u w:val="single"/>
    </w:rPr>
  </w:style>
  <w:style w:type="paragraph" w:styleId="FootnoteText">
    <w:name w:val="footnote text"/>
    <w:basedOn w:val="Normal"/>
    <w:link w:val="FootnoteTextChar"/>
    <w:uiPriority w:val="99"/>
    <w:rsid w:val="00A9674F"/>
    <w:pPr>
      <w:spacing w:after="0"/>
    </w:pPr>
    <w:rPr>
      <w:sz w:val="18"/>
    </w:rPr>
  </w:style>
  <w:style w:type="character" w:customStyle="1" w:styleId="FootnoteTextChar">
    <w:name w:val="Footnote Text Char"/>
    <w:basedOn w:val="DefaultParagraphFont"/>
    <w:link w:val="FootnoteText"/>
    <w:uiPriority w:val="99"/>
    <w:rsid w:val="00A9674F"/>
    <w:rPr>
      <w:rFonts w:asciiTheme="minorHAnsi" w:hAnsiTheme="minorHAnsi"/>
      <w:sz w:val="18"/>
    </w:rPr>
  </w:style>
  <w:style w:type="character" w:styleId="FootnoteReference">
    <w:name w:val="footnote reference"/>
    <w:aliases w:val="IER footnote"/>
    <w:basedOn w:val="DefaultParagraphFont"/>
    <w:uiPriority w:val="99"/>
    <w:rsid w:val="00A9674F"/>
    <w:rPr>
      <w:color w:val="auto"/>
      <w:position w:val="0"/>
      <w:sz w:val="22"/>
      <w:vertAlign w:val="superscript"/>
    </w:rPr>
  </w:style>
  <w:style w:type="character" w:customStyle="1" w:styleId="Heading4Char">
    <w:name w:val="Heading 4 Char"/>
    <w:basedOn w:val="DefaultParagraphFont"/>
    <w:link w:val="Heading4"/>
    <w:uiPriority w:val="9"/>
    <w:rsid w:val="00171DB7"/>
    <w:rPr>
      <w:rFonts w:asciiTheme="majorHAnsi" w:eastAsiaTheme="majorEastAsia" w:hAnsiTheme="majorHAnsi" w:cstheme="majorBidi"/>
      <w:bCs/>
      <w:iCs/>
      <w:color w:val="7F7F7F" w:themeColor="text1" w:themeTint="80"/>
      <w:sz w:val="24"/>
    </w:rPr>
  </w:style>
  <w:style w:type="paragraph" w:styleId="ListBullet2">
    <w:name w:val="List Bullet 2"/>
    <w:basedOn w:val="Normal"/>
    <w:uiPriority w:val="99"/>
    <w:qFormat/>
    <w:rsid w:val="00424F1F"/>
    <w:pPr>
      <w:numPr>
        <w:numId w:val="9"/>
      </w:numPr>
      <w:tabs>
        <w:tab w:val="left" w:pos="714"/>
      </w:tabs>
      <w:ind w:left="714" w:hanging="357"/>
    </w:pPr>
  </w:style>
  <w:style w:type="paragraph" w:customStyle="1" w:styleId="Contentstitle">
    <w:name w:val="Contents title"/>
    <w:basedOn w:val="Sectiontitle"/>
    <w:next w:val="Normal"/>
    <w:qFormat/>
    <w:rsid w:val="00D43EC4"/>
  </w:style>
  <w:style w:type="paragraph" w:styleId="ListBullet3">
    <w:name w:val="List Bullet 3"/>
    <w:basedOn w:val="Normal"/>
    <w:uiPriority w:val="99"/>
    <w:semiHidden/>
    <w:unhideWhenUsed/>
    <w:rsid w:val="00D64D35"/>
    <w:pPr>
      <w:numPr>
        <w:numId w:val="13"/>
      </w:numPr>
      <w:ind w:left="924" w:hanging="357"/>
      <w:contextualSpacing/>
    </w:pPr>
  </w:style>
  <w:style w:type="paragraph" w:styleId="Caption">
    <w:name w:val="caption"/>
    <w:basedOn w:val="Normal"/>
    <w:next w:val="Normal"/>
    <w:uiPriority w:val="35"/>
    <w:unhideWhenUsed/>
    <w:qFormat/>
    <w:rsid w:val="00040DD1"/>
    <w:pPr>
      <w:spacing w:after="200"/>
    </w:pPr>
    <w:rPr>
      <w:i/>
      <w:iCs/>
      <w:color w:val="008C9B" w:themeColor="text2"/>
      <w:sz w:val="18"/>
      <w:szCs w:val="18"/>
    </w:rPr>
  </w:style>
  <w:style w:type="paragraph" w:styleId="NormalWeb">
    <w:name w:val="Normal (Web)"/>
    <w:basedOn w:val="Normal"/>
    <w:uiPriority w:val="99"/>
    <w:semiHidden/>
    <w:unhideWhenUsed/>
    <w:rsid w:val="00013814"/>
    <w:pPr>
      <w:spacing w:before="100" w:beforeAutospacing="1" w:after="100" w:afterAutospacing="1"/>
    </w:pPr>
    <w:rPr>
      <w:rFonts w:ascii="Times New Roman" w:hAnsi="Times New Roman"/>
      <w:sz w:val="24"/>
      <w:szCs w:val="24"/>
      <w:lang w:eastAsia="en-GB"/>
    </w:rPr>
  </w:style>
  <w:style w:type="character" w:styleId="SubtleEmphasis">
    <w:name w:val="Subtle Emphasis"/>
    <w:basedOn w:val="DefaultParagraphFont"/>
    <w:uiPriority w:val="19"/>
    <w:qFormat/>
    <w:rsid w:val="0022582B"/>
    <w:rPr>
      <w:i/>
      <w:iCs/>
      <w:color w:val="404040" w:themeColor="text1" w:themeTint="BF"/>
    </w:rPr>
  </w:style>
  <w:style w:type="character" w:styleId="CommentReference">
    <w:name w:val="annotation reference"/>
    <w:basedOn w:val="DefaultParagraphFont"/>
    <w:uiPriority w:val="99"/>
    <w:semiHidden/>
    <w:unhideWhenUsed/>
    <w:rsid w:val="009B69B9"/>
    <w:rPr>
      <w:sz w:val="16"/>
      <w:szCs w:val="16"/>
    </w:rPr>
  </w:style>
  <w:style w:type="paragraph" w:styleId="CommentText">
    <w:name w:val="annotation text"/>
    <w:basedOn w:val="Normal"/>
    <w:link w:val="CommentTextChar"/>
    <w:uiPriority w:val="99"/>
    <w:semiHidden/>
    <w:unhideWhenUsed/>
    <w:rsid w:val="009B69B9"/>
    <w:rPr>
      <w:sz w:val="20"/>
    </w:rPr>
  </w:style>
  <w:style w:type="character" w:customStyle="1" w:styleId="CommentTextChar">
    <w:name w:val="Comment Text Char"/>
    <w:basedOn w:val="DefaultParagraphFont"/>
    <w:link w:val="CommentText"/>
    <w:uiPriority w:val="99"/>
    <w:semiHidden/>
    <w:rsid w:val="009B69B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B69B9"/>
    <w:rPr>
      <w:b/>
      <w:bCs/>
    </w:rPr>
  </w:style>
  <w:style w:type="character" w:customStyle="1" w:styleId="CommentSubjectChar">
    <w:name w:val="Comment Subject Char"/>
    <w:basedOn w:val="CommentTextChar"/>
    <w:link w:val="CommentSubject"/>
    <w:uiPriority w:val="99"/>
    <w:semiHidden/>
    <w:rsid w:val="009B69B9"/>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259">
      <w:bodyDiv w:val="1"/>
      <w:marLeft w:val="0"/>
      <w:marRight w:val="0"/>
      <w:marTop w:val="0"/>
      <w:marBottom w:val="0"/>
      <w:divBdr>
        <w:top w:val="none" w:sz="0" w:space="0" w:color="auto"/>
        <w:left w:val="none" w:sz="0" w:space="0" w:color="auto"/>
        <w:bottom w:val="none" w:sz="0" w:space="0" w:color="auto"/>
        <w:right w:val="none" w:sz="0" w:space="0" w:color="auto"/>
      </w:divBdr>
    </w:div>
    <w:div w:id="45297924">
      <w:bodyDiv w:val="1"/>
      <w:marLeft w:val="0"/>
      <w:marRight w:val="0"/>
      <w:marTop w:val="0"/>
      <w:marBottom w:val="0"/>
      <w:divBdr>
        <w:top w:val="none" w:sz="0" w:space="0" w:color="auto"/>
        <w:left w:val="none" w:sz="0" w:space="0" w:color="auto"/>
        <w:bottom w:val="none" w:sz="0" w:space="0" w:color="auto"/>
        <w:right w:val="none" w:sz="0" w:space="0" w:color="auto"/>
      </w:divBdr>
    </w:div>
    <w:div w:id="123084630">
      <w:bodyDiv w:val="1"/>
      <w:marLeft w:val="0"/>
      <w:marRight w:val="0"/>
      <w:marTop w:val="0"/>
      <w:marBottom w:val="0"/>
      <w:divBdr>
        <w:top w:val="none" w:sz="0" w:space="0" w:color="auto"/>
        <w:left w:val="none" w:sz="0" w:space="0" w:color="auto"/>
        <w:bottom w:val="none" w:sz="0" w:space="0" w:color="auto"/>
        <w:right w:val="none" w:sz="0" w:space="0" w:color="auto"/>
      </w:divBdr>
    </w:div>
    <w:div w:id="133371203">
      <w:bodyDiv w:val="1"/>
      <w:marLeft w:val="0"/>
      <w:marRight w:val="0"/>
      <w:marTop w:val="0"/>
      <w:marBottom w:val="0"/>
      <w:divBdr>
        <w:top w:val="none" w:sz="0" w:space="0" w:color="auto"/>
        <w:left w:val="none" w:sz="0" w:space="0" w:color="auto"/>
        <w:bottom w:val="none" w:sz="0" w:space="0" w:color="auto"/>
        <w:right w:val="none" w:sz="0" w:space="0" w:color="auto"/>
      </w:divBdr>
    </w:div>
    <w:div w:id="138419800">
      <w:bodyDiv w:val="1"/>
      <w:marLeft w:val="0"/>
      <w:marRight w:val="0"/>
      <w:marTop w:val="0"/>
      <w:marBottom w:val="0"/>
      <w:divBdr>
        <w:top w:val="none" w:sz="0" w:space="0" w:color="auto"/>
        <w:left w:val="none" w:sz="0" w:space="0" w:color="auto"/>
        <w:bottom w:val="none" w:sz="0" w:space="0" w:color="auto"/>
        <w:right w:val="none" w:sz="0" w:space="0" w:color="auto"/>
      </w:divBdr>
    </w:div>
    <w:div w:id="172572503">
      <w:bodyDiv w:val="1"/>
      <w:marLeft w:val="0"/>
      <w:marRight w:val="0"/>
      <w:marTop w:val="0"/>
      <w:marBottom w:val="0"/>
      <w:divBdr>
        <w:top w:val="none" w:sz="0" w:space="0" w:color="auto"/>
        <w:left w:val="none" w:sz="0" w:space="0" w:color="auto"/>
        <w:bottom w:val="none" w:sz="0" w:space="0" w:color="auto"/>
        <w:right w:val="none" w:sz="0" w:space="0" w:color="auto"/>
      </w:divBdr>
    </w:div>
    <w:div w:id="204417402">
      <w:bodyDiv w:val="1"/>
      <w:marLeft w:val="0"/>
      <w:marRight w:val="0"/>
      <w:marTop w:val="0"/>
      <w:marBottom w:val="0"/>
      <w:divBdr>
        <w:top w:val="none" w:sz="0" w:space="0" w:color="auto"/>
        <w:left w:val="none" w:sz="0" w:space="0" w:color="auto"/>
        <w:bottom w:val="none" w:sz="0" w:space="0" w:color="auto"/>
        <w:right w:val="none" w:sz="0" w:space="0" w:color="auto"/>
      </w:divBdr>
    </w:div>
    <w:div w:id="228152646">
      <w:bodyDiv w:val="1"/>
      <w:marLeft w:val="0"/>
      <w:marRight w:val="0"/>
      <w:marTop w:val="0"/>
      <w:marBottom w:val="0"/>
      <w:divBdr>
        <w:top w:val="none" w:sz="0" w:space="0" w:color="auto"/>
        <w:left w:val="none" w:sz="0" w:space="0" w:color="auto"/>
        <w:bottom w:val="none" w:sz="0" w:space="0" w:color="auto"/>
        <w:right w:val="none" w:sz="0" w:space="0" w:color="auto"/>
      </w:divBdr>
    </w:div>
    <w:div w:id="252205928">
      <w:bodyDiv w:val="1"/>
      <w:marLeft w:val="0"/>
      <w:marRight w:val="0"/>
      <w:marTop w:val="0"/>
      <w:marBottom w:val="0"/>
      <w:divBdr>
        <w:top w:val="none" w:sz="0" w:space="0" w:color="auto"/>
        <w:left w:val="none" w:sz="0" w:space="0" w:color="auto"/>
        <w:bottom w:val="none" w:sz="0" w:space="0" w:color="auto"/>
        <w:right w:val="none" w:sz="0" w:space="0" w:color="auto"/>
      </w:divBdr>
    </w:div>
    <w:div w:id="386615234">
      <w:bodyDiv w:val="1"/>
      <w:marLeft w:val="0"/>
      <w:marRight w:val="0"/>
      <w:marTop w:val="0"/>
      <w:marBottom w:val="0"/>
      <w:divBdr>
        <w:top w:val="none" w:sz="0" w:space="0" w:color="auto"/>
        <w:left w:val="none" w:sz="0" w:space="0" w:color="auto"/>
        <w:bottom w:val="none" w:sz="0" w:space="0" w:color="auto"/>
        <w:right w:val="none" w:sz="0" w:space="0" w:color="auto"/>
      </w:divBdr>
    </w:div>
    <w:div w:id="387263208">
      <w:bodyDiv w:val="1"/>
      <w:marLeft w:val="0"/>
      <w:marRight w:val="0"/>
      <w:marTop w:val="0"/>
      <w:marBottom w:val="0"/>
      <w:divBdr>
        <w:top w:val="none" w:sz="0" w:space="0" w:color="auto"/>
        <w:left w:val="none" w:sz="0" w:space="0" w:color="auto"/>
        <w:bottom w:val="none" w:sz="0" w:space="0" w:color="auto"/>
        <w:right w:val="none" w:sz="0" w:space="0" w:color="auto"/>
      </w:divBdr>
    </w:div>
    <w:div w:id="465660414">
      <w:bodyDiv w:val="1"/>
      <w:marLeft w:val="0"/>
      <w:marRight w:val="0"/>
      <w:marTop w:val="0"/>
      <w:marBottom w:val="0"/>
      <w:divBdr>
        <w:top w:val="none" w:sz="0" w:space="0" w:color="auto"/>
        <w:left w:val="none" w:sz="0" w:space="0" w:color="auto"/>
        <w:bottom w:val="none" w:sz="0" w:space="0" w:color="auto"/>
        <w:right w:val="none" w:sz="0" w:space="0" w:color="auto"/>
      </w:divBdr>
    </w:div>
    <w:div w:id="498234402">
      <w:bodyDiv w:val="1"/>
      <w:marLeft w:val="0"/>
      <w:marRight w:val="0"/>
      <w:marTop w:val="0"/>
      <w:marBottom w:val="0"/>
      <w:divBdr>
        <w:top w:val="none" w:sz="0" w:space="0" w:color="auto"/>
        <w:left w:val="none" w:sz="0" w:space="0" w:color="auto"/>
        <w:bottom w:val="none" w:sz="0" w:space="0" w:color="auto"/>
        <w:right w:val="none" w:sz="0" w:space="0" w:color="auto"/>
      </w:divBdr>
    </w:div>
    <w:div w:id="519203125">
      <w:bodyDiv w:val="1"/>
      <w:marLeft w:val="0"/>
      <w:marRight w:val="0"/>
      <w:marTop w:val="0"/>
      <w:marBottom w:val="0"/>
      <w:divBdr>
        <w:top w:val="none" w:sz="0" w:space="0" w:color="auto"/>
        <w:left w:val="none" w:sz="0" w:space="0" w:color="auto"/>
        <w:bottom w:val="none" w:sz="0" w:space="0" w:color="auto"/>
        <w:right w:val="none" w:sz="0" w:space="0" w:color="auto"/>
      </w:divBdr>
    </w:div>
    <w:div w:id="525292879">
      <w:bodyDiv w:val="1"/>
      <w:marLeft w:val="0"/>
      <w:marRight w:val="0"/>
      <w:marTop w:val="0"/>
      <w:marBottom w:val="0"/>
      <w:divBdr>
        <w:top w:val="none" w:sz="0" w:space="0" w:color="auto"/>
        <w:left w:val="none" w:sz="0" w:space="0" w:color="auto"/>
        <w:bottom w:val="none" w:sz="0" w:space="0" w:color="auto"/>
        <w:right w:val="none" w:sz="0" w:space="0" w:color="auto"/>
      </w:divBdr>
    </w:div>
    <w:div w:id="533881570">
      <w:bodyDiv w:val="1"/>
      <w:marLeft w:val="0"/>
      <w:marRight w:val="0"/>
      <w:marTop w:val="0"/>
      <w:marBottom w:val="0"/>
      <w:divBdr>
        <w:top w:val="none" w:sz="0" w:space="0" w:color="auto"/>
        <w:left w:val="none" w:sz="0" w:space="0" w:color="auto"/>
        <w:bottom w:val="none" w:sz="0" w:space="0" w:color="auto"/>
        <w:right w:val="none" w:sz="0" w:space="0" w:color="auto"/>
      </w:divBdr>
    </w:div>
    <w:div w:id="628701534">
      <w:bodyDiv w:val="1"/>
      <w:marLeft w:val="0"/>
      <w:marRight w:val="0"/>
      <w:marTop w:val="0"/>
      <w:marBottom w:val="0"/>
      <w:divBdr>
        <w:top w:val="none" w:sz="0" w:space="0" w:color="auto"/>
        <w:left w:val="none" w:sz="0" w:space="0" w:color="auto"/>
        <w:bottom w:val="none" w:sz="0" w:space="0" w:color="auto"/>
        <w:right w:val="none" w:sz="0" w:space="0" w:color="auto"/>
      </w:divBdr>
    </w:div>
    <w:div w:id="710030446">
      <w:bodyDiv w:val="1"/>
      <w:marLeft w:val="0"/>
      <w:marRight w:val="0"/>
      <w:marTop w:val="0"/>
      <w:marBottom w:val="0"/>
      <w:divBdr>
        <w:top w:val="none" w:sz="0" w:space="0" w:color="auto"/>
        <w:left w:val="none" w:sz="0" w:space="0" w:color="auto"/>
        <w:bottom w:val="none" w:sz="0" w:space="0" w:color="auto"/>
        <w:right w:val="none" w:sz="0" w:space="0" w:color="auto"/>
      </w:divBdr>
    </w:div>
    <w:div w:id="717895733">
      <w:bodyDiv w:val="1"/>
      <w:marLeft w:val="0"/>
      <w:marRight w:val="0"/>
      <w:marTop w:val="0"/>
      <w:marBottom w:val="0"/>
      <w:divBdr>
        <w:top w:val="none" w:sz="0" w:space="0" w:color="auto"/>
        <w:left w:val="none" w:sz="0" w:space="0" w:color="auto"/>
        <w:bottom w:val="none" w:sz="0" w:space="0" w:color="auto"/>
        <w:right w:val="none" w:sz="0" w:space="0" w:color="auto"/>
      </w:divBdr>
    </w:div>
    <w:div w:id="793445878">
      <w:bodyDiv w:val="1"/>
      <w:marLeft w:val="0"/>
      <w:marRight w:val="0"/>
      <w:marTop w:val="0"/>
      <w:marBottom w:val="0"/>
      <w:divBdr>
        <w:top w:val="none" w:sz="0" w:space="0" w:color="auto"/>
        <w:left w:val="none" w:sz="0" w:space="0" w:color="auto"/>
        <w:bottom w:val="none" w:sz="0" w:space="0" w:color="auto"/>
        <w:right w:val="none" w:sz="0" w:space="0" w:color="auto"/>
      </w:divBdr>
    </w:div>
    <w:div w:id="826627083">
      <w:bodyDiv w:val="1"/>
      <w:marLeft w:val="0"/>
      <w:marRight w:val="0"/>
      <w:marTop w:val="0"/>
      <w:marBottom w:val="0"/>
      <w:divBdr>
        <w:top w:val="none" w:sz="0" w:space="0" w:color="auto"/>
        <w:left w:val="none" w:sz="0" w:space="0" w:color="auto"/>
        <w:bottom w:val="none" w:sz="0" w:space="0" w:color="auto"/>
        <w:right w:val="none" w:sz="0" w:space="0" w:color="auto"/>
      </w:divBdr>
    </w:div>
    <w:div w:id="860582259">
      <w:bodyDiv w:val="1"/>
      <w:marLeft w:val="0"/>
      <w:marRight w:val="0"/>
      <w:marTop w:val="0"/>
      <w:marBottom w:val="0"/>
      <w:divBdr>
        <w:top w:val="none" w:sz="0" w:space="0" w:color="auto"/>
        <w:left w:val="none" w:sz="0" w:space="0" w:color="auto"/>
        <w:bottom w:val="none" w:sz="0" w:space="0" w:color="auto"/>
        <w:right w:val="none" w:sz="0" w:space="0" w:color="auto"/>
      </w:divBdr>
    </w:div>
    <w:div w:id="1007368890">
      <w:bodyDiv w:val="1"/>
      <w:marLeft w:val="0"/>
      <w:marRight w:val="0"/>
      <w:marTop w:val="0"/>
      <w:marBottom w:val="0"/>
      <w:divBdr>
        <w:top w:val="none" w:sz="0" w:space="0" w:color="auto"/>
        <w:left w:val="none" w:sz="0" w:space="0" w:color="auto"/>
        <w:bottom w:val="none" w:sz="0" w:space="0" w:color="auto"/>
        <w:right w:val="none" w:sz="0" w:space="0" w:color="auto"/>
      </w:divBdr>
    </w:div>
    <w:div w:id="1076242677">
      <w:bodyDiv w:val="1"/>
      <w:marLeft w:val="0"/>
      <w:marRight w:val="0"/>
      <w:marTop w:val="0"/>
      <w:marBottom w:val="0"/>
      <w:divBdr>
        <w:top w:val="none" w:sz="0" w:space="0" w:color="auto"/>
        <w:left w:val="none" w:sz="0" w:space="0" w:color="auto"/>
        <w:bottom w:val="none" w:sz="0" w:space="0" w:color="auto"/>
        <w:right w:val="none" w:sz="0" w:space="0" w:color="auto"/>
      </w:divBdr>
    </w:div>
    <w:div w:id="1125730853">
      <w:bodyDiv w:val="1"/>
      <w:marLeft w:val="0"/>
      <w:marRight w:val="0"/>
      <w:marTop w:val="0"/>
      <w:marBottom w:val="0"/>
      <w:divBdr>
        <w:top w:val="none" w:sz="0" w:space="0" w:color="auto"/>
        <w:left w:val="none" w:sz="0" w:space="0" w:color="auto"/>
        <w:bottom w:val="none" w:sz="0" w:space="0" w:color="auto"/>
        <w:right w:val="none" w:sz="0" w:space="0" w:color="auto"/>
      </w:divBdr>
    </w:div>
    <w:div w:id="1208685004">
      <w:bodyDiv w:val="1"/>
      <w:marLeft w:val="0"/>
      <w:marRight w:val="0"/>
      <w:marTop w:val="0"/>
      <w:marBottom w:val="0"/>
      <w:divBdr>
        <w:top w:val="none" w:sz="0" w:space="0" w:color="auto"/>
        <w:left w:val="none" w:sz="0" w:space="0" w:color="auto"/>
        <w:bottom w:val="none" w:sz="0" w:space="0" w:color="auto"/>
        <w:right w:val="none" w:sz="0" w:space="0" w:color="auto"/>
      </w:divBdr>
    </w:div>
    <w:div w:id="1333415707">
      <w:bodyDiv w:val="1"/>
      <w:marLeft w:val="0"/>
      <w:marRight w:val="0"/>
      <w:marTop w:val="0"/>
      <w:marBottom w:val="0"/>
      <w:divBdr>
        <w:top w:val="none" w:sz="0" w:space="0" w:color="auto"/>
        <w:left w:val="none" w:sz="0" w:space="0" w:color="auto"/>
        <w:bottom w:val="none" w:sz="0" w:space="0" w:color="auto"/>
        <w:right w:val="none" w:sz="0" w:space="0" w:color="auto"/>
      </w:divBdr>
    </w:div>
    <w:div w:id="1365128916">
      <w:bodyDiv w:val="1"/>
      <w:marLeft w:val="0"/>
      <w:marRight w:val="0"/>
      <w:marTop w:val="0"/>
      <w:marBottom w:val="0"/>
      <w:divBdr>
        <w:top w:val="none" w:sz="0" w:space="0" w:color="auto"/>
        <w:left w:val="none" w:sz="0" w:space="0" w:color="auto"/>
        <w:bottom w:val="none" w:sz="0" w:space="0" w:color="auto"/>
        <w:right w:val="none" w:sz="0" w:space="0" w:color="auto"/>
      </w:divBdr>
    </w:div>
    <w:div w:id="1490249607">
      <w:bodyDiv w:val="1"/>
      <w:marLeft w:val="0"/>
      <w:marRight w:val="0"/>
      <w:marTop w:val="0"/>
      <w:marBottom w:val="0"/>
      <w:divBdr>
        <w:top w:val="none" w:sz="0" w:space="0" w:color="auto"/>
        <w:left w:val="none" w:sz="0" w:space="0" w:color="auto"/>
        <w:bottom w:val="none" w:sz="0" w:space="0" w:color="auto"/>
        <w:right w:val="none" w:sz="0" w:space="0" w:color="auto"/>
      </w:divBdr>
    </w:div>
    <w:div w:id="1646356441">
      <w:bodyDiv w:val="1"/>
      <w:marLeft w:val="0"/>
      <w:marRight w:val="0"/>
      <w:marTop w:val="0"/>
      <w:marBottom w:val="0"/>
      <w:divBdr>
        <w:top w:val="none" w:sz="0" w:space="0" w:color="auto"/>
        <w:left w:val="none" w:sz="0" w:space="0" w:color="auto"/>
        <w:bottom w:val="none" w:sz="0" w:space="0" w:color="auto"/>
        <w:right w:val="none" w:sz="0" w:space="0" w:color="auto"/>
      </w:divBdr>
    </w:div>
    <w:div w:id="1882591006">
      <w:bodyDiv w:val="1"/>
      <w:marLeft w:val="0"/>
      <w:marRight w:val="0"/>
      <w:marTop w:val="0"/>
      <w:marBottom w:val="0"/>
      <w:divBdr>
        <w:top w:val="none" w:sz="0" w:space="0" w:color="auto"/>
        <w:left w:val="none" w:sz="0" w:space="0" w:color="auto"/>
        <w:bottom w:val="none" w:sz="0" w:space="0" w:color="auto"/>
        <w:right w:val="none" w:sz="0" w:space="0" w:color="auto"/>
      </w:divBdr>
    </w:div>
    <w:div w:id="1894727919">
      <w:bodyDiv w:val="1"/>
      <w:marLeft w:val="0"/>
      <w:marRight w:val="0"/>
      <w:marTop w:val="0"/>
      <w:marBottom w:val="0"/>
      <w:divBdr>
        <w:top w:val="none" w:sz="0" w:space="0" w:color="auto"/>
        <w:left w:val="none" w:sz="0" w:space="0" w:color="auto"/>
        <w:bottom w:val="none" w:sz="0" w:space="0" w:color="auto"/>
        <w:right w:val="none" w:sz="0" w:space="0" w:color="auto"/>
      </w:divBdr>
    </w:div>
    <w:div w:id="2019429188">
      <w:bodyDiv w:val="1"/>
      <w:marLeft w:val="0"/>
      <w:marRight w:val="0"/>
      <w:marTop w:val="0"/>
      <w:marBottom w:val="0"/>
      <w:divBdr>
        <w:top w:val="none" w:sz="0" w:space="0" w:color="auto"/>
        <w:left w:val="none" w:sz="0" w:space="0" w:color="auto"/>
        <w:bottom w:val="none" w:sz="0" w:space="0" w:color="auto"/>
        <w:right w:val="none" w:sz="0" w:space="0" w:color="auto"/>
      </w:divBdr>
    </w:div>
    <w:div w:id="2044013782">
      <w:bodyDiv w:val="1"/>
      <w:marLeft w:val="0"/>
      <w:marRight w:val="0"/>
      <w:marTop w:val="0"/>
      <w:marBottom w:val="0"/>
      <w:divBdr>
        <w:top w:val="none" w:sz="0" w:space="0" w:color="auto"/>
        <w:left w:val="none" w:sz="0" w:space="0" w:color="auto"/>
        <w:bottom w:val="none" w:sz="0" w:space="0" w:color="auto"/>
        <w:right w:val="none" w:sz="0" w:space="0" w:color="auto"/>
      </w:divBdr>
    </w:div>
    <w:div w:id="2071730787">
      <w:bodyDiv w:val="1"/>
      <w:marLeft w:val="0"/>
      <w:marRight w:val="0"/>
      <w:marTop w:val="0"/>
      <w:marBottom w:val="0"/>
      <w:divBdr>
        <w:top w:val="none" w:sz="0" w:space="0" w:color="auto"/>
        <w:left w:val="none" w:sz="0" w:space="0" w:color="auto"/>
        <w:bottom w:val="none" w:sz="0" w:space="0" w:color="auto"/>
        <w:right w:val="none" w:sz="0" w:space="0" w:color="auto"/>
      </w:divBdr>
    </w:div>
    <w:div w:id="2077311516">
      <w:bodyDiv w:val="1"/>
      <w:marLeft w:val="0"/>
      <w:marRight w:val="0"/>
      <w:marTop w:val="0"/>
      <w:marBottom w:val="0"/>
      <w:divBdr>
        <w:top w:val="none" w:sz="0" w:space="0" w:color="auto"/>
        <w:left w:val="none" w:sz="0" w:space="0" w:color="auto"/>
        <w:bottom w:val="none" w:sz="0" w:space="0" w:color="auto"/>
        <w:right w:val="none" w:sz="0" w:space="0" w:color="auto"/>
      </w:divBdr>
    </w:div>
    <w:div w:id="2133935472">
      <w:bodyDiv w:val="1"/>
      <w:marLeft w:val="0"/>
      <w:marRight w:val="0"/>
      <w:marTop w:val="0"/>
      <w:marBottom w:val="0"/>
      <w:divBdr>
        <w:top w:val="none" w:sz="0" w:space="0" w:color="auto"/>
        <w:left w:val="none" w:sz="0" w:space="0" w:color="auto"/>
        <w:bottom w:val="none" w:sz="0" w:space="0" w:color="auto"/>
        <w:right w:val="none" w:sz="0" w:space="0" w:color="auto"/>
      </w:divBdr>
    </w:div>
    <w:div w:id="213413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Clients\Maritime%20UK\4821%20-%20MUK%20refresh\Reports\Ports\Ports%20refresh.dotx" TargetMode="External"/></Relationships>
</file>

<file path=word/theme/theme1.xml><?xml version="1.0" encoding="utf-8"?>
<a:theme xmlns:a="http://schemas.openxmlformats.org/drawingml/2006/main" name="Office Theme">
  <a:themeElements>
    <a:clrScheme name="Cebr Colours">
      <a:dk1>
        <a:sysClr val="windowText" lastClr="000000"/>
      </a:dk1>
      <a:lt1>
        <a:sysClr val="window" lastClr="FFFFFF"/>
      </a:lt1>
      <a:dk2>
        <a:srgbClr val="008C9B"/>
      </a:dk2>
      <a:lt2>
        <a:srgbClr val="EEECE1"/>
      </a:lt2>
      <a:accent1>
        <a:srgbClr val="008C9B"/>
      </a:accent1>
      <a:accent2>
        <a:srgbClr val="00AEEF"/>
      </a:accent2>
      <a:accent3>
        <a:srgbClr val="6D6E71"/>
      </a:accent3>
      <a:accent4>
        <a:srgbClr val="BCBEC0"/>
      </a:accent4>
      <a:accent5>
        <a:srgbClr val="ED1C24"/>
      </a:accent5>
      <a:accent6>
        <a:srgbClr val="004A53"/>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B0AA-2737-438E-AB7D-7AF5718E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Ports refresh</Template>
  <TotalTime>1</TotalTime>
  <Pages>10</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20369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Cervin</dc:creator>
  <cp:keywords/>
  <dc:description/>
  <cp:lastModifiedBy>Owen Good</cp:lastModifiedBy>
  <cp:revision>2</cp:revision>
  <cp:lastPrinted>2014-01-15T13:21:00Z</cp:lastPrinted>
  <dcterms:created xsi:type="dcterms:W3CDTF">2019-08-30T16:18:00Z</dcterms:created>
  <dcterms:modified xsi:type="dcterms:W3CDTF">2019-08-30T16:18:00Z</dcterms:modified>
</cp:coreProperties>
</file>